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2666" w:type="dxa"/>
        <w:jc w:val="center"/>
        <w:tblCellMar>
          <w:left w:w="0" w:type="dxa"/>
          <w:right w:w="0" w:type="dxa"/>
        </w:tblCellMar>
        <w:tblLook w:val="04A0" w:firstRow="1" w:lastRow="0" w:firstColumn="1" w:lastColumn="0" w:noHBand="0" w:noVBand="1"/>
      </w:tblPr>
      <w:tblGrid>
        <w:gridCol w:w="9034"/>
        <w:gridCol w:w="3282"/>
        <w:gridCol w:w="350"/>
      </w:tblGrid>
      <w:tr w:rsidR="00470C46" w:rsidTr="00470C46">
        <w:trPr>
          <w:trHeight w:val="2151"/>
          <w:jc w:val="center"/>
        </w:trPr>
        <w:tc>
          <w:tcPr>
            <w:tcW w:w="12666" w:type="dxa"/>
            <w:gridSpan w:val="3"/>
            <w:tcMar>
              <w:top w:w="0" w:type="dxa"/>
              <w:left w:w="108" w:type="dxa"/>
              <w:bottom w:w="0" w:type="dxa"/>
              <w:right w:w="108" w:type="dxa"/>
            </w:tcMar>
            <w:vAlign w:val="center"/>
            <w:hideMark/>
          </w:tcPr>
          <w:tbl>
            <w:tblPr>
              <w:tblW w:w="12390" w:type="dxa"/>
              <w:jc w:val="center"/>
              <w:tblCellMar>
                <w:left w:w="0" w:type="dxa"/>
                <w:right w:w="0" w:type="dxa"/>
              </w:tblCellMar>
              <w:tblLook w:val="04A0" w:firstRow="1" w:lastRow="0" w:firstColumn="1" w:lastColumn="0" w:noHBand="0" w:noVBand="1"/>
            </w:tblPr>
            <w:tblGrid>
              <w:gridCol w:w="12390"/>
            </w:tblGrid>
            <w:tr w:rsidR="00470C46">
              <w:trPr>
                <w:trHeight w:val="343"/>
                <w:jc w:val="center"/>
              </w:trPr>
              <w:tc>
                <w:tcPr>
                  <w:tcW w:w="12391" w:type="dxa"/>
                  <w:shd w:val="clear" w:color="auto" w:fill="D9E2F3"/>
                  <w:tcMar>
                    <w:top w:w="0" w:type="dxa"/>
                    <w:left w:w="108" w:type="dxa"/>
                    <w:bottom w:w="0" w:type="dxa"/>
                    <w:right w:w="108" w:type="dxa"/>
                  </w:tcMar>
                  <w:hideMark/>
                </w:tcPr>
                <w:p w:rsidR="00470C46" w:rsidRDefault="00470C46">
                  <w:pPr>
                    <w:rPr>
                      <w:sz w:val="20"/>
                      <w:szCs w:val="20"/>
                    </w:rPr>
                  </w:pPr>
                </w:p>
              </w:tc>
            </w:tr>
            <w:tr w:rsidR="00470C46">
              <w:trPr>
                <w:trHeight w:val="1167"/>
                <w:jc w:val="center"/>
              </w:trPr>
              <w:tc>
                <w:tcPr>
                  <w:tcW w:w="12391" w:type="dxa"/>
                  <w:shd w:val="clear" w:color="auto" w:fill="D9E2F3"/>
                  <w:tcMar>
                    <w:top w:w="0" w:type="dxa"/>
                    <w:left w:w="108" w:type="dxa"/>
                    <w:bottom w:w="0" w:type="dxa"/>
                    <w:right w:w="108" w:type="dxa"/>
                  </w:tcMar>
                  <w:hideMark/>
                </w:tcPr>
                <w:p w:rsidR="00470C46" w:rsidRDefault="00470C46">
                  <w:pPr>
                    <w:spacing w:line="252" w:lineRule="auto"/>
                    <w:jc w:val="center"/>
                    <w:rPr>
                      <w:rFonts w:ascii="Andes ExtraLight" w:hAnsi="Andes ExtraLight"/>
                      <w:b/>
                      <w:bCs/>
                      <w:sz w:val="56"/>
                      <w:szCs w:val="56"/>
                    </w:rPr>
                  </w:pPr>
                  <w:r>
                    <w:rPr>
                      <w:noProof/>
                    </w:rPr>
                    <w:drawing>
                      <wp:inline distT="0" distB="0" distL="0" distR="0">
                        <wp:extent cx="619125" cy="581025"/>
                        <wp:effectExtent l="0" t="0" r="9525" b="9525"/>
                        <wp:docPr id="29" name="Picture 29" descr="cid:image003.jpg@01D3262E.43F9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id:image003.jpg@01D3262E.43F90260"/>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619125" cy="581025"/>
                                </a:xfrm>
                                <a:prstGeom prst="rect">
                                  <a:avLst/>
                                </a:prstGeom>
                                <a:noFill/>
                                <a:ln>
                                  <a:noFill/>
                                </a:ln>
                              </pic:spPr>
                            </pic:pic>
                          </a:graphicData>
                        </a:graphic>
                      </wp:inline>
                    </w:drawing>
                  </w:r>
                  <w:r>
                    <w:rPr>
                      <w:rFonts w:ascii="Andes ExtraLight" w:hAnsi="Andes ExtraLight"/>
                      <w:b/>
                      <w:bCs/>
                      <w:color w:val="00000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HOUSE BUZZ</w:t>
                  </w:r>
                </w:p>
              </w:tc>
            </w:tr>
            <w:tr w:rsidR="00470C46">
              <w:trPr>
                <w:trHeight w:val="297"/>
                <w:jc w:val="center"/>
              </w:trPr>
              <w:tc>
                <w:tcPr>
                  <w:tcW w:w="12391" w:type="dxa"/>
                  <w:shd w:val="clear" w:color="auto" w:fill="D9E2F3"/>
                  <w:tcMar>
                    <w:top w:w="0" w:type="dxa"/>
                    <w:left w:w="108" w:type="dxa"/>
                    <w:bottom w:w="0" w:type="dxa"/>
                    <w:right w:w="108" w:type="dxa"/>
                  </w:tcMar>
                  <w:hideMark/>
                </w:tcPr>
                <w:p w:rsidR="00470C46" w:rsidRDefault="00470C46">
                  <w:pPr>
                    <w:spacing w:line="252" w:lineRule="auto"/>
                    <w:rPr>
                      <w:rFonts w:ascii="Calibri" w:hAnsi="Calibri" w:cs="Calibri"/>
                      <w:color w:val="00B0F0"/>
                      <w:sz w:val="22"/>
                      <w:szCs w:val="22"/>
                    </w:rPr>
                  </w:pPr>
                  <w:r>
                    <w:rPr>
                      <w:b/>
                      <w:bCs/>
                      <w:color w:val="00B0F0"/>
                      <w:sz w:val="22"/>
                      <w:szCs w:val="22"/>
                    </w:rPr>
                    <w:t xml:space="preserve">Quarterly Newsletter |Issue </w:t>
                  </w:r>
                  <w:r>
                    <w:rPr>
                      <w:b/>
                      <w:bCs/>
                      <w:color w:val="00B0F0"/>
                    </w:rPr>
                    <w:t>3               AFFORDABLE HOUSING KSB NEWSLETTER</w:t>
                  </w:r>
                  <w:r>
                    <w:rPr>
                      <w:b/>
                      <w:bCs/>
                      <w:color w:val="00B0F0"/>
                      <w:sz w:val="22"/>
                      <w:szCs w:val="22"/>
                    </w:rPr>
                    <w:t>                                  September 2017</w:t>
                  </w:r>
                </w:p>
              </w:tc>
            </w:tr>
          </w:tbl>
          <w:p w:rsidR="00470C46" w:rsidRDefault="00470C46">
            <w:pPr>
              <w:jc w:val="center"/>
              <w:rPr>
                <w:rFonts w:eastAsia="Times New Roman"/>
                <w:sz w:val="20"/>
                <w:szCs w:val="20"/>
              </w:rPr>
            </w:pPr>
          </w:p>
        </w:tc>
      </w:tr>
      <w:tr w:rsidR="00470C46" w:rsidTr="00470C46">
        <w:trPr>
          <w:trHeight w:val="429"/>
          <w:jc w:val="center"/>
        </w:trPr>
        <w:tc>
          <w:tcPr>
            <w:tcW w:w="12666" w:type="dxa"/>
            <w:gridSpan w:val="3"/>
            <w:tcMar>
              <w:top w:w="0" w:type="dxa"/>
              <w:left w:w="108" w:type="dxa"/>
              <w:bottom w:w="0" w:type="dxa"/>
              <w:right w:w="108" w:type="dxa"/>
            </w:tcMar>
            <w:hideMark/>
          </w:tcPr>
          <w:p w:rsidR="00470C46" w:rsidRDefault="00470C46">
            <w:pPr>
              <w:spacing w:after="240" w:line="288" w:lineRule="auto"/>
              <w:ind w:right="144"/>
              <w:rPr>
                <w:rFonts w:ascii="Calibri" w:hAnsi="Calibri" w:cs="Calibri"/>
                <w:sz w:val="26"/>
                <w:szCs w:val="26"/>
              </w:rPr>
            </w:pPr>
            <w:r>
              <w:rPr>
                <w:b/>
                <w:bCs/>
                <w:color w:val="0070C0"/>
                <w:sz w:val="26"/>
                <w:szCs w:val="26"/>
              </w:rPr>
              <w:t xml:space="preserve">  HIGHLIGHTS – RECOMMENDED BY PEERS </w:t>
            </w:r>
          </w:p>
        </w:tc>
      </w:tr>
      <w:tr w:rsidR="00470C46" w:rsidTr="00470C46">
        <w:trPr>
          <w:trHeight w:val="5040"/>
          <w:jc w:val="center"/>
        </w:trPr>
        <w:tc>
          <w:tcPr>
            <w:tcW w:w="12666" w:type="dxa"/>
            <w:gridSpan w:val="3"/>
            <w:tcMar>
              <w:top w:w="0" w:type="dxa"/>
              <w:left w:w="108" w:type="dxa"/>
              <w:bottom w:w="0" w:type="dxa"/>
              <w:right w:w="108" w:type="dxa"/>
            </w:tcMar>
            <w:hideMark/>
          </w:tcPr>
          <w:tbl>
            <w:tblPr>
              <w:tblW w:w="12285" w:type="dxa"/>
              <w:tblCellMar>
                <w:left w:w="0" w:type="dxa"/>
                <w:right w:w="0" w:type="dxa"/>
              </w:tblCellMar>
              <w:tblLook w:val="04A0" w:firstRow="1" w:lastRow="0" w:firstColumn="1" w:lastColumn="0" w:noHBand="0" w:noVBand="1"/>
            </w:tblPr>
            <w:tblGrid>
              <w:gridCol w:w="4008"/>
              <w:gridCol w:w="301"/>
              <w:gridCol w:w="3837"/>
              <w:gridCol w:w="277"/>
              <w:gridCol w:w="14"/>
              <w:gridCol w:w="3848"/>
            </w:tblGrid>
            <w:tr w:rsidR="00470C46">
              <w:trPr>
                <w:trHeight w:val="1432"/>
              </w:trPr>
              <w:tc>
                <w:tcPr>
                  <w:tcW w:w="4010" w:type="dxa"/>
                  <w:tcMar>
                    <w:top w:w="0" w:type="dxa"/>
                    <w:left w:w="14" w:type="dxa"/>
                    <w:bottom w:w="0" w:type="dxa"/>
                    <w:right w:w="14" w:type="dxa"/>
                  </w:tcMar>
                  <w:hideMark/>
                </w:tcPr>
                <w:p w:rsidR="00470C46" w:rsidRDefault="00470C46">
                  <w:pPr>
                    <w:spacing w:after="240" w:line="288" w:lineRule="auto"/>
                    <w:ind w:right="144"/>
                    <w:jc w:val="center"/>
                    <w:rPr>
                      <w:sz w:val="21"/>
                      <w:szCs w:val="21"/>
                    </w:rPr>
                  </w:pPr>
                  <w:r>
                    <w:rPr>
                      <w:noProof/>
                    </w:rPr>
                    <w:drawing>
                      <wp:inline distT="0" distB="0" distL="0" distR="0">
                        <wp:extent cx="1628775" cy="1476375"/>
                        <wp:effectExtent l="0" t="0" r="9525" b="9525"/>
                        <wp:docPr id="28" name="Picture 28" descr="cid:image004.png@01D3262E.43F9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id:image004.png@01D3262E.43F9026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628775" cy="1476375"/>
                                </a:xfrm>
                                <a:prstGeom prst="rect">
                                  <a:avLst/>
                                </a:prstGeom>
                                <a:noFill/>
                                <a:ln>
                                  <a:noFill/>
                                </a:ln>
                              </pic:spPr>
                            </pic:pic>
                          </a:graphicData>
                        </a:graphic>
                      </wp:inline>
                    </w:drawing>
                  </w:r>
                </w:p>
              </w:tc>
              <w:tc>
                <w:tcPr>
                  <w:tcW w:w="301" w:type="dxa"/>
                </w:tcPr>
                <w:p w:rsidR="00470C46" w:rsidRDefault="00470C46">
                  <w:pPr>
                    <w:spacing w:line="288" w:lineRule="auto"/>
                    <w:jc w:val="both"/>
                    <w:rPr>
                      <w:sz w:val="22"/>
                      <w:szCs w:val="22"/>
                    </w:rPr>
                  </w:pPr>
                </w:p>
              </w:tc>
              <w:tc>
                <w:tcPr>
                  <w:tcW w:w="3839" w:type="dxa"/>
                  <w:tcMar>
                    <w:top w:w="0" w:type="dxa"/>
                    <w:left w:w="14" w:type="dxa"/>
                    <w:bottom w:w="0" w:type="dxa"/>
                    <w:right w:w="14" w:type="dxa"/>
                  </w:tcMar>
                  <w:hideMark/>
                </w:tcPr>
                <w:p w:rsidR="00470C46" w:rsidRDefault="00470C46">
                  <w:pPr>
                    <w:spacing w:line="288" w:lineRule="auto"/>
                    <w:jc w:val="center"/>
                    <w:rPr>
                      <w:b/>
                      <w:bCs/>
                      <w:color w:val="002060"/>
                      <w:sz w:val="26"/>
                      <w:szCs w:val="26"/>
                    </w:rPr>
                  </w:pPr>
                  <w:r>
                    <w:rPr>
                      <w:noProof/>
                    </w:rPr>
                    <w:drawing>
                      <wp:inline distT="0" distB="0" distL="0" distR="0">
                        <wp:extent cx="1266825" cy="1543050"/>
                        <wp:effectExtent l="0" t="0" r="9525" b="0"/>
                        <wp:docPr id="27" name="Picture 27" descr="cid:image005.png@01D3262E.43F9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id:image005.png@01D3262E.43F9026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66825" cy="1543050"/>
                                </a:xfrm>
                                <a:prstGeom prst="rect">
                                  <a:avLst/>
                                </a:prstGeom>
                                <a:noFill/>
                                <a:ln>
                                  <a:noFill/>
                                </a:ln>
                              </pic:spPr>
                            </pic:pic>
                          </a:graphicData>
                        </a:graphic>
                      </wp:inline>
                    </w:drawing>
                  </w:r>
                </w:p>
              </w:tc>
              <w:tc>
                <w:tcPr>
                  <w:tcW w:w="277" w:type="dxa"/>
                </w:tcPr>
                <w:p w:rsidR="00470C46" w:rsidRDefault="00470C46">
                  <w:pPr>
                    <w:spacing w:line="288" w:lineRule="auto"/>
                    <w:jc w:val="both"/>
                    <w:rPr>
                      <w:sz w:val="21"/>
                      <w:szCs w:val="21"/>
                    </w:rPr>
                  </w:pPr>
                </w:p>
              </w:tc>
              <w:tc>
                <w:tcPr>
                  <w:tcW w:w="14" w:type="dxa"/>
                </w:tcPr>
                <w:p w:rsidR="00470C46" w:rsidRDefault="00470C46">
                  <w:pPr>
                    <w:spacing w:line="288" w:lineRule="auto"/>
                    <w:jc w:val="both"/>
                    <w:rPr>
                      <w:sz w:val="22"/>
                      <w:szCs w:val="22"/>
                    </w:rPr>
                  </w:pPr>
                </w:p>
              </w:tc>
              <w:tc>
                <w:tcPr>
                  <w:tcW w:w="3849" w:type="dxa"/>
                  <w:tcMar>
                    <w:top w:w="0" w:type="dxa"/>
                    <w:left w:w="14" w:type="dxa"/>
                    <w:bottom w:w="0" w:type="dxa"/>
                    <w:right w:w="14" w:type="dxa"/>
                  </w:tcMar>
                  <w:hideMark/>
                </w:tcPr>
                <w:p w:rsidR="00470C46" w:rsidRDefault="00470C46">
                  <w:pPr>
                    <w:spacing w:line="288" w:lineRule="auto"/>
                    <w:jc w:val="center"/>
                  </w:pPr>
                  <w:r>
                    <w:rPr>
                      <w:noProof/>
                    </w:rPr>
                    <w:drawing>
                      <wp:inline distT="0" distB="0" distL="0" distR="0">
                        <wp:extent cx="1933575" cy="1581150"/>
                        <wp:effectExtent l="0" t="0" r="9525" b="0"/>
                        <wp:docPr id="26" name="Picture 26" descr="cid:image006.png@01D3262E.43F9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id:image006.png@01D3262E.43F9026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933575" cy="1581150"/>
                                </a:xfrm>
                                <a:prstGeom prst="rect">
                                  <a:avLst/>
                                </a:prstGeom>
                                <a:noFill/>
                                <a:ln>
                                  <a:noFill/>
                                </a:ln>
                              </pic:spPr>
                            </pic:pic>
                          </a:graphicData>
                        </a:graphic>
                      </wp:inline>
                    </w:drawing>
                  </w:r>
                </w:p>
              </w:tc>
            </w:tr>
            <w:tr w:rsidR="00470C46">
              <w:trPr>
                <w:trHeight w:val="1485"/>
              </w:trPr>
              <w:tc>
                <w:tcPr>
                  <w:tcW w:w="4010" w:type="dxa"/>
                  <w:tcBorders>
                    <w:top w:val="nil"/>
                    <w:left w:val="nil"/>
                    <w:bottom w:val="single" w:sz="8" w:space="0" w:color="5B9BD5"/>
                    <w:right w:val="nil"/>
                  </w:tcBorders>
                  <w:tcMar>
                    <w:top w:w="0" w:type="dxa"/>
                    <w:left w:w="14" w:type="dxa"/>
                    <w:bottom w:w="0" w:type="dxa"/>
                    <w:right w:w="14" w:type="dxa"/>
                  </w:tcMar>
                  <w:hideMark/>
                </w:tcPr>
                <w:p w:rsidR="00470C46" w:rsidRDefault="00470C46">
                  <w:pPr>
                    <w:spacing w:line="288" w:lineRule="auto"/>
                    <w:jc w:val="both"/>
                    <w:rPr>
                      <w:b/>
                      <w:bCs/>
                      <w:sz w:val="20"/>
                      <w:szCs w:val="20"/>
                    </w:rPr>
                  </w:pPr>
                  <w:r>
                    <w:rPr>
                      <w:b/>
                      <w:bCs/>
                      <w:sz w:val="20"/>
                      <w:szCs w:val="20"/>
                    </w:rPr>
                    <w:t>Schumpeter - Capitalism begins at home</w:t>
                  </w:r>
                </w:p>
                <w:p w:rsidR="00470C46" w:rsidRDefault="00470C46">
                  <w:pPr>
                    <w:spacing w:line="288" w:lineRule="auto"/>
                    <w:jc w:val="both"/>
                    <w:rPr>
                      <w:sz w:val="20"/>
                      <w:szCs w:val="20"/>
                    </w:rPr>
                  </w:pPr>
                  <w:r>
                    <w:rPr>
                      <w:sz w:val="20"/>
                      <w:szCs w:val="20"/>
                    </w:rPr>
                    <w:t xml:space="preserve">In the rich world 60m people spend more than 30% of their income on housing; and in the emerging world 200m households live in slums. Providing better and more affordable housing could be the next “capitalist achievement”  </w:t>
                  </w:r>
                  <w:hyperlink r:id="rId13" w:history="1">
                    <w:r>
                      <w:rPr>
                        <w:rStyle w:val="Hyperlink"/>
                        <w:b/>
                        <w:bCs/>
                        <w:sz w:val="20"/>
                        <w:szCs w:val="20"/>
                      </w:rPr>
                      <w:t>Read More</w:t>
                    </w:r>
                  </w:hyperlink>
                </w:p>
              </w:tc>
              <w:tc>
                <w:tcPr>
                  <w:tcW w:w="301" w:type="dxa"/>
                  <w:tcBorders>
                    <w:top w:val="nil"/>
                    <w:left w:val="nil"/>
                    <w:bottom w:val="single" w:sz="8" w:space="0" w:color="5B9BD5"/>
                    <w:right w:val="nil"/>
                  </w:tcBorders>
                </w:tcPr>
                <w:p w:rsidR="00470C46" w:rsidRDefault="00470C46">
                  <w:pPr>
                    <w:spacing w:line="288" w:lineRule="auto"/>
                    <w:jc w:val="both"/>
                    <w:rPr>
                      <w:sz w:val="22"/>
                      <w:szCs w:val="22"/>
                    </w:rPr>
                  </w:pPr>
                </w:p>
              </w:tc>
              <w:tc>
                <w:tcPr>
                  <w:tcW w:w="3839" w:type="dxa"/>
                  <w:tcBorders>
                    <w:top w:val="nil"/>
                    <w:left w:val="nil"/>
                    <w:bottom w:val="single" w:sz="8" w:space="0" w:color="5B9BD5"/>
                    <w:right w:val="nil"/>
                  </w:tcBorders>
                  <w:tcMar>
                    <w:top w:w="0" w:type="dxa"/>
                    <w:left w:w="14" w:type="dxa"/>
                    <w:bottom w:w="0" w:type="dxa"/>
                    <w:right w:w="14" w:type="dxa"/>
                  </w:tcMar>
                  <w:hideMark/>
                </w:tcPr>
                <w:p w:rsidR="00470C46" w:rsidRDefault="00470C46">
                  <w:pPr>
                    <w:spacing w:line="288" w:lineRule="auto"/>
                    <w:rPr>
                      <w:b/>
                      <w:bCs/>
                      <w:sz w:val="20"/>
                      <w:szCs w:val="20"/>
                    </w:rPr>
                  </w:pPr>
                  <w:r>
                    <w:rPr>
                      <w:b/>
                      <w:bCs/>
                      <w:sz w:val="20"/>
                      <w:szCs w:val="20"/>
                    </w:rPr>
                    <w:t>  The State of the Nation’s Housing 2017</w:t>
                  </w:r>
                </w:p>
                <w:p w:rsidR="00470C46" w:rsidRDefault="00470C46">
                  <w:pPr>
                    <w:spacing w:line="288" w:lineRule="auto"/>
                    <w:jc w:val="both"/>
                    <w:rPr>
                      <w:sz w:val="21"/>
                      <w:szCs w:val="21"/>
                    </w:rPr>
                  </w:pPr>
                  <w:r>
                    <w:rPr>
                      <w:sz w:val="20"/>
                      <w:szCs w:val="20"/>
                    </w:rPr>
                    <w:t xml:space="preserve"> Growing demand and tight supply are lifting home prices and rents, fueling concerns about housing affordability, </w:t>
                  </w:r>
                  <w:proofErr w:type="gramStart"/>
                  <w:r>
                    <w:rPr>
                      <w:sz w:val="20"/>
                      <w:szCs w:val="20"/>
                    </w:rPr>
                    <w:t>according to</w:t>
                  </w:r>
                  <w:proofErr w:type="gramEnd"/>
                  <w:r>
                    <w:rPr>
                      <w:sz w:val="20"/>
                      <w:szCs w:val="20"/>
                    </w:rPr>
                    <w:t xml:space="preserve"> Harvard’s Joint Center for Housing Studies’ new State of the Nation's Housing report.  </w:t>
                  </w:r>
                  <w:hyperlink r:id="rId14" w:history="1">
                    <w:r>
                      <w:rPr>
                        <w:rStyle w:val="Hyperlink"/>
                        <w:b/>
                        <w:bCs/>
                        <w:sz w:val="20"/>
                        <w:szCs w:val="20"/>
                      </w:rPr>
                      <w:t>Read More</w:t>
                    </w:r>
                  </w:hyperlink>
                  <w:r>
                    <w:rPr>
                      <w:sz w:val="20"/>
                      <w:szCs w:val="20"/>
                    </w:rPr>
                    <w:t xml:space="preserve"> </w:t>
                  </w:r>
                </w:p>
              </w:tc>
              <w:tc>
                <w:tcPr>
                  <w:tcW w:w="277" w:type="dxa"/>
                  <w:tcBorders>
                    <w:top w:val="nil"/>
                    <w:left w:val="nil"/>
                    <w:bottom w:val="single" w:sz="8" w:space="0" w:color="5B9BD5"/>
                    <w:right w:val="nil"/>
                  </w:tcBorders>
                </w:tcPr>
                <w:p w:rsidR="00470C46" w:rsidRDefault="00470C46">
                  <w:pPr>
                    <w:spacing w:line="288" w:lineRule="auto"/>
                    <w:jc w:val="both"/>
                    <w:rPr>
                      <w:sz w:val="22"/>
                      <w:szCs w:val="22"/>
                    </w:rPr>
                  </w:pPr>
                </w:p>
              </w:tc>
              <w:tc>
                <w:tcPr>
                  <w:tcW w:w="14" w:type="dxa"/>
                  <w:tcBorders>
                    <w:top w:val="nil"/>
                    <w:left w:val="nil"/>
                    <w:bottom w:val="single" w:sz="8" w:space="0" w:color="5B9BD5"/>
                    <w:right w:val="nil"/>
                  </w:tcBorders>
                </w:tcPr>
                <w:p w:rsidR="00470C46" w:rsidRDefault="00470C46">
                  <w:pPr>
                    <w:spacing w:line="288" w:lineRule="auto"/>
                    <w:jc w:val="both"/>
                  </w:pPr>
                </w:p>
              </w:tc>
              <w:tc>
                <w:tcPr>
                  <w:tcW w:w="3849" w:type="dxa"/>
                  <w:tcBorders>
                    <w:top w:val="nil"/>
                    <w:left w:val="nil"/>
                    <w:bottom w:val="single" w:sz="8" w:space="0" w:color="5B9BD5"/>
                    <w:right w:val="nil"/>
                  </w:tcBorders>
                  <w:tcMar>
                    <w:top w:w="0" w:type="dxa"/>
                    <w:left w:w="14" w:type="dxa"/>
                    <w:bottom w:w="0" w:type="dxa"/>
                    <w:right w:w="14" w:type="dxa"/>
                  </w:tcMar>
                  <w:hideMark/>
                </w:tcPr>
                <w:p w:rsidR="00470C46" w:rsidRDefault="00470C46">
                  <w:pPr>
                    <w:spacing w:line="288" w:lineRule="auto"/>
                    <w:jc w:val="both"/>
                    <w:rPr>
                      <w:b/>
                      <w:bCs/>
                      <w:sz w:val="20"/>
                      <w:szCs w:val="20"/>
                    </w:rPr>
                  </w:pPr>
                  <w:r>
                    <w:rPr>
                      <w:b/>
                      <w:bCs/>
                      <w:sz w:val="20"/>
                      <w:szCs w:val="20"/>
                    </w:rPr>
                    <w:t>Slum Upgrading and Land-Regularization</w:t>
                  </w:r>
                </w:p>
                <w:p w:rsidR="00470C46" w:rsidRDefault="00470C46">
                  <w:pPr>
                    <w:spacing w:line="288" w:lineRule="auto"/>
                    <w:jc w:val="both"/>
                    <w:rPr>
                      <w:b/>
                      <w:bCs/>
                      <w:color w:val="0000FF"/>
                      <w:sz w:val="20"/>
                      <w:szCs w:val="20"/>
                      <w:u w:val="single"/>
                    </w:rPr>
                  </w:pPr>
                  <w:r>
                    <w:rPr>
                      <w:sz w:val="20"/>
                      <w:szCs w:val="20"/>
                    </w:rPr>
                    <w:t>This urban and peri-urban slum-upgrading and land-regularization project highlights the need for flexible, context-specific and multisector programs, especially in countries struggling with political turmoil and other national issues.</w:t>
                  </w:r>
                  <w:r>
                    <w:rPr>
                      <w:color w:val="000000"/>
                      <w:sz w:val="18"/>
                      <w:szCs w:val="18"/>
                    </w:rPr>
                    <w:t xml:space="preserve"> </w:t>
                  </w:r>
                  <w:hyperlink r:id="rId15" w:history="1">
                    <w:r>
                      <w:rPr>
                        <w:rStyle w:val="Hyperlink"/>
                        <w:b/>
                        <w:bCs/>
                        <w:sz w:val="20"/>
                        <w:szCs w:val="20"/>
                      </w:rPr>
                      <w:t>Read More</w:t>
                    </w:r>
                  </w:hyperlink>
                </w:p>
              </w:tc>
            </w:tr>
          </w:tbl>
          <w:p w:rsidR="00470C46" w:rsidRDefault="00470C46">
            <w:pPr>
              <w:rPr>
                <w:rFonts w:eastAsia="Times New Roman"/>
                <w:sz w:val="20"/>
                <w:szCs w:val="20"/>
              </w:rPr>
            </w:pPr>
          </w:p>
        </w:tc>
      </w:tr>
      <w:tr w:rsidR="00470C46" w:rsidTr="00470C46">
        <w:trPr>
          <w:trHeight w:val="20463"/>
          <w:jc w:val="center"/>
        </w:trPr>
        <w:tc>
          <w:tcPr>
            <w:tcW w:w="9034" w:type="dxa"/>
            <w:tcMar>
              <w:top w:w="0" w:type="dxa"/>
              <w:left w:w="108" w:type="dxa"/>
              <w:bottom w:w="0" w:type="dxa"/>
              <w:right w:w="108" w:type="dxa"/>
            </w:tcMar>
          </w:tcPr>
          <w:p w:rsidR="00470C46" w:rsidRDefault="00470C46">
            <w:pPr>
              <w:spacing w:after="240" w:line="288" w:lineRule="auto"/>
              <w:rPr>
                <w:b/>
                <w:bCs/>
                <w:color w:val="0070C0"/>
              </w:rPr>
            </w:pPr>
            <w:r>
              <w:rPr>
                <w:b/>
                <w:bCs/>
                <w:color w:val="002060"/>
              </w:rPr>
              <w:t xml:space="preserve">   </w:t>
            </w:r>
            <w:r>
              <w:rPr>
                <w:b/>
                <w:bCs/>
                <w:color w:val="0070C0"/>
                <w:sz w:val="26"/>
                <w:szCs w:val="26"/>
              </w:rPr>
              <w:t>FEATURED NEWS</w:t>
            </w:r>
            <w:r>
              <w:rPr>
                <w:b/>
                <w:bCs/>
                <w:color w:val="0070C0"/>
              </w:rPr>
              <w:t xml:space="preserve"> </w:t>
            </w:r>
          </w:p>
          <w:tbl>
            <w:tblPr>
              <w:tblW w:w="0" w:type="auto"/>
              <w:tblCellMar>
                <w:left w:w="0" w:type="dxa"/>
                <w:right w:w="0" w:type="dxa"/>
              </w:tblCellMar>
              <w:tblLook w:val="04A0" w:firstRow="1" w:lastRow="0" w:firstColumn="1" w:lastColumn="0" w:noHBand="0" w:noVBand="1"/>
            </w:tblPr>
            <w:tblGrid>
              <w:gridCol w:w="3715"/>
              <w:gridCol w:w="5103"/>
            </w:tblGrid>
            <w:tr w:rsidR="00470C46">
              <w:trPr>
                <w:trHeight w:val="1763"/>
              </w:trPr>
              <w:tc>
                <w:tcPr>
                  <w:tcW w:w="3726" w:type="dxa"/>
                  <w:tcMar>
                    <w:top w:w="0" w:type="dxa"/>
                    <w:left w:w="108" w:type="dxa"/>
                    <w:bottom w:w="0" w:type="dxa"/>
                    <w:right w:w="108" w:type="dxa"/>
                  </w:tcMar>
                  <w:hideMark/>
                </w:tcPr>
                <w:p w:rsidR="00470C46" w:rsidRDefault="00470C46">
                  <w:pPr>
                    <w:spacing w:after="240" w:line="288" w:lineRule="auto"/>
                    <w:rPr>
                      <w:rFonts w:ascii="Calibri" w:hAnsi="Calibri" w:cs="Calibri"/>
                      <w:b/>
                      <w:bCs/>
                      <w:color w:val="0070C0"/>
                      <w:sz w:val="22"/>
                      <w:szCs w:val="22"/>
                    </w:rPr>
                  </w:pPr>
                  <w:r>
                    <w:rPr>
                      <w:noProof/>
                    </w:rPr>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1998345" cy="1009650"/>
                        <wp:effectExtent l="0" t="0" r="190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8345" cy="1009650"/>
                                </a:xfrm>
                                <a:prstGeom prst="rect">
                                  <a:avLst/>
                                </a:prstGeom>
                                <a:noFill/>
                              </pic:spPr>
                            </pic:pic>
                          </a:graphicData>
                        </a:graphic>
                        <wp14:sizeRelH relativeFrom="margin">
                          <wp14:pctWidth>0</wp14:pctWidth>
                        </wp14:sizeRelH>
                        <wp14:sizeRelV relativeFrom="margin">
                          <wp14:pctHeight>0</wp14:pctHeight>
                        </wp14:sizeRelV>
                      </wp:anchor>
                    </w:drawing>
                  </w:r>
                </w:p>
              </w:tc>
              <w:tc>
                <w:tcPr>
                  <w:tcW w:w="5211" w:type="dxa"/>
                  <w:vMerge w:val="restart"/>
                  <w:tcMar>
                    <w:top w:w="0" w:type="dxa"/>
                    <w:left w:w="108" w:type="dxa"/>
                    <w:bottom w:w="0" w:type="dxa"/>
                    <w:right w:w="108" w:type="dxa"/>
                  </w:tcMar>
                  <w:vAlign w:val="center"/>
                </w:tcPr>
                <w:p w:rsidR="00470C46" w:rsidRDefault="00470C46" w:rsidP="00470C46">
                  <w:pPr>
                    <w:pStyle w:val="ListParagraph"/>
                    <w:numPr>
                      <w:ilvl w:val="0"/>
                      <w:numId w:val="3"/>
                    </w:numPr>
                    <w:rPr>
                      <w:rStyle w:val="Hyperlink"/>
                      <w:rFonts w:ascii="Times New Roman" w:hAnsi="Times New Roman" w:cs="Times New Roman"/>
                      <w:sz w:val="24"/>
                      <w:szCs w:val="24"/>
                    </w:rPr>
                  </w:pPr>
                  <w:hyperlink r:id="rId17" w:history="1">
                    <w:r>
                      <w:rPr>
                        <w:rStyle w:val="Hyperlink"/>
                        <w:sz w:val="20"/>
                        <w:szCs w:val="20"/>
                      </w:rPr>
                      <w:t>Sustainable and Affordable Housing: A Look at WB and IFC</w:t>
                    </w:r>
                  </w:hyperlink>
                </w:p>
                <w:p w:rsidR="00470C46" w:rsidRDefault="00470C46" w:rsidP="00470C46">
                  <w:pPr>
                    <w:pStyle w:val="ListParagraph"/>
                    <w:numPr>
                      <w:ilvl w:val="0"/>
                      <w:numId w:val="3"/>
                    </w:numPr>
                    <w:rPr>
                      <w:rStyle w:val="Hyperlink"/>
                    </w:rPr>
                  </w:pPr>
                  <w:hyperlink r:id="rId18" w:history="1">
                    <w:r>
                      <w:rPr>
                        <w:rStyle w:val="Hyperlink"/>
                        <w:sz w:val="20"/>
                        <w:szCs w:val="20"/>
                      </w:rPr>
                      <w:t>Facebook and Google are both building more affordable housing in Silicon Valley</w:t>
                    </w:r>
                  </w:hyperlink>
                </w:p>
                <w:p w:rsidR="00470C46" w:rsidRDefault="00470C46" w:rsidP="00470C46">
                  <w:pPr>
                    <w:pStyle w:val="ListParagraph"/>
                    <w:numPr>
                      <w:ilvl w:val="0"/>
                      <w:numId w:val="3"/>
                    </w:numPr>
                    <w:rPr>
                      <w:rStyle w:val="Hyperlink"/>
                    </w:rPr>
                  </w:pPr>
                  <w:hyperlink r:id="rId19" w:history="1">
                    <w:r>
                      <w:rPr>
                        <w:rStyle w:val="Hyperlink"/>
                        <w:sz w:val="20"/>
                        <w:szCs w:val="20"/>
                      </w:rPr>
                      <w:t>Upgrade slums, expand rentals to ease urban housing crisis: researchers</w:t>
                    </w:r>
                  </w:hyperlink>
                </w:p>
                <w:p w:rsidR="00470C46" w:rsidRDefault="00470C46" w:rsidP="00470C46">
                  <w:pPr>
                    <w:pStyle w:val="ListParagraph"/>
                    <w:numPr>
                      <w:ilvl w:val="0"/>
                      <w:numId w:val="3"/>
                    </w:numPr>
                    <w:rPr>
                      <w:rFonts w:ascii="Times New Roman" w:hAnsi="Times New Roman" w:cs="Times New Roman"/>
                      <w:sz w:val="24"/>
                      <w:szCs w:val="24"/>
                    </w:rPr>
                  </w:pPr>
                  <w:r>
                    <w:rPr>
                      <w:color w:val="0000FF"/>
                      <w:sz w:val="20"/>
                      <w:szCs w:val="20"/>
                      <w:u w:val="single"/>
                    </w:rPr>
                    <w:t>Interview: Slum upgrades key to disaster mitigation in Indian cities, analyst says</w:t>
                  </w:r>
                </w:p>
                <w:p w:rsidR="00470C46" w:rsidRDefault="00470C46" w:rsidP="00470C46">
                  <w:pPr>
                    <w:pStyle w:val="ListParagraph"/>
                    <w:numPr>
                      <w:ilvl w:val="0"/>
                      <w:numId w:val="3"/>
                    </w:numPr>
                    <w:rPr>
                      <w:color w:val="0563C1"/>
                      <w:u w:val="single"/>
                    </w:rPr>
                  </w:pPr>
                  <w:hyperlink r:id="rId20" w:history="1">
                    <w:r>
                      <w:rPr>
                        <w:rStyle w:val="Hyperlink"/>
                        <w:sz w:val="20"/>
                        <w:szCs w:val="20"/>
                      </w:rPr>
                      <w:t>Housing Construction in Seattle and Vancouver a Study in Contrasts</w:t>
                    </w:r>
                  </w:hyperlink>
                </w:p>
                <w:p w:rsidR="00470C46" w:rsidRDefault="00470C46" w:rsidP="00470C46">
                  <w:pPr>
                    <w:pStyle w:val="ListParagraph"/>
                    <w:numPr>
                      <w:ilvl w:val="0"/>
                      <w:numId w:val="3"/>
                    </w:numPr>
                    <w:rPr>
                      <w:rStyle w:val="Hyperlink"/>
                      <w:rFonts w:ascii="Times New Roman" w:hAnsi="Times New Roman" w:cs="Times New Roman"/>
                      <w:sz w:val="20"/>
                      <w:szCs w:val="20"/>
                    </w:rPr>
                  </w:pPr>
                  <w:hyperlink r:id="rId21" w:history="1">
                    <w:r>
                      <w:rPr>
                        <w:rStyle w:val="Hyperlink"/>
                        <w:sz w:val="20"/>
                        <w:szCs w:val="20"/>
                      </w:rPr>
                      <w:t>How Nigerians can access housing finance, pay within 25 years – CBN</w:t>
                    </w:r>
                  </w:hyperlink>
                </w:p>
                <w:p w:rsidR="00470C46" w:rsidRDefault="00470C46" w:rsidP="00470C46">
                  <w:pPr>
                    <w:pStyle w:val="ListParagraph"/>
                    <w:numPr>
                      <w:ilvl w:val="0"/>
                      <w:numId w:val="3"/>
                    </w:numPr>
                    <w:rPr>
                      <w:rStyle w:val="Hyperlink"/>
                      <w:sz w:val="20"/>
                      <w:szCs w:val="20"/>
                    </w:rPr>
                  </w:pPr>
                  <w:hyperlink r:id="rId22" w:anchor="one" w:history="1">
                    <w:r>
                      <w:rPr>
                        <w:rStyle w:val="Hyperlink"/>
                        <w:sz w:val="20"/>
                        <w:szCs w:val="20"/>
                      </w:rPr>
                      <w:t>Mayor of London announces first 100% affordable housing site</w:t>
                    </w:r>
                  </w:hyperlink>
                  <w:r>
                    <w:rPr>
                      <w:rStyle w:val="Hyperlink"/>
                      <w:sz w:val="20"/>
                      <w:szCs w:val="20"/>
                    </w:rPr>
                    <w:t xml:space="preserve"> </w:t>
                  </w:r>
                </w:p>
                <w:p w:rsidR="00470C46" w:rsidRDefault="00470C46" w:rsidP="00470C46">
                  <w:pPr>
                    <w:pStyle w:val="ListParagraph"/>
                    <w:numPr>
                      <w:ilvl w:val="0"/>
                      <w:numId w:val="3"/>
                    </w:numPr>
                    <w:rPr>
                      <w:rStyle w:val="Hyperlink"/>
                      <w:sz w:val="20"/>
                      <w:szCs w:val="20"/>
                    </w:rPr>
                  </w:pPr>
                  <w:hyperlink r:id="rId23" w:history="1">
                    <w:r>
                      <w:rPr>
                        <w:rStyle w:val="Hyperlink"/>
                        <w:sz w:val="20"/>
                        <w:szCs w:val="20"/>
                      </w:rPr>
                      <w:t>Ethiopia is struggling to make housing affordable</w:t>
                    </w:r>
                  </w:hyperlink>
                </w:p>
                <w:p w:rsidR="00470C46" w:rsidRDefault="00470C46">
                  <w:pPr>
                    <w:spacing w:after="240" w:line="288" w:lineRule="auto"/>
                    <w:rPr>
                      <w:b/>
                      <w:bCs/>
                      <w:color w:val="0070C0"/>
                    </w:rPr>
                  </w:pPr>
                </w:p>
              </w:tc>
            </w:tr>
            <w:tr w:rsidR="00470C46">
              <w:trPr>
                <w:trHeight w:val="2357"/>
              </w:trPr>
              <w:tc>
                <w:tcPr>
                  <w:tcW w:w="3726" w:type="dxa"/>
                  <w:tcMar>
                    <w:top w:w="0" w:type="dxa"/>
                    <w:left w:w="108" w:type="dxa"/>
                    <w:bottom w:w="0" w:type="dxa"/>
                    <w:right w:w="108" w:type="dxa"/>
                  </w:tcMar>
                  <w:hideMark/>
                </w:tcPr>
                <w:p w:rsidR="00470C46" w:rsidRDefault="00470C46">
                  <w:pPr>
                    <w:spacing w:after="240" w:line="288" w:lineRule="auto"/>
                    <w:rPr>
                      <w:rFonts w:ascii="Calibri" w:hAnsi="Calibri" w:cs="Calibri"/>
                      <w:b/>
                      <w:bCs/>
                      <w:color w:val="0070C0"/>
                      <w:sz w:val="22"/>
                      <w:szCs w:val="22"/>
                    </w:rPr>
                  </w:pPr>
                  <w:r>
                    <w:rPr>
                      <w:noProof/>
                    </w:rPr>
                    <w:drawing>
                      <wp:anchor distT="0" distB="0" distL="114300" distR="114300" simplePos="0" relativeHeight="251658240" behindDoc="1" locked="0" layoutInCell="1" allowOverlap="1">
                        <wp:simplePos x="0" y="0"/>
                        <wp:positionH relativeFrom="column">
                          <wp:align>left</wp:align>
                        </wp:positionH>
                        <wp:positionV relativeFrom="paragraph">
                          <wp:posOffset>7028180</wp:posOffset>
                        </wp:positionV>
                        <wp:extent cx="2000250" cy="1333500"/>
                        <wp:effectExtent l="0" t="0" r="0" b="0"/>
                        <wp:wrapTight wrapText="bothSides">
                          <wp:wrapPolygon edited="0">
                            <wp:start x="0" y="0"/>
                            <wp:lineTo x="0" y="21291"/>
                            <wp:lineTo x="21394" y="21291"/>
                            <wp:lineTo x="21394" y="0"/>
                            <wp:lineTo x="0" y="0"/>
                          </wp:wrapPolygon>
                        </wp:wrapTight>
                        <wp:docPr id="38" name="Picture 38" descr="cid:image002.jpg@01D2DF7B.706BF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image002.jpg@01D2DF7B.706BF3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0250" cy="133350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vMerge/>
                  <w:vAlign w:val="center"/>
                  <w:hideMark/>
                </w:tcPr>
                <w:p w:rsidR="00470C46" w:rsidRDefault="00470C46">
                  <w:pPr>
                    <w:rPr>
                      <w:b/>
                      <w:bCs/>
                      <w:color w:val="0070C0"/>
                    </w:rPr>
                  </w:pPr>
                </w:p>
              </w:tc>
            </w:tr>
          </w:tbl>
          <w:p w:rsidR="00470C46" w:rsidRDefault="00470C46">
            <w:pPr>
              <w:spacing w:line="360" w:lineRule="auto"/>
              <w:rPr>
                <w:color w:val="0000FF"/>
                <w:sz w:val="20"/>
                <w:szCs w:val="20"/>
                <w:u w:val="single"/>
              </w:rPr>
            </w:pPr>
            <w:r>
              <w:rPr>
                <w:noProof/>
              </w:rPr>
              <w:drawing>
                <wp:anchor distT="0" distB="0" distL="114300" distR="114300" simplePos="0" relativeHeight="251658240" behindDoc="0" locked="0" layoutInCell="1" allowOverlap="1">
                  <wp:simplePos x="0" y="0"/>
                  <wp:positionH relativeFrom="column">
                    <wp:posOffset>62230</wp:posOffset>
                  </wp:positionH>
                  <wp:positionV relativeFrom="paragraph">
                    <wp:posOffset>-254000</wp:posOffset>
                  </wp:positionV>
                  <wp:extent cx="5457190" cy="45720"/>
                  <wp:effectExtent l="0" t="0" r="0"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7190" cy="45720"/>
                          </a:xfrm>
                          <a:prstGeom prst="rect">
                            <a:avLst/>
                          </a:prstGeom>
                          <a:noFill/>
                        </pic:spPr>
                      </pic:pic>
                    </a:graphicData>
                  </a:graphic>
                  <wp14:sizeRelH relativeFrom="page">
                    <wp14:pctWidth>0</wp14:pctWidth>
                  </wp14:sizeRelH>
                  <wp14:sizeRelV relativeFrom="page">
                    <wp14:pctHeight>0</wp14:pctHeight>
                  </wp14:sizeRelV>
                </wp:anchor>
              </w:drawing>
            </w:r>
            <w:r>
              <w:rPr>
                <w:b/>
                <w:bCs/>
                <w:color w:val="0070C0"/>
                <w:sz w:val="26"/>
                <w:szCs w:val="26"/>
              </w:rPr>
              <w:t>UPCOMING EVENTS</w:t>
            </w:r>
          </w:p>
          <w:p w:rsidR="00470C46" w:rsidRDefault="00470C46" w:rsidP="00470C46">
            <w:pPr>
              <w:numPr>
                <w:ilvl w:val="5"/>
                <w:numId w:val="4"/>
              </w:numPr>
              <w:spacing w:line="252" w:lineRule="auto"/>
              <w:jc w:val="both"/>
              <w:rPr>
                <w:color w:val="0563C1"/>
                <w:u w:val="single"/>
              </w:rPr>
            </w:pPr>
            <w:r>
              <w:rPr>
                <w:noProof/>
              </w:rPr>
              <w:drawing>
                <wp:anchor distT="0" distB="0" distL="114300" distR="114300" simplePos="0" relativeHeight="251658240" behindDoc="1" locked="0" layoutInCell="1" allowOverlap="1">
                  <wp:simplePos x="0" y="0"/>
                  <wp:positionH relativeFrom="column">
                    <wp:posOffset>-182880</wp:posOffset>
                  </wp:positionH>
                  <wp:positionV relativeFrom="paragraph">
                    <wp:posOffset>-3044825</wp:posOffset>
                  </wp:positionV>
                  <wp:extent cx="2009775" cy="1303655"/>
                  <wp:effectExtent l="0" t="0" r="9525" b="0"/>
                  <wp:wrapTight wrapText="bothSides">
                    <wp:wrapPolygon edited="0">
                      <wp:start x="0" y="0"/>
                      <wp:lineTo x="0" y="21148"/>
                      <wp:lineTo x="21498" y="21148"/>
                      <wp:lineTo x="2149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9775" cy="1303655"/>
                          </a:xfrm>
                          <a:prstGeom prst="rect">
                            <a:avLst/>
                          </a:prstGeom>
                          <a:noFill/>
                        </pic:spPr>
                      </pic:pic>
                    </a:graphicData>
                  </a:graphic>
                  <wp14:sizeRelH relativeFrom="page">
                    <wp14:pctWidth>0</wp14:pctWidth>
                  </wp14:sizeRelH>
                  <wp14:sizeRelV relativeFrom="page">
                    <wp14:pctHeight>0</wp14:pctHeight>
                  </wp14:sizeRelV>
                </wp:anchor>
              </w:drawing>
            </w:r>
            <w:r>
              <w:rPr>
                <w:sz w:val="20"/>
                <w:szCs w:val="20"/>
              </w:rPr>
              <w:t> </w:t>
            </w:r>
            <w:r>
              <w:rPr>
                <w:rStyle w:val="Hyperlink"/>
                <w:sz w:val="20"/>
                <w:szCs w:val="20"/>
              </w:rPr>
              <w:t>September</w:t>
            </w:r>
            <w:r>
              <w:rPr>
                <w:sz w:val="20"/>
                <w:szCs w:val="20"/>
              </w:rPr>
              <w:t xml:space="preserve"> 8, 2017</w:t>
            </w:r>
            <w:r>
              <w:rPr>
                <w:color w:val="0563C1"/>
                <w:sz w:val="20"/>
                <w:szCs w:val="20"/>
                <w:u w:val="single"/>
              </w:rPr>
              <w:t xml:space="preserve"> - </w:t>
            </w:r>
            <w:hyperlink r:id="rId27" w:history="1">
              <w:r>
                <w:rPr>
                  <w:rStyle w:val="Hyperlink"/>
                  <w:sz w:val="20"/>
                  <w:szCs w:val="20"/>
                </w:rPr>
                <w:t>4th Urbanization and Poverty Reduction Research Conference</w:t>
              </w:r>
            </w:hyperlink>
            <w:r>
              <w:rPr>
                <w:sz w:val="20"/>
                <w:szCs w:val="20"/>
              </w:rPr>
              <w:t xml:space="preserve"> </w:t>
            </w:r>
            <w:r>
              <w:rPr>
                <w:color w:val="0563C1"/>
                <w:sz w:val="20"/>
                <w:szCs w:val="20"/>
              </w:rPr>
              <w:t>–</w:t>
            </w:r>
            <w:r>
              <w:rPr>
                <w:color w:val="0563C1"/>
              </w:rPr>
              <w:t xml:space="preserve"> </w:t>
            </w:r>
            <w:r>
              <w:rPr>
                <w:sz w:val="20"/>
                <w:szCs w:val="20"/>
              </w:rPr>
              <w:t>This conference hosted by the World Bank, George Washington University (Institute for International Economic Policy) and the International Growth Centre Cities Program brings together academics and development practitioners to present and discuss the challenges of sustainable urban development in developing countries.</w:t>
            </w:r>
          </w:p>
          <w:p w:rsidR="00470C46" w:rsidRDefault="00470C46">
            <w:pPr>
              <w:spacing w:line="252" w:lineRule="auto"/>
              <w:ind w:left="3960"/>
              <w:jc w:val="both"/>
              <w:rPr>
                <w:color w:val="0563C1"/>
                <w:u w:val="single"/>
              </w:rPr>
            </w:pPr>
          </w:p>
          <w:p w:rsidR="00470C46" w:rsidRDefault="00470C46" w:rsidP="00470C46">
            <w:pPr>
              <w:numPr>
                <w:ilvl w:val="0"/>
                <w:numId w:val="4"/>
              </w:numPr>
              <w:spacing w:line="252" w:lineRule="auto"/>
              <w:jc w:val="both"/>
              <w:rPr>
                <w:sz w:val="20"/>
                <w:szCs w:val="20"/>
              </w:rPr>
            </w:pPr>
            <w:hyperlink r:id="rId28" w:history="1">
              <w:r>
                <w:rPr>
                  <w:rStyle w:val="Hyperlink"/>
                  <w:sz w:val="20"/>
                  <w:szCs w:val="20"/>
                </w:rPr>
                <w:t>Housing Finance Course for Sub-Saharan Africa</w:t>
              </w:r>
            </w:hyperlink>
            <w:r>
              <w:rPr>
                <w:color w:val="0563C1"/>
                <w:sz w:val="20"/>
                <w:szCs w:val="20"/>
                <w:u w:val="single"/>
              </w:rPr>
              <w:t xml:space="preserve"> - </w:t>
            </w:r>
            <w:r>
              <w:rPr>
                <w:sz w:val="20"/>
                <w:szCs w:val="20"/>
              </w:rPr>
              <w:t xml:space="preserve">The Centre for Affordable Housing Finance in Africa is a supporter of the Housing Finance Course for Sub-Saharan Africa. The week-long course is offered by University of Cape Town's Nedbank Urban Real Estate Research Unit in its Graduate School of Business and the Wharton School of the University of Pennsylvania. The course is taught by </w:t>
            </w:r>
            <w:proofErr w:type="spellStart"/>
            <w:r>
              <w:rPr>
                <w:sz w:val="20"/>
                <w:szCs w:val="20"/>
              </w:rPr>
              <w:t>recognised</w:t>
            </w:r>
            <w:proofErr w:type="spellEnd"/>
            <w:r>
              <w:rPr>
                <w:sz w:val="20"/>
                <w:szCs w:val="20"/>
              </w:rPr>
              <w:t xml:space="preserve"> leaders in the field, and provides an overview of the key elements of a housing finance system and while identifying the issues and constraints that prevent most housing finance systems in Sub-Saharan Africa from reaching their potential.</w:t>
            </w:r>
          </w:p>
          <w:p w:rsidR="00470C46" w:rsidRDefault="00470C46">
            <w:pPr>
              <w:spacing w:line="252" w:lineRule="auto"/>
              <w:ind w:left="360"/>
              <w:jc w:val="both"/>
              <w:rPr>
                <w:color w:val="0563C1"/>
                <w:sz w:val="20"/>
                <w:szCs w:val="20"/>
                <w:u w:val="single"/>
              </w:rPr>
            </w:pPr>
            <w:r>
              <w:rPr>
                <w:color w:val="0563C1"/>
                <w:sz w:val="20"/>
                <w:szCs w:val="20"/>
                <w:u w:val="single"/>
              </w:rPr>
              <w:t xml:space="preserve">Application deadline has been extended to 11 September 2017 – </w:t>
            </w:r>
            <w:r>
              <w:rPr>
                <w:sz w:val="20"/>
                <w:szCs w:val="20"/>
              </w:rPr>
              <w:t xml:space="preserve">click </w:t>
            </w:r>
            <w:hyperlink r:id="rId29" w:history="1">
              <w:r>
                <w:rPr>
                  <w:rStyle w:val="Hyperlink"/>
                  <w:sz w:val="20"/>
                  <w:szCs w:val="20"/>
                </w:rPr>
                <w:t>here</w:t>
              </w:r>
            </w:hyperlink>
            <w:r>
              <w:rPr>
                <w:sz w:val="20"/>
                <w:szCs w:val="20"/>
              </w:rPr>
              <w:t xml:space="preserve"> to register</w:t>
            </w:r>
          </w:p>
          <w:p w:rsidR="00470C46" w:rsidRDefault="00470C46">
            <w:pPr>
              <w:pStyle w:val="ListParagraph"/>
              <w:spacing w:line="288" w:lineRule="auto"/>
              <w:ind w:left="360"/>
              <w:rPr>
                <w:b/>
                <w:bCs/>
                <w:color w:val="1F497D"/>
                <w:sz w:val="26"/>
                <w:szCs w:val="26"/>
              </w:rPr>
            </w:pPr>
            <w:r>
              <w:rPr>
                <w:noProof/>
              </w:rPr>
              <w:drawing>
                <wp:anchor distT="0" distB="0" distL="114300" distR="114300" simplePos="0" relativeHeight="251658240" behindDoc="0" locked="0" layoutInCell="1" allowOverlap="1">
                  <wp:simplePos x="0" y="0"/>
                  <wp:positionH relativeFrom="column">
                    <wp:posOffset>52705</wp:posOffset>
                  </wp:positionH>
                  <wp:positionV relativeFrom="paragraph">
                    <wp:posOffset>140335</wp:posOffset>
                  </wp:positionV>
                  <wp:extent cx="5619750" cy="47625"/>
                  <wp:effectExtent l="0" t="0" r="0" b="9525"/>
                  <wp:wrapNone/>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9750" cy="47625"/>
                          </a:xfrm>
                          <a:prstGeom prst="rect">
                            <a:avLst/>
                          </a:prstGeom>
                          <a:noFill/>
                        </pic:spPr>
                      </pic:pic>
                    </a:graphicData>
                  </a:graphic>
                  <wp14:sizeRelH relativeFrom="page">
                    <wp14:pctWidth>0</wp14:pctWidth>
                  </wp14:sizeRelH>
                  <wp14:sizeRelV relativeFrom="page">
                    <wp14:pctHeight>0</wp14:pctHeight>
                  </wp14:sizeRelV>
                </wp:anchor>
              </w:drawing>
            </w:r>
          </w:p>
          <w:p w:rsidR="00470C46" w:rsidRDefault="00470C46">
            <w:pPr>
              <w:spacing w:line="288" w:lineRule="auto"/>
              <w:rPr>
                <w:b/>
                <w:bCs/>
                <w:color w:val="0070C0"/>
                <w:sz w:val="26"/>
                <w:szCs w:val="26"/>
              </w:rPr>
            </w:pPr>
            <w:r>
              <w:rPr>
                <w:b/>
                <w:bCs/>
                <w:color w:val="0070C0"/>
                <w:sz w:val="26"/>
                <w:szCs w:val="26"/>
              </w:rPr>
              <w:t>FEATURED BLOGS, BOOKS AND REPORTS</w:t>
            </w:r>
          </w:p>
          <w:p w:rsidR="00470C46" w:rsidRDefault="00470C46">
            <w:pPr>
              <w:spacing w:line="288" w:lineRule="auto"/>
              <w:rPr>
                <w:b/>
                <w:bCs/>
                <w:color w:val="0070C0"/>
                <w:sz w:val="26"/>
                <w:szCs w:val="26"/>
              </w:rPr>
            </w:pPr>
          </w:p>
          <w:p w:rsidR="00470C46" w:rsidRDefault="00470C46">
            <w:pPr>
              <w:spacing w:line="288" w:lineRule="auto"/>
              <w:rPr>
                <w:sz w:val="22"/>
                <w:szCs w:val="22"/>
              </w:rPr>
            </w:pPr>
            <w:r>
              <w:rPr>
                <w:noProof/>
              </w:rPr>
              <w:drawing>
                <wp:anchor distT="0" distB="0" distL="114300" distR="114300" simplePos="0" relativeHeight="251658240" behindDoc="1" locked="0" layoutInCell="1" allowOverlap="1">
                  <wp:simplePos x="0" y="0"/>
                  <wp:positionH relativeFrom="column">
                    <wp:align>left</wp:align>
                  </wp:positionH>
                  <wp:positionV relativeFrom="paragraph">
                    <wp:posOffset>-5027295</wp:posOffset>
                  </wp:positionV>
                  <wp:extent cx="1885950" cy="1114425"/>
                  <wp:effectExtent l="0" t="0" r="0" b="9525"/>
                  <wp:wrapTight wrapText="bothSides">
                    <wp:wrapPolygon edited="0">
                      <wp:start x="0" y="0"/>
                      <wp:lineTo x="0" y="21415"/>
                      <wp:lineTo x="21382" y="21415"/>
                      <wp:lineTo x="21382"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pic:spPr>
                      </pic:pic>
                    </a:graphicData>
                  </a:graphic>
                  <wp14:sizeRelH relativeFrom="page">
                    <wp14:pctWidth>0</wp14:pctWidth>
                  </wp14:sizeRelH>
                  <wp14:sizeRelV relativeFrom="page">
                    <wp14:pctHeight>0</wp14:pctHeight>
                  </wp14:sizeRelV>
                </wp:anchor>
              </w:drawing>
            </w:r>
            <w:hyperlink r:id="rId32" w:history="1">
              <w:r>
                <w:rPr>
                  <w:rStyle w:val="Hyperlink"/>
                </w:rPr>
                <w:t>T</w:t>
              </w:r>
              <w:r>
                <w:rPr>
                  <w:rStyle w:val="Hyperlink"/>
                  <w:sz w:val="20"/>
                  <w:szCs w:val="20"/>
                </w:rPr>
                <w:t>o build resilient cities, we must treat substandard housing as a life-or-death emergency</w:t>
              </w:r>
            </w:hyperlink>
          </w:p>
          <w:p w:rsidR="00470C46" w:rsidRDefault="00470C46">
            <w:pPr>
              <w:spacing w:line="252" w:lineRule="auto"/>
              <w:ind w:right="162"/>
              <w:contextualSpacing/>
              <w:jc w:val="both"/>
              <w:rPr>
                <w:sz w:val="20"/>
                <w:szCs w:val="20"/>
              </w:rPr>
            </w:pPr>
            <w:r>
              <w:rPr>
                <w:sz w:val="20"/>
                <w:szCs w:val="20"/>
              </w:rPr>
              <w:t xml:space="preserve">To make housing more resilient, cities need to focus on two different but complementary angles: upgrading the existing housing stock, where most the poor live, while making sure that new construction is built safe, particularly for natural disasters. After all, if floods or earthquakes do not distinguish between old and new homes, why should policymakers? It is time for resilience to become part of the definition of “decent, affordable, and safe housing.”  </w:t>
            </w:r>
          </w:p>
          <w:p w:rsidR="00470C46" w:rsidRDefault="00470C46">
            <w:pPr>
              <w:spacing w:line="252" w:lineRule="auto"/>
              <w:ind w:right="162"/>
              <w:contextualSpacing/>
              <w:jc w:val="both"/>
              <w:rPr>
                <w:sz w:val="20"/>
                <w:szCs w:val="20"/>
              </w:rPr>
            </w:pPr>
          </w:p>
          <w:p w:rsidR="00470C46" w:rsidRDefault="00470C46">
            <w:pPr>
              <w:spacing w:line="252" w:lineRule="auto"/>
              <w:ind w:right="162"/>
              <w:contextualSpacing/>
              <w:jc w:val="both"/>
              <w:rPr>
                <w:sz w:val="20"/>
                <w:szCs w:val="20"/>
              </w:rPr>
            </w:pPr>
            <w:hyperlink r:id="rId33" w:history="1">
              <w:r>
                <w:rPr>
                  <w:rStyle w:val="Hyperlink"/>
                  <w:sz w:val="20"/>
                  <w:szCs w:val="20"/>
                </w:rPr>
                <w:t>To achieve #Housing4All, don't throw the baby out with the bathwater</w:t>
              </w:r>
            </w:hyperlink>
          </w:p>
          <w:p w:rsidR="00470C46" w:rsidRDefault="00470C46">
            <w:pPr>
              <w:spacing w:line="252" w:lineRule="auto"/>
              <w:ind w:right="162"/>
              <w:contextualSpacing/>
              <w:jc w:val="both"/>
              <w:rPr>
                <w:sz w:val="20"/>
                <w:szCs w:val="20"/>
              </w:rPr>
            </w:pPr>
            <w:r>
              <w:rPr>
                <w:sz w:val="20"/>
                <w:szCs w:val="20"/>
              </w:rPr>
              <w:t xml:space="preserve">As we approach the 70th anniversary in 2018 of the declaration of housing as a “universal human right,” it’s time for governments to turn to an obvious solution for closing the housing gap that they continue to ignore only at their peril: long-term market finance. Without a substantial increase in private capital, the housing gap will continue to increase, and so will the odds of social </w:t>
            </w:r>
            <w:proofErr w:type="spellStart"/>
            <w:proofErr w:type="gramStart"/>
            <w:r>
              <w:rPr>
                <w:sz w:val="20"/>
                <w:szCs w:val="20"/>
              </w:rPr>
              <w:t>discontent.We</w:t>
            </w:r>
            <w:proofErr w:type="spellEnd"/>
            <w:proofErr w:type="gramEnd"/>
            <w:r>
              <w:rPr>
                <w:sz w:val="20"/>
                <w:szCs w:val="20"/>
              </w:rPr>
              <w:t xml:space="preserve"> propose focusing on two non-traditional sources of capital: current homeowners that retrofit and expand their homes creating new housing solutions and private investors.</w:t>
            </w:r>
          </w:p>
          <w:p w:rsidR="00470C46" w:rsidRDefault="00470C46">
            <w:pPr>
              <w:spacing w:line="252" w:lineRule="auto"/>
              <w:ind w:right="162"/>
              <w:contextualSpacing/>
              <w:jc w:val="both"/>
              <w:rPr>
                <w:sz w:val="20"/>
                <w:szCs w:val="20"/>
              </w:rPr>
            </w:pPr>
          </w:p>
          <w:p w:rsidR="00470C46" w:rsidRDefault="00470C46">
            <w:pPr>
              <w:spacing w:line="252" w:lineRule="auto"/>
              <w:ind w:right="162"/>
              <w:contextualSpacing/>
              <w:jc w:val="both"/>
              <w:rPr>
                <w:sz w:val="20"/>
                <w:szCs w:val="20"/>
              </w:rPr>
            </w:pPr>
          </w:p>
          <w:p w:rsidR="00470C46" w:rsidRDefault="00470C46">
            <w:pPr>
              <w:spacing w:line="252" w:lineRule="auto"/>
              <w:ind w:right="162"/>
              <w:contextualSpacing/>
              <w:jc w:val="both"/>
              <w:rPr>
                <w:sz w:val="20"/>
                <w:szCs w:val="20"/>
              </w:rPr>
            </w:pPr>
            <w:r>
              <w:rPr>
                <w:noProof/>
              </w:rPr>
              <w:drawing>
                <wp:anchor distT="0" distB="0" distL="114300" distR="114300" simplePos="0" relativeHeight="251658240" behindDoc="1" locked="0" layoutInCell="1" allowOverlap="1">
                  <wp:simplePos x="0" y="0"/>
                  <wp:positionH relativeFrom="column">
                    <wp:posOffset>-182880</wp:posOffset>
                  </wp:positionH>
                  <wp:positionV relativeFrom="paragraph">
                    <wp:posOffset>-10484485</wp:posOffset>
                  </wp:positionV>
                  <wp:extent cx="1266825" cy="1771650"/>
                  <wp:effectExtent l="0" t="0" r="9525" b="0"/>
                  <wp:wrapTight wrapText="bothSides">
                    <wp:wrapPolygon edited="0">
                      <wp:start x="0" y="0"/>
                      <wp:lineTo x="0" y="21368"/>
                      <wp:lineTo x="21438" y="21368"/>
                      <wp:lineTo x="2143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66825" cy="1771650"/>
                          </a:xfrm>
                          <a:prstGeom prst="rect">
                            <a:avLst/>
                          </a:prstGeom>
                          <a:noFill/>
                        </pic:spPr>
                      </pic:pic>
                    </a:graphicData>
                  </a:graphic>
                  <wp14:sizeRelH relativeFrom="page">
                    <wp14:pctWidth>0</wp14:pctWidth>
                  </wp14:sizeRelH>
                  <wp14:sizeRelV relativeFrom="page">
                    <wp14:pctHeight>0</wp14:pctHeight>
                  </wp14:sizeRelV>
                </wp:anchor>
              </w:drawing>
            </w:r>
            <w:hyperlink r:id="rId35" w:history="1">
              <w:r>
                <w:rPr>
                  <w:rStyle w:val="Hyperlink"/>
                  <w:sz w:val="20"/>
                  <w:szCs w:val="20"/>
                </w:rPr>
                <w:t>Evicted</w:t>
              </w:r>
            </w:hyperlink>
            <w:r>
              <w:rPr>
                <w:sz w:val="20"/>
                <w:szCs w:val="20"/>
              </w:rPr>
              <w:t xml:space="preserve"> - From Harvard sociologist Matthew Desmond, a landmark work of scholarship and reportage that will forever change the way we look at poverty in America. </w:t>
            </w:r>
          </w:p>
          <w:p w:rsidR="00470C46" w:rsidRDefault="00470C46">
            <w:pPr>
              <w:spacing w:line="252" w:lineRule="auto"/>
              <w:ind w:right="162"/>
              <w:contextualSpacing/>
              <w:jc w:val="both"/>
              <w:rPr>
                <w:sz w:val="20"/>
                <w:szCs w:val="20"/>
              </w:rPr>
            </w:pPr>
            <w:r>
              <w:rPr>
                <w:sz w:val="20"/>
                <w:szCs w:val="20"/>
              </w:rPr>
              <w:t xml:space="preserve"> In this brilliant, heartbreaking book, Matthew Desmond takes us into the poorest neighborhoods of Milwaukee to tell the story of eight families on the edge. Arleen is a single mother trying to raise her two sons on the $20 a month she has left after paying for their rundown apartment. Scott is a gentle nurse consumed by a heroin addiction. Lamar, a man with no legs and a neighborhood full of boys to look after, tries to work his way out of debt. Vanetta participates in a botched stickup after her hours are cut. </w:t>
            </w:r>
            <w:proofErr w:type="gramStart"/>
            <w:r>
              <w:rPr>
                <w:sz w:val="20"/>
                <w:szCs w:val="20"/>
              </w:rPr>
              <w:t>All</w:t>
            </w:r>
            <w:proofErr w:type="gramEnd"/>
            <w:r>
              <w:rPr>
                <w:sz w:val="20"/>
                <w:szCs w:val="20"/>
              </w:rPr>
              <w:t xml:space="preserve"> are spending almost everything they have on rent, and all have fallen behind.</w:t>
            </w:r>
          </w:p>
          <w:p w:rsidR="00470C46" w:rsidRDefault="00470C46">
            <w:pPr>
              <w:spacing w:line="252" w:lineRule="auto"/>
              <w:ind w:right="162"/>
              <w:contextualSpacing/>
              <w:jc w:val="both"/>
              <w:rPr>
                <w:sz w:val="20"/>
                <w:szCs w:val="20"/>
              </w:rPr>
            </w:pPr>
          </w:p>
          <w:p w:rsidR="00470C46" w:rsidRDefault="00470C46">
            <w:pPr>
              <w:spacing w:line="252" w:lineRule="auto"/>
              <w:ind w:right="162"/>
              <w:contextualSpacing/>
              <w:jc w:val="both"/>
              <w:rPr>
                <w:sz w:val="20"/>
                <w:szCs w:val="20"/>
              </w:rPr>
            </w:pPr>
          </w:p>
          <w:p w:rsidR="00470C46" w:rsidRDefault="00470C46">
            <w:pPr>
              <w:spacing w:line="252" w:lineRule="auto"/>
              <w:ind w:right="162"/>
              <w:contextualSpacing/>
              <w:jc w:val="both"/>
              <w:rPr>
                <w:sz w:val="20"/>
                <w:szCs w:val="20"/>
                <w:lang w:val="en"/>
              </w:rPr>
            </w:pPr>
            <w:hyperlink r:id="rId36" w:history="1">
              <w:r>
                <w:rPr>
                  <w:rStyle w:val="Hyperlink"/>
                  <w:sz w:val="20"/>
                  <w:szCs w:val="20"/>
                  <w:lang w:val="en"/>
                </w:rPr>
                <w:t>Japan’s Experience in Mitigating Disaster Risk through Building Regulation</w:t>
              </w:r>
            </w:hyperlink>
          </w:p>
          <w:p w:rsidR="00470C46" w:rsidRDefault="00470C46">
            <w:pPr>
              <w:spacing w:line="252" w:lineRule="auto"/>
              <w:ind w:right="162"/>
              <w:contextualSpacing/>
              <w:jc w:val="both"/>
              <w:rPr>
                <w:sz w:val="20"/>
                <w:szCs w:val="20"/>
              </w:rPr>
            </w:pPr>
            <w:r>
              <w:rPr>
                <w:sz w:val="20"/>
                <w:szCs w:val="20"/>
              </w:rPr>
              <w:t>The World Bank’s Building Regulation for Resilience Program, with support from the Disaster Risk Management Hub, Tokyo, will launch a report that describes how Japan has transformed its built environment to enhance building safety and earthquake resilience.  The report showcases Japan’s incremental approach to developing a policy and legal framework, as well as compliance mechanisms.</w:t>
            </w:r>
          </w:p>
          <w:p w:rsidR="00470C46" w:rsidRDefault="00470C46">
            <w:pPr>
              <w:spacing w:line="252" w:lineRule="auto"/>
              <w:ind w:right="162"/>
              <w:contextualSpacing/>
              <w:jc w:val="both"/>
              <w:rPr>
                <w:sz w:val="20"/>
                <w:szCs w:val="20"/>
              </w:rPr>
            </w:pPr>
          </w:p>
          <w:p w:rsidR="00470C46" w:rsidRDefault="00470C46">
            <w:pPr>
              <w:spacing w:line="252" w:lineRule="auto"/>
              <w:ind w:right="162"/>
              <w:contextualSpacing/>
              <w:jc w:val="both"/>
              <w:rPr>
                <w:sz w:val="20"/>
                <w:szCs w:val="20"/>
              </w:rPr>
            </w:pPr>
            <w:hyperlink r:id="rId37" w:history="1">
              <w:r>
                <w:rPr>
                  <w:rStyle w:val="Hyperlink"/>
                  <w:sz w:val="20"/>
                  <w:szCs w:val="20"/>
                </w:rPr>
                <w:t>Information System for Social Housing in São Bernardo do Campo</w:t>
              </w:r>
            </w:hyperlink>
            <w:r>
              <w:rPr>
                <w:noProof/>
              </w:rPr>
              <w:drawing>
                <wp:anchor distT="0" distB="0" distL="114300" distR="114300" simplePos="0" relativeHeight="251658240" behindDoc="1" locked="0" layoutInCell="1" allowOverlap="1">
                  <wp:simplePos x="0" y="0"/>
                  <wp:positionH relativeFrom="column">
                    <wp:posOffset>-182880</wp:posOffset>
                  </wp:positionH>
                  <wp:positionV relativeFrom="paragraph">
                    <wp:posOffset>-7583805</wp:posOffset>
                  </wp:positionV>
                  <wp:extent cx="1216025" cy="1590040"/>
                  <wp:effectExtent l="0" t="0" r="3175" b="0"/>
                  <wp:wrapTight wrapText="bothSides">
                    <wp:wrapPolygon edited="0">
                      <wp:start x="0" y="0"/>
                      <wp:lineTo x="0" y="21220"/>
                      <wp:lineTo x="21318" y="21220"/>
                      <wp:lineTo x="2131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6025" cy="1590040"/>
                          </a:xfrm>
                          <a:prstGeom prst="rect">
                            <a:avLst/>
                          </a:prstGeom>
                          <a:noFill/>
                        </pic:spPr>
                      </pic:pic>
                    </a:graphicData>
                  </a:graphic>
                  <wp14:sizeRelH relativeFrom="page">
                    <wp14:pctWidth>0</wp14:pctWidth>
                  </wp14:sizeRelH>
                  <wp14:sizeRelV relativeFrom="page">
                    <wp14:pctHeight>0</wp14:pctHeight>
                  </wp14:sizeRelV>
                </wp:anchor>
              </w:drawing>
            </w:r>
            <w:r>
              <w:rPr>
                <w:sz w:val="20"/>
                <w:szCs w:val="20"/>
              </w:rPr>
              <w:t xml:space="preserve"> </w:t>
            </w:r>
          </w:p>
          <w:p w:rsidR="00470C46" w:rsidRDefault="00470C46">
            <w:pPr>
              <w:spacing w:line="252" w:lineRule="auto"/>
              <w:ind w:right="162"/>
              <w:contextualSpacing/>
              <w:jc w:val="both"/>
              <w:rPr>
                <w:sz w:val="20"/>
                <w:szCs w:val="20"/>
              </w:rPr>
            </w:pPr>
            <w:r>
              <w:rPr>
                <w:sz w:val="20"/>
                <w:szCs w:val="20"/>
              </w:rPr>
              <w:t xml:space="preserve">The publication describes the customization of the housing planning and management tool, which includes the mapping, classification and prioritization of the favela. It also </w:t>
            </w:r>
            <w:proofErr w:type="gramStart"/>
            <w:r>
              <w:rPr>
                <w:sz w:val="20"/>
                <w:szCs w:val="20"/>
              </w:rPr>
              <w:t>provides  instructions</w:t>
            </w:r>
            <w:proofErr w:type="gramEnd"/>
            <w:r>
              <w:rPr>
                <w:sz w:val="20"/>
                <w:szCs w:val="20"/>
              </w:rPr>
              <w:t xml:space="preserve">  of   how  other municipalities  can  adopt  the  System, as  well  as  the  flexibility to  customize it,  according  to  the  particular  needs  of  the  municipality  and  its  context. </w:t>
            </w:r>
            <w:proofErr w:type="gramStart"/>
            <w:r>
              <w:rPr>
                <w:sz w:val="20"/>
                <w:szCs w:val="20"/>
              </w:rPr>
              <w:t>The  World</w:t>
            </w:r>
            <w:proofErr w:type="gramEnd"/>
            <w:r>
              <w:rPr>
                <w:sz w:val="20"/>
                <w:szCs w:val="20"/>
              </w:rPr>
              <w:t xml:space="preserve">  Bank  supported the  work  relating  to  this  publication,  as well  as  the  development  of  the  HABISP the Information System for Social Housing in the City of São Paulo and  SIHISB -Information System for Social Housing in São Bernardo do Campo. </w:t>
            </w:r>
          </w:p>
          <w:p w:rsidR="00470C46" w:rsidRDefault="00470C46">
            <w:pPr>
              <w:spacing w:line="252" w:lineRule="auto"/>
              <w:ind w:right="162"/>
              <w:contextualSpacing/>
              <w:jc w:val="both"/>
              <w:rPr>
                <w:sz w:val="20"/>
                <w:szCs w:val="20"/>
              </w:rPr>
            </w:pPr>
          </w:p>
          <w:tbl>
            <w:tblPr>
              <w:tblW w:w="4950" w:type="pct"/>
              <w:jc w:val="center"/>
              <w:tblCellSpacing w:w="0" w:type="dxa"/>
              <w:tblCellMar>
                <w:left w:w="0" w:type="dxa"/>
                <w:right w:w="0" w:type="dxa"/>
              </w:tblCellMar>
              <w:tblLook w:val="04A0" w:firstRow="1" w:lastRow="0" w:firstColumn="1" w:lastColumn="0" w:noHBand="0" w:noVBand="1"/>
            </w:tblPr>
            <w:tblGrid>
              <w:gridCol w:w="8730"/>
            </w:tblGrid>
            <w:tr w:rsidR="00470C46">
              <w:trPr>
                <w:trHeight w:val="223"/>
                <w:tblCellSpacing w:w="0" w:type="dxa"/>
                <w:jc w:val="center"/>
              </w:trPr>
              <w:tc>
                <w:tcPr>
                  <w:tcW w:w="480" w:type="dxa"/>
                  <w:vAlign w:val="center"/>
                </w:tcPr>
                <w:p w:rsidR="00470C46" w:rsidRDefault="00470C46">
                  <w:pPr>
                    <w:spacing w:line="252" w:lineRule="auto"/>
                    <w:ind w:right="162"/>
                    <w:contextualSpacing/>
                    <w:jc w:val="both"/>
                    <w:rPr>
                      <w:i/>
                      <w:iCs/>
                      <w:sz w:val="20"/>
                      <w:szCs w:val="20"/>
                    </w:rPr>
                  </w:pPr>
                </w:p>
              </w:tc>
            </w:tr>
          </w:tbl>
          <w:p w:rsidR="00470C46" w:rsidRDefault="00470C46">
            <w:pPr>
              <w:spacing w:line="288" w:lineRule="auto"/>
              <w:rPr>
                <w:rFonts w:ascii="Calibri" w:hAnsi="Calibri" w:cs="Calibri"/>
                <w:sz w:val="20"/>
                <w:szCs w:val="20"/>
              </w:rPr>
            </w:pPr>
            <w:r>
              <w:rPr>
                <w:noProof/>
              </w:rPr>
              <w:drawing>
                <wp:anchor distT="0" distB="0" distL="114300" distR="114300" simplePos="0" relativeHeight="251658240" behindDoc="0" locked="0" layoutInCell="1" allowOverlap="1">
                  <wp:simplePos x="0" y="0"/>
                  <wp:positionH relativeFrom="column">
                    <wp:posOffset>5080</wp:posOffset>
                  </wp:positionH>
                  <wp:positionV relativeFrom="paragraph">
                    <wp:posOffset>121920</wp:posOffset>
                  </wp:positionV>
                  <wp:extent cx="5600700" cy="9525"/>
                  <wp:effectExtent l="0" t="0" r="0" b="9525"/>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0700" cy="9525"/>
                          </a:xfrm>
                          <a:prstGeom prst="rect">
                            <a:avLst/>
                          </a:prstGeom>
                          <a:noFill/>
                        </pic:spPr>
                      </pic:pic>
                    </a:graphicData>
                  </a:graphic>
                  <wp14:sizeRelH relativeFrom="page">
                    <wp14:pctWidth>0</wp14:pctWidth>
                  </wp14:sizeRelH>
                  <wp14:sizeRelV relativeFrom="page">
                    <wp14:pctHeight>0</wp14:pctHeight>
                  </wp14:sizeRelV>
                </wp:anchor>
              </w:drawing>
            </w:r>
          </w:p>
          <w:p w:rsidR="00470C46" w:rsidRDefault="00470C46">
            <w:pPr>
              <w:shd w:val="clear" w:color="auto" w:fill="FFFFFF"/>
              <w:spacing w:after="60" w:line="288" w:lineRule="auto"/>
              <w:textAlignment w:val="baseline"/>
              <w:rPr>
                <w:color w:val="000000"/>
                <w:sz w:val="20"/>
                <w:szCs w:val="20"/>
                <w:shd w:val="clear" w:color="auto" w:fill="FFFFFF"/>
              </w:rPr>
            </w:pPr>
            <w:r>
              <w:rPr>
                <w:b/>
                <w:bCs/>
                <w:color w:val="0070C0"/>
                <w:sz w:val="26"/>
                <w:szCs w:val="26"/>
              </w:rPr>
              <w:t>NETWORTHY ACADEMIC RESEARCH</w:t>
            </w:r>
          </w:p>
          <w:p w:rsidR="00470C46" w:rsidRDefault="00470C46">
            <w:pPr>
              <w:spacing w:line="252" w:lineRule="auto"/>
              <w:ind w:left="162" w:right="162"/>
              <w:jc w:val="both"/>
              <w:rPr>
                <w:sz w:val="20"/>
                <w:szCs w:val="20"/>
              </w:rPr>
            </w:pPr>
          </w:p>
          <w:p w:rsidR="00470C46" w:rsidRDefault="00470C46">
            <w:pPr>
              <w:spacing w:line="252" w:lineRule="auto"/>
              <w:ind w:right="432"/>
              <w:jc w:val="both"/>
              <w:rPr>
                <w:rStyle w:val="Hyperlink"/>
              </w:rPr>
            </w:pPr>
            <w:hyperlink r:id="rId40" w:history="1">
              <w:r>
                <w:rPr>
                  <w:rStyle w:val="Hyperlink"/>
                  <w:sz w:val="20"/>
                  <w:szCs w:val="20"/>
                </w:rPr>
                <w:t xml:space="preserve">Does slum </w:t>
              </w:r>
              <w:proofErr w:type="spellStart"/>
              <w:r>
                <w:rPr>
                  <w:rStyle w:val="Hyperlink"/>
                  <w:sz w:val="20"/>
                  <w:szCs w:val="20"/>
                </w:rPr>
                <w:t>formalisation</w:t>
              </w:r>
              <w:proofErr w:type="spellEnd"/>
              <w:r>
                <w:rPr>
                  <w:rStyle w:val="Hyperlink"/>
                  <w:sz w:val="20"/>
                  <w:szCs w:val="20"/>
                </w:rPr>
                <w:t xml:space="preserve"> without title provision stimulate housing improvement? A case of slum declaration in Pune, India (View Details)</w:t>
              </w:r>
            </w:hyperlink>
          </w:p>
          <w:p w:rsidR="00470C46" w:rsidRDefault="00470C46">
            <w:pPr>
              <w:spacing w:line="252" w:lineRule="auto"/>
              <w:ind w:right="162"/>
              <w:jc w:val="both"/>
            </w:pPr>
            <w:r>
              <w:rPr>
                <w:sz w:val="20"/>
                <w:szCs w:val="20"/>
              </w:rPr>
              <w:t>Nakamura, Shohei</w:t>
            </w:r>
          </w:p>
          <w:p w:rsidR="00470C46" w:rsidRDefault="00470C46">
            <w:pPr>
              <w:spacing w:line="252" w:lineRule="auto"/>
              <w:ind w:right="162"/>
              <w:jc w:val="both"/>
              <w:rPr>
                <w:sz w:val="20"/>
                <w:szCs w:val="20"/>
              </w:rPr>
            </w:pPr>
            <w:r>
              <w:rPr>
                <w:b/>
                <w:bCs/>
                <w:sz w:val="20"/>
                <w:szCs w:val="20"/>
              </w:rPr>
              <w:t>Abstract</w:t>
            </w:r>
            <w:r>
              <w:rPr>
                <w:sz w:val="20"/>
                <w:szCs w:val="20"/>
              </w:rPr>
              <w:t xml:space="preserve">: Though previous studies have examined how </w:t>
            </w:r>
            <w:proofErr w:type="spellStart"/>
            <w:r>
              <w:rPr>
                <w:sz w:val="20"/>
                <w:szCs w:val="20"/>
              </w:rPr>
              <w:t>formalising</w:t>
            </w:r>
            <w:proofErr w:type="spellEnd"/>
            <w:r>
              <w:rPr>
                <w:sz w:val="20"/>
                <w:szCs w:val="20"/>
              </w:rPr>
              <w:t xml:space="preserve"> land tenure affects housing improvements</w:t>
            </w:r>
          </w:p>
          <w:p w:rsidR="00470C46" w:rsidRDefault="00470C46">
            <w:pPr>
              <w:spacing w:line="252" w:lineRule="auto"/>
              <w:ind w:right="162"/>
              <w:jc w:val="both"/>
              <w:rPr>
                <w:sz w:val="20"/>
                <w:szCs w:val="20"/>
              </w:rPr>
            </w:pPr>
            <w:r>
              <w:rPr>
                <w:sz w:val="20"/>
                <w:szCs w:val="20"/>
              </w:rPr>
              <w:t xml:space="preserve">in informal settlements, the role of tenure security and its long-term influence remain unclear. In response, this paper quantitatively examines the extent to which </w:t>
            </w:r>
            <w:proofErr w:type="spellStart"/>
            <w:r>
              <w:rPr>
                <w:sz w:val="20"/>
                <w:szCs w:val="20"/>
              </w:rPr>
              <w:t>formalising</w:t>
            </w:r>
            <w:proofErr w:type="spellEnd"/>
            <w:r>
              <w:rPr>
                <w:sz w:val="20"/>
                <w:szCs w:val="20"/>
              </w:rPr>
              <w:t xml:space="preserve"> land tenure by way of slum declaration has stimulated housing improvements during the last three decades in the slums of Pune, India. Using original household survey data, analysis involving propensity score matching and difference-in-differences methods reveals that slum declaration has tripled a household’s likelihood of having added a second floor and, albeit less clear, increased the average amount of money spent on housing improvements. At the same time, slum declaration has not induced any improvement in housing materials, largely since many residents of non-</w:t>
            </w:r>
            <w:proofErr w:type="spellStart"/>
            <w:r>
              <w:rPr>
                <w:sz w:val="20"/>
                <w:szCs w:val="20"/>
              </w:rPr>
              <w:t>formalised</w:t>
            </w:r>
            <w:proofErr w:type="spellEnd"/>
            <w:r>
              <w:rPr>
                <w:sz w:val="20"/>
                <w:szCs w:val="20"/>
              </w:rPr>
              <w:t xml:space="preserve"> slums have also replaced materials. These results indicate that slum declaration, even in the long run, has continued to influence housing investments in Pune’s slums, in terms of both type and amount spent,</w:t>
            </w:r>
          </w:p>
          <w:p w:rsidR="00470C46" w:rsidRDefault="00470C46">
            <w:pPr>
              <w:spacing w:line="252" w:lineRule="auto"/>
              <w:ind w:right="162"/>
              <w:jc w:val="both"/>
              <w:rPr>
                <w:sz w:val="20"/>
                <w:szCs w:val="20"/>
              </w:rPr>
            </w:pPr>
            <w:r>
              <w:rPr>
                <w:sz w:val="20"/>
                <w:szCs w:val="20"/>
              </w:rPr>
              <w:t>though residents of non-</w:t>
            </w:r>
            <w:proofErr w:type="spellStart"/>
            <w:r>
              <w:rPr>
                <w:sz w:val="20"/>
                <w:szCs w:val="20"/>
              </w:rPr>
              <w:t>formalised</w:t>
            </w:r>
            <w:proofErr w:type="spellEnd"/>
            <w:r>
              <w:rPr>
                <w:sz w:val="20"/>
                <w:szCs w:val="20"/>
              </w:rPr>
              <w:t xml:space="preserve"> slums have also come to enjoy certain de facto tenure security.</w:t>
            </w:r>
          </w:p>
          <w:p w:rsidR="00470C46" w:rsidRDefault="00470C46">
            <w:pPr>
              <w:spacing w:line="252" w:lineRule="auto"/>
              <w:ind w:right="162"/>
              <w:jc w:val="both"/>
              <w:rPr>
                <w:sz w:val="20"/>
                <w:szCs w:val="20"/>
              </w:rPr>
            </w:pPr>
            <w:r>
              <w:rPr>
                <w:sz w:val="20"/>
                <w:szCs w:val="20"/>
              </w:rPr>
              <w:t>Among other implications for policy, these findings underscore that governments should at least provide legal assurance of occupancy rights in informal settlements, even if active interventions such as slum upgrading and titling are currently difficult.</w:t>
            </w:r>
          </w:p>
          <w:p w:rsidR="00470C46" w:rsidRDefault="00470C46">
            <w:pPr>
              <w:spacing w:line="252" w:lineRule="auto"/>
              <w:ind w:right="432"/>
              <w:jc w:val="both"/>
              <w:rPr>
                <w:color w:val="909090"/>
                <w:sz w:val="20"/>
                <w:szCs w:val="20"/>
              </w:rPr>
            </w:pPr>
            <w:r>
              <w:rPr>
                <w:color w:val="909090"/>
                <w:sz w:val="20"/>
                <w:szCs w:val="20"/>
              </w:rPr>
              <w:t xml:space="preserve">Urban Studies, 2017, Vol.54(7), pp.1715-1735 [Peer Reviewed Journal] </w:t>
            </w:r>
          </w:p>
          <w:p w:rsidR="00470C46" w:rsidRDefault="00470C46">
            <w:pPr>
              <w:spacing w:line="252" w:lineRule="auto"/>
              <w:ind w:right="162"/>
              <w:rPr>
                <w:sz w:val="20"/>
                <w:szCs w:val="20"/>
              </w:rPr>
            </w:pPr>
            <w:r>
              <w:rPr>
                <w:sz w:val="20"/>
                <w:szCs w:val="20"/>
              </w:rPr>
              <w:t> </w:t>
            </w:r>
          </w:p>
          <w:p w:rsidR="00470C46" w:rsidRDefault="00470C46">
            <w:pPr>
              <w:spacing w:line="252" w:lineRule="auto"/>
              <w:ind w:right="432"/>
              <w:jc w:val="both"/>
              <w:rPr>
                <w:rStyle w:val="Hyperlink"/>
              </w:rPr>
            </w:pPr>
            <w:hyperlink r:id="rId41" w:history="1">
              <w:r>
                <w:rPr>
                  <w:rStyle w:val="Hyperlink"/>
                  <w:sz w:val="20"/>
                  <w:szCs w:val="20"/>
                </w:rPr>
                <w:t>Keeping Affordable Housing Affordable in Growing Cities</w:t>
              </w:r>
            </w:hyperlink>
          </w:p>
          <w:p w:rsidR="00470C46" w:rsidRDefault="00470C46">
            <w:pPr>
              <w:spacing w:line="252" w:lineRule="auto"/>
              <w:ind w:right="162"/>
              <w:jc w:val="both"/>
            </w:pPr>
            <w:proofErr w:type="spellStart"/>
            <w:r>
              <w:rPr>
                <w:sz w:val="20"/>
                <w:szCs w:val="20"/>
              </w:rPr>
              <w:t>Oberliesen</w:t>
            </w:r>
            <w:proofErr w:type="spellEnd"/>
            <w:r>
              <w:rPr>
                <w:sz w:val="20"/>
                <w:szCs w:val="20"/>
              </w:rPr>
              <w:t>, Elise</w:t>
            </w:r>
          </w:p>
          <w:p w:rsidR="00470C46" w:rsidRDefault="00470C46">
            <w:pPr>
              <w:spacing w:line="252" w:lineRule="auto"/>
              <w:ind w:right="162"/>
              <w:jc w:val="both"/>
              <w:rPr>
                <w:sz w:val="20"/>
                <w:szCs w:val="20"/>
              </w:rPr>
            </w:pPr>
            <w:r>
              <w:rPr>
                <w:b/>
                <w:bCs/>
                <w:sz w:val="20"/>
                <w:szCs w:val="20"/>
              </w:rPr>
              <w:t>Abstract:</w:t>
            </w:r>
            <w:r>
              <w:rPr>
                <w:sz w:val="20"/>
                <w:szCs w:val="20"/>
              </w:rPr>
              <w:t xml:space="preserve"> "Pass council or county stale legislation to implement the program so it's documented and there's a community process and some level of buy in," Brooks says, Expiration dates also need to be carefully considered when establishing a new inclusionary zoning ordinance, says Ross. Since taxes are an expensive operating cost, MFTE is an attractive option for developers. "The mayor and city council last year approved a mill levy dedicating some property tax revenue to an affordable housing fund and imposing an impact fee on construction, whether it's residential, commercial, or industrial, to generate new dollars invested in the creation and preservation of affordable housing," says Guerrero. The fate of CDBG funding Finding creative, inexpensive affordable housing solutions will be critical in the coming year if President Trump's 2018 budget is implemented, considering the proposed cuts to HUD-especially with Community Development Block Grants in danger.</w:t>
            </w:r>
          </w:p>
          <w:p w:rsidR="00470C46" w:rsidRDefault="00470C46">
            <w:pPr>
              <w:spacing w:line="252" w:lineRule="auto"/>
              <w:ind w:right="432"/>
              <w:jc w:val="both"/>
              <w:rPr>
                <w:color w:val="909090"/>
                <w:sz w:val="20"/>
                <w:szCs w:val="20"/>
              </w:rPr>
            </w:pPr>
            <w:r>
              <w:rPr>
                <w:color w:val="909090"/>
                <w:sz w:val="20"/>
                <w:szCs w:val="20"/>
              </w:rPr>
              <w:t>Planning, Aug/Sep 2017, Vol.83(8), pp.52-54</w:t>
            </w:r>
          </w:p>
          <w:p w:rsidR="00470C46" w:rsidRDefault="00470C46">
            <w:pPr>
              <w:spacing w:line="252" w:lineRule="auto"/>
              <w:ind w:right="432"/>
              <w:jc w:val="both"/>
              <w:rPr>
                <w:color w:val="909090"/>
                <w:sz w:val="20"/>
                <w:szCs w:val="20"/>
              </w:rPr>
            </w:pPr>
          </w:p>
          <w:p w:rsidR="00470C46" w:rsidRDefault="00470C46">
            <w:pPr>
              <w:spacing w:line="252" w:lineRule="auto"/>
              <w:ind w:right="432"/>
              <w:jc w:val="both"/>
              <w:rPr>
                <w:color w:val="0563C1"/>
                <w:sz w:val="20"/>
                <w:szCs w:val="20"/>
                <w:u w:val="single"/>
              </w:rPr>
            </w:pPr>
            <w:hyperlink r:id="rId42" w:history="1">
              <w:r>
                <w:rPr>
                  <w:rStyle w:val="Hyperlink"/>
                  <w:sz w:val="20"/>
                  <w:szCs w:val="20"/>
                </w:rPr>
                <w:t xml:space="preserve">Developing risk or resilience? Effects of slum upgrading on the social contract and social cohesion in </w:t>
              </w:r>
              <w:proofErr w:type="spellStart"/>
              <w:r>
                <w:rPr>
                  <w:rStyle w:val="Hyperlink"/>
                  <w:sz w:val="20"/>
                  <w:szCs w:val="20"/>
                </w:rPr>
                <w:t>Kibera</w:t>
              </w:r>
              <w:proofErr w:type="spellEnd"/>
              <w:r>
                <w:rPr>
                  <w:rStyle w:val="Hyperlink"/>
                  <w:sz w:val="20"/>
                  <w:szCs w:val="20"/>
                </w:rPr>
                <w:t>, Nairobi</w:t>
              </w:r>
            </w:hyperlink>
          </w:p>
          <w:p w:rsidR="00470C46" w:rsidRDefault="00470C46">
            <w:pPr>
              <w:spacing w:line="252" w:lineRule="auto"/>
              <w:ind w:right="162"/>
              <w:jc w:val="both"/>
              <w:rPr>
                <w:sz w:val="20"/>
                <w:szCs w:val="20"/>
              </w:rPr>
            </w:pPr>
            <w:proofErr w:type="spellStart"/>
            <w:r>
              <w:rPr>
                <w:sz w:val="20"/>
                <w:szCs w:val="20"/>
              </w:rPr>
              <w:t>Mitra</w:t>
            </w:r>
            <w:proofErr w:type="spellEnd"/>
            <w:r>
              <w:rPr>
                <w:sz w:val="20"/>
                <w:szCs w:val="20"/>
              </w:rPr>
              <w:t xml:space="preserve">, </w:t>
            </w:r>
            <w:proofErr w:type="gramStart"/>
            <w:r>
              <w:rPr>
                <w:sz w:val="20"/>
                <w:szCs w:val="20"/>
              </w:rPr>
              <w:t>Shreya ;</w:t>
            </w:r>
            <w:proofErr w:type="gramEnd"/>
            <w:r>
              <w:rPr>
                <w:sz w:val="20"/>
                <w:szCs w:val="20"/>
              </w:rPr>
              <w:t xml:space="preserve"> Mulligan, Joe ; Schilling, </w:t>
            </w:r>
            <w:proofErr w:type="spellStart"/>
            <w:r>
              <w:rPr>
                <w:sz w:val="20"/>
                <w:szCs w:val="20"/>
              </w:rPr>
              <w:t>Janpeter</w:t>
            </w:r>
            <w:proofErr w:type="spellEnd"/>
            <w:r>
              <w:rPr>
                <w:sz w:val="20"/>
                <w:szCs w:val="20"/>
              </w:rPr>
              <w:t xml:space="preserve"> ; Harper, </w:t>
            </w:r>
            <w:proofErr w:type="spellStart"/>
            <w:r>
              <w:rPr>
                <w:sz w:val="20"/>
                <w:szCs w:val="20"/>
              </w:rPr>
              <w:t>Jamilla</w:t>
            </w:r>
            <w:proofErr w:type="spellEnd"/>
            <w:r>
              <w:rPr>
                <w:sz w:val="20"/>
                <w:szCs w:val="20"/>
              </w:rPr>
              <w:t xml:space="preserve"> ; Vivekananda, Janani ; Krause, Lisa</w:t>
            </w:r>
          </w:p>
          <w:p w:rsidR="00470C46" w:rsidRDefault="00470C46">
            <w:pPr>
              <w:spacing w:line="252" w:lineRule="auto"/>
              <w:ind w:right="162"/>
              <w:jc w:val="both"/>
              <w:rPr>
                <w:sz w:val="20"/>
                <w:szCs w:val="20"/>
              </w:rPr>
            </w:pPr>
            <w:r>
              <w:rPr>
                <w:b/>
                <w:bCs/>
                <w:sz w:val="20"/>
                <w:szCs w:val="20"/>
              </w:rPr>
              <w:t>Abstract:</w:t>
            </w:r>
            <w:r>
              <w:rPr>
                <w:sz w:val="20"/>
                <w:szCs w:val="20"/>
              </w:rPr>
              <w:t xml:space="preserve"> In </w:t>
            </w:r>
            <w:proofErr w:type="spellStart"/>
            <w:r>
              <w:rPr>
                <w:sz w:val="20"/>
                <w:szCs w:val="20"/>
              </w:rPr>
              <w:t>Kibera</w:t>
            </w:r>
            <w:proofErr w:type="spellEnd"/>
            <w:r>
              <w:rPr>
                <w:sz w:val="20"/>
                <w:szCs w:val="20"/>
              </w:rPr>
              <w:t xml:space="preserve">, an informal settlement in Nairobi, Kenya, major development efforts are underway – namely, the Kenya Slum Upgrading </w:t>
            </w:r>
            <w:proofErr w:type="spellStart"/>
            <w:r>
              <w:rPr>
                <w:sz w:val="20"/>
                <w:szCs w:val="20"/>
              </w:rPr>
              <w:t>Programme</w:t>
            </w:r>
            <w:proofErr w:type="spellEnd"/>
            <w:r>
              <w:rPr>
                <w:sz w:val="20"/>
                <w:szCs w:val="20"/>
              </w:rPr>
              <w:t xml:space="preserve"> (</w:t>
            </w:r>
            <w:proofErr w:type="spellStart"/>
            <w:r>
              <w:rPr>
                <w:sz w:val="20"/>
                <w:szCs w:val="20"/>
              </w:rPr>
              <w:t>Kibera</w:t>
            </w:r>
            <w:proofErr w:type="spellEnd"/>
            <w:r>
              <w:rPr>
                <w:sz w:val="20"/>
                <w:szCs w:val="20"/>
              </w:rPr>
              <w:t xml:space="preserve"> Pilot), the Nairobi Railway Relocation Action Plan, and the National Youth Service-led </w:t>
            </w:r>
            <w:proofErr w:type="spellStart"/>
            <w:r>
              <w:rPr>
                <w:sz w:val="20"/>
                <w:szCs w:val="20"/>
              </w:rPr>
              <w:t>Kibera</w:t>
            </w:r>
            <w:proofErr w:type="spellEnd"/>
            <w:r>
              <w:rPr>
                <w:sz w:val="20"/>
                <w:szCs w:val="20"/>
              </w:rPr>
              <w:t xml:space="preserve"> Slum Upgrade Initiative. This paper assesses how such interventions affect the social contract and social cohesion, and hence the resilience of </w:t>
            </w:r>
            <w:proofErr w:type="spellStart"/>
            <w:r>
              <w:rPr>
                <w:sz w:val="20"/>
                <w:szCs w:val="20"/>
              </w:rPr>
              <w:t>Kibera</w:t>
            </w:r>
            <w:proofErr w:type="spellEnd"/>
            <w:r>
              <w:rPr>
                <w:sz w:val="20"/>
                <w:szCs w:val="20"/>
              </w:rPr>
              <w:t xml:space="preserve"> residents. We examine the extent to which different types of slum upgrading efforts address risks in </w:t>
            </w:r>
            <w:proofErr w:type="spellStart"/>
            <w:r>
              <w:rPr>
                <w:sz w:val="20"/>
                <w:szCs w:val="20"/>
              </w:rPr>
              <w:t>Kibera</w:t>
            </w:r>
            <w:proofErr w:type="spellEnd"/>
            <w:r>
              <w:rPr>
                <w:sz w:val="20"/>
                <w:szCs w:val="20"/>
              </w:rPr>
              <w:t>, particularly around conflict and flooding. Our findings show that these interventions can reduce conflict, crime, insecurity and flood risks, and subsequently strengthen resilience in highly dense and complex urban environments, if they do three things: first, include processes that build the social contract (such as meaningful consultation of residents and social accountability mechanisms); second, build bridging social capital between ethnic groups and avoid reducing bonding capital within groups; and third, integrate different sectoral interventions.</w:t>
            </w:r>
          </w:p>
          <w:p w:rsidR="00470C46" w:rsidRDefault="00470C46">
            <w:pPr>
              <w:spacing w:line="252" w:lineRule="auto"/>
              <w:ind w:right="432"/>
              <w:jc w:val="both"/>
              <w:rPr>
                <w:color w:val="909090"/>
                <w:sz w:val="20"/>
                <w:szCs w:val="20"/>
              </w:rPr>
            </w:pPr>
            <w:r>
              <w:rPr>
                <w:color w:val="909090"/>
                <w:sz w:val="20"/>
                <w:szCs w:val="20"/>
              </w:rPr>
              <w:t>Environment &amp; Urbanization, 2017, Vol.29(1), pp.103-122 [Peer Reviewed Journal]</w:t>
            </w:r>
          </w:p>
          <w:p w:rsidR="00470C46" w:rsidRDefault="00470C46">
            <w:pPr>
              <w:spacing w:line="252" w:lineRule="auto"/>
              <w:ind w:right="432"/>
              <w:jc w:val="both"/>
              <w:rPr>
                <w:color w:val="909090"/>
                <w:sz w:val="20"/>
                <w:szCs w:val="20"/>
              </w:rPr>
            </w:pPr>
          </w:p>
          <w:p w:rsidR="00470C46" w:rsidRDefault="00470C46">
            <w:pPr>
              <w:spacing w:line="252" w:lineRule="auto"/>
              <w:ind w:right="432"/>
              <w:jc w:val="both"/>
              <w:rPr>
                <w:rStyle w:val="Hyperlink"/>
              </w:rPr>
            </w:pPr>
            <w:hyperlink r:id="rId43" w:history="1">
              <w:r>
                <w:rPr>
                  <w:rStyle w:val="Hyperlink"/>
                  <w:sz w:val="20"/>
                  <w:szCs w:val="20"/>
                </w:rPr>
                <w:t>Review of Climbing Mount Laurel: The Struggle for Affordable Housing and Social Mobility in an American Suburb by Douglas S. Massey et al.</w:t>
              </w:r>
            </w:hyperlink>
          </w:p>
          <w:p w:rsidR="00470C46" w:rsidRDefault="00470C46">
            <w:pPr>
              <w:spacing w:line="252" w:lineRule="auto"/>
              <w:ind w:right="432"/>
              <w:jc w:val="both"/>
            </w:pPr>
            <w:r>
              <w:rPr>
                <w:sz w:val="20"/>
                <w:szCs w:val="20"/>
              </w:rPr>
              <w:t xml:space="preserve">Ioannides, </w:t>
            </w:r>
            <w:proofErr w:type="spellStart"/>
            <w:r>
              <w:rPr>
                <w:sz w:val="20"/>
                <w:szCs w:val="20"/>
              </w:rPr>
              <w:t>Yannis</w:t>
            </w:r>
            <w:proofErr w:type="spellEnd"/>
          </w:p>
          <w:p w:rsidR="00470C46" w:rsidRDefault="00470C46">
            <w:pPr>
              <w:spacing w:line="252" w:lineRule="auto"/>
              <w:ind w:right="432"/>
              <w:jc w:val="both"/>
              <w:rPr>
                <w:sz w:val="20"/>
                <w:szCs w:val="20"/>
              </w:rPr>
            </w:pPr>
            <w:r>
              <w:rPr>
                <w:b/>
                <w:bCs/>
                <w:sz w:val="20"/>
                <w:szCs w:val="20"/>
              </w:rPr>
              <w:t>Abstract:</w:t>
            </w:r>
            <w:r>
              <w:rPr>
                <w:sz w:val="20"/>
                <w:szCs w:val="20"/>
              </w:rPr>
              <w:t xml:space="preserve"> Climbing Mount Laurel, authored by a group of sociologists led by Douglas S. Massey, is about the efforts by Mount Laurel Township, NJ, residents to have affordable housing built in their community. From when it was first proposed in 1969 and until the first units were completed in 2000, the project faced extraordinary political opposition, caused </w:t>
            </w:r>
            <w:proofErr w:type="gramStart"/>
            <w:r>
              <w:rPr>
                <w:sz w:val="20"/>
                <w:szCs w:val="20"/>
              </w:rPr>
              <w:t>a number of</w:t>
            </w:r>
            <w:proofErr w:type="gramEnd"/>
            <w:r>
              <w:rPr>
                <w:sz w:val="20"/>
                <w:szCs w:val="20"/>
              </w:rPr>
              <w:t xml:space="preserve"> landmark court decisions, and motivated affordable-housing legislation by other US states. This review evaluates, from an economics perspective, the lessons learned, as argued by Massey et al., about the impact of affordable housing within the host community and on surrounding communities.</w:t>
            </w:r>
          </w:p>
          <w:p w:rsidR="00470C46" w:rsidRDefault="00470C46">
            <w:pPr>
              <w:spacing w:line="252" w:lineRule="auto"/>
              <w:ind w:right="432"/>
              <w:jc w:val="both"/>
              <w:rPr>
                <w:color w:val="909090"/>
                <w:sz w:val="20"/>
                <w:szCs w:val="20"/>
              </w:rPr>
            </w:pPr>
            <w:r>
              <w:rPr>
                <w:color w:val="909090"/>
                <w:sz w:val="20"/>
                <w:szCs w:val="20"/>
              </w:rPr>
              <w:t>Journal of Economic Literature, Jun 2017, Vol.55(2), pp.609-620 [Peer Reviewed Journal]</w:t>
            </w:r>
          </w:p>
          <w:p w:rsidR="00470C46" w:rsidRDefault="00470C46" w:rsidP="00470C46">
            <w:pPr>
              <w:spacing w:line="288" w:lineRule="auto"/>
              <w:rPr>
                <w:rFonts w:eastAsia="Times New Roman"/>
                <w:sz w:val="20"/>
                <w:szCs w:val="20"/>
              </w:rPr>
            </w:pPr>
            <w:r>
              <w:rPr>
                <w:rFonts w:eastAsia="Times New Roman"/>
                <w:sz w:val="20"/>
                <w:szCs w:val="20"/>
              </w:rPr>
              <w:pict>
                <v:rect id="_x0000_i1042" style="width:981.35pt;height:.75pt" o:hrpct="960" o:hrstd="t" o:hrnoshade="t" o:hr="t" fillcolor="#00b0f0" stroked="f"/>
              </w:pict>
            </w:r>
          </w:p>
          <w:p w:rsidR="00470C46" w:rsidRDefault="00470C46">
            <w:pPr>
              <w:spacing w:line="252" w:lineRule="auto"/>
              <w:ind w:right="432"/>
              <w:jc w:val="both"/>
              <w:rPr>
                <w:rStyle w:val="Hyperlink"/>
              </w:rPr>
            </w:pPr>
            <w:hyperlink r:id="rId44" w:history="1">
              <w:r>
                <w:rPr>
                  <w:rStyle w:val="Hyperlink"/>
                  <w:sz w:val="20"/>
                  <w:szCs w:val="20"/>
                </w:rPr>
                <w:t>The Scalability of the Shack/Slum Dwellers International Methodology: Context and Constraint in Cape Town</w:t>
              </w:r>
            </w:hyperlink>
          </w:p>
          <w:p w:rsidR="00470C46" w:rsidRDefault="00470C46">
            <w:pPr>
              <w:spacing w:line="288" w:lineRule="auto"/>
            </w:pPr>
            <w:r>
              <w:rPr>
                <w:sz w:val="20"/>
                <w:szCs w:val="20"/>
              </w:rPr>
              <w:t>Tomlinson, Richard</w:t>
            </w:r>
          </w:p>
          <w:p w:rsidR="00470C46" w:rsidRDefault="00470C46">
            <w:pPr>
              <w:spacing w:line="288" w:lineRule="auto"/>
              <w:rPr>
                <w:sz w:val="20"/>
                <w:szCs w:val="20"/>
              </w:rPr>
            </w:pPr>
            <w:r>
              <w:rPr>
                <w:sz w:val="20"/>
                <w:szCs w:val="20"/>
              </w:rPr>
              <w:t>In a context where it is projected that there will be two billion slum dwellers by 2030, the ambition is to enable tens of millions of households to obtain upgraded housing and services. This article questions the scalability and universality of the methodology in Cape Town, where the Secretariat is located.</w:t>
            </w:r>
          </w:p>
          <w:p w:rsidR="00470C46" w:rsidRDefault="00470C46">
            <w:pPr>
              <w:spacing w:line="252" w:lineRule="auto"/>
              <w:ind w:right="432"/>
              <w:jc w:val="both"/>
              <w:rPr>
                <w:color w:val="909090"/>
                <w:sz w:val="20"/>
                <w:szCs w:val="20"/>
              </w:rPr>
            </w:pPr>
            <w:r>
              <w:rPr>
                <w:color w:val="909090"/>
                <w:sz w:val="20"/>
                <w:szCs w:val="20"/>
              </w:rPr>
              <w:t>Development Policy Review, January 2017, Vol.35(1), pp.115-133 [Peer Reviewed Journal]</w:t>
            </w:r>
          </w:p>
          <w:p w:rsidR="00470C46" w:rsidRDefault="00470C46">
            <w:pPr>
              <w:spacing w:line="252" w:lineRule="auto"/>
              <w:ind w:right="432"/>
              <w:jc w:val="both"/>
              <w:rPr>
                <w:color w:val="909090"/>
                <w:sz w:val="20"/>
                <w:szCs w:val="20"/>
              </w:rPr>
            </w:pPr>
          </w:p>
          <w:p w:rsidR="00470C46" w:rsidRDefault="00470C46">
            <w:pPr>
              <w:spacing w:line="288" w:lineRule="auto"/>
              <w:rPr>
                <w:b/>
                <w:bCs/>
                <w:color w:val="0070C0"/>
                <w:sz w:val="26"/>
                <w:szCs w:val="26"/>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4445</wp:posOffset>
                  </wp:positionV>
                  <wp:extent cx="5600700" cy="9525"/>
                  <wp:effectExtent l="0" t="0" r="0" b="9525"/>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0700" cy="9525"/>
                          </a:xfrm>
                          <a:prstGeom prst="rect">
                            <a:avLst/>
                          </a:prstGeom>
                          <a:noFill/>
                        </pic:spPr>
                      </pic:pic>
                    </a:graphicData>
                  </a:graphic>
                  <wp14:sizeRelH relativeFrom="page">
                    <wp14:pctWidth>0</wp14:pctWidth>
                  </wp14:sizeRelH>
                  <wp14:sizeRelV relativeFrom="page">
                    <wp14:pctHeight>0</wp14:pctHeight>
                  </wp14:sizeRelV>
                </wp:anchor>
              </w:drawing>
            </w:r>
          </w:p>
          <w:p w:rsidR="00470C46" w:rsidRDefault="00470C46">
            <w:pPr>
              <w:spacing w:line="288" w:lineRule="auto"/>
              <w:rPr>
                <w:b/>
                <w:bCs/>
                <w:color w:val="0070C0"/>
                <w:sz w:val="26"/>
                <w:szCs w:val="26"/>
              </w:rPr>
            </w:pPr>
            <w:r>
              <w:rPr>
                <w:b/>
                <w:bCs/>
                <w:color w:val="0070C0"/>
                <w:sz w:val="26"/>
                <w:szCs w:val="26"/>
              </w:rPr>
              <w:t>LET’s DISCUSS ONLINE</w:t>
            </w:r>
          </w:p>
          <w:p w:rsidR="00470C46" w:rsidRDefault="00470C46">
            <w:pPr>
              <w:spacing w:line="288" w:lineRule="auto"/>
              <w:rPr>
                <w:sz w:val="20"/>
                <w:szCs w:val="20"/>
              </w:rPr>
            </w:pPr>
            <w:r>
              <w:rPr>
                <w:sz w:val="20"/>
                <w:szCs w:val="20"/>
              </w:rPr>
              <w:t xml:space="preserve">In case you’re interested to discuss on one of the topics highlighted in the studies/academic research included in our newsletter, please let us know by posting here: </w:t>
            </w:r>
            <w:hyperlink r:id="rId45" w:history="1">
              <w:r>
                <w:rPr>
                  <w:rStyle w:val="Hyperlink"/>
                  <w:sz w:val="20"/>
                  <w:szCs w:val="20"/>
                </w:rPr>
                <w:t>Affordable Housing KSB Spark Page</w:t>
              </w:r>
            </w:hyperlink>
          </w:p>
          <w:p w:rsidR="00470C46" w:rsidRDefault="00470C46">
            <w:pPr>
              <w:spacing w:line="252" w:lineRule="auto"/>
              <w:ind w:right="432"/>
              <w:jc w:val="both"/>
              <w:rPr>
                <w:sz w:val="20"/>
                <w:szCs w:val="20"/>
              </w:rPr>
            </w:pPr>
          </w:p>
        </w:tc>
        <w:tc>
          <w:tcPr>
            <w:tcW w:w="3632" w:type="dxa"/>
            <w:gridSpan w:val="2"/>
            <w:tcMar>
              <w:top w:w="0" w:type="dxa"/>
              <w:left w:w="108" w:type="dxa"/>
              <w:bottom w:w="0" w:type="dxa"/>
              <w:right w:w="108" w:type="dxa"/>
            </w:tcMar>
          </w:tcPr>
          <w:p w:rsidR="00470C46" w:rsidRDefault="00470C46">
            <w:pPr>
              <w:spacing w:line="288" w:lineRule="auto"/>
              <w:rPr>
                <w:b/>
                <w:bCs/>
                <w:color w:val="0070C0"/>
                <w:sz w:val="26"/>
                <w:szCs w:val="26"/>
              </w:rPr>
            </w:pPr>
            <w:r>
              <w:rPr>
                <w:b/>
                <w:bCs/>
                <w:color w:val="0070C0"/>
                <w:sz w:val="26"/>
                <w:szCs w:val="26"/>
              </w:rPr>
              <w:t>NEWS FROM ACROSS MDB’S</w:t>
            </w:r>
          </w:p>
          <w:p w:rsidR="00470C46" w:rsidRDefault="00470C46">
            <w:pPr>
              <w:spacing w:line="252" w:lineRule="auto"/>
              <w:ind w:right="162"/>
              <w:jc w:val="both"/>
              <w:rPr>
                <w:color w:val="333333"/>
                <w:sz w:val="20"/>
                <w:szCs w:val="20"/>
                <w:lang w:val="en"/>
              </w:rPr>
            </w:pPr>
          </w:p>
          <w:p w:rsidR="00470C46" w:rsidRDefault="00470C46">
            <w:pPr>
              <w:spacing w:line="252" w:lineRule="auto"/>
              <w:ind w:right="162"/>
              <w:jc w:val="both"/>
              <w:rPr>
                <w:b/>
                <w:bCs/>
                <w:color w:val="0070C0"/>
                <w:sz w:val="20"/>
                <w:szCs w:val="20"/>
                <w:lang w:val="en"/>
              </w:rPr>
            </w:pPr>
            <w:r>
              <w:rPr>
                <w:b/>
                <w:bCs/>
                <w:color w:val="0070C0"/>
                <w:sz w:val="20"/>
                <w:szCs w:val="20"/>
                <w:lang w:val="en"/>
              </w:rPr>
              <w:t>IFC</w:t>
            </w:r>
          </w:p>
          <w:p w:rsidR="00470C46" w:rsidRDefault="00470C46">
            <w:pPr>
              <w:spacing w:line="252" w:lineRule="auto"/>
              <w:ind w:right="162"/>
              <w:jc w:val="both"/>
              <w:rPr>
                <w:color w:val="333333"/>
                <w:sz w:val="20"/>
                <w:szCs w:val="20"/>
                <w:lang w:val="en"/>
              </w:rPr>
            </w:pPr>
            <w:r>
              <w:rPr>
                <w:color w:val="333333"/>
                <w:sz w:val="20"/>
                <w:szCs w:val="20"/>
                <w:lang w:val="en"/>
              </w:rPr>
              <w:t xml:space="preserve">IFC’s Financial Institutions Group (FIG) committed USD 570 million in transactions in FY17, a bit more than twice the previous year. </w:t>
            </w:r>
          </w:p>
          <w:p w:rsidR="00470C46" w:rsidRDefault="00470C46">
            <w:pPr>
              <w:spacing w:line="252" w:lineRule="auto"/>
              <w:ind w:right="162"/>
              <w:jc w:val="both"/>
              <w:rPr>
                <w:color w:val="333333"/>
                <w:sz w:val="20"/>
                <w:szCs w:val="20"/>
                <w:lang w:val="en"/>
              </w:rPr>
            </w:pPr>
            <w:r>
              <w:rPr>
                <w:color w:val="333333"/>
                <w:sz w:val="20"/>
                <w:szCs w:val="20"/>
                <w:lang w:val="en"/>
              </w:rPr>
              <w:t xml:space="preserve">• </w:t>
            </w:r>
            <w:r>
              <w:rPr>
                <w:color w:val="0070C0"/>
                <w:sz w:val="20"/>
                <w:szCs w:val="20"/>
                <w:u w:val="single"/>
                <w:lang w:val="en"/>
              </w:rPr>
              <w:t>Building green</w:t>
            </w:r>
            <w:r>
              <w:rPr>
                <w:color w:val="0070C0"/>
                <w:sz w:val="20"/>
                <w:szCs w:val="20"/>
                <w:lang w:val="en"/>
              </w:rPr>
              <w:t xml:space="preserve"> </w:t>
            </w:r>
            <w:r>
              <w:rPr>
                <w:color w:val="333333"/>
                <w:sz w:val="20"/>
                <w:szCs w:val="20"/>
                <w:lang w:val="en"/>
              </w:rPr>
              <w:t xml:space="preserve">is critical to reducing greenhouse gases as developing countries urbanize. Three FIG projects in FY17 were for energy and water efficient or “green” buildings, for a total of US$96 million. One of IFC’s top markets has been Turkey, with two notable projects last year: A credit line to </w:t>
            </w:r>
            <w:proofErr w:type="spellStart"/>
            <w:r>
              <w:rPr>
                <w:color w:val="333333"/>
                <w:sz w:val="20"/>
                <w:szCs w:val="20"/>
                <w:lang w:val="en"/>
              </w:rPr>
              <w:t>Odea</w:t>
            </w:r>
            <w:proofErr w:type="spellEnd"/>
            <w:r>
              <w:rPr>
                <w:color w:val="333333"/>
                <w:sz w:val="20"/>
                <w:szCs w:val="20"/>
                <w:lang w:val="en"/>
              </w:rPr>
              <w:t xml:space="preserve"> Bank and a covered mortgage bond for </w:t>
            </w:r>
            <w:proofErr w:type="spellStart"/>
            <w:r>
              <w:rPr>
                <w:color w:val="333333"/>
                <w:sz w:val="20"/>
                <w:szCs w:val="20"/>
                <w:lang w:val="en"/>
              </w:rPr>
              <w:t>Garanti</w:t>
            </w:r>
            <w:proofErr w:type="spellEnd"/>
            <w:r>
              <w:rPr>
                <w:color w:val="333333"/>
                <w:sz w:val="20"/>
                <w:szCs w:val="20"/>
                <w:lang w:val="en"/>
              </w:rPr>
              <w:t xml:space="preserve"> Bank, to support investments in green building &amp; green housing segments. $35 million was disbursed to </w:t>
            </w:r>
            <w:proofErr w:type="spellStart"/>
            <w:r>
              <w:rPr>
                <w:color w:val="333333"/>
                <w:sz w:val="20"/>
                <w:szCs w:val="20"/>
                <w:lang w:val="en"/>
              </w:rPr>
              <w:t>Odea</w:t>
            </w:r>
            <w:proofErr w:type="spellEnd"/>
            <w:r>
              <w:rPr>
                <w:color w:val="333333"/>
                <w:sz w:val="20"/>
                <w:szCs w:val="20"/>
                <w:lang w:val="en"/>
              </w:rPr>
              <w:t xml:space="preserve"> Bank to expand its green mortgage program, while half of the $150 million covered bond helps </w:t>
            </w:r>
            <w:proofErr w:type="spellStart"/>
            <w:r>
              <w:rPr>
                <w:color w:val="333333"/>
                <w:sz w:val="20"/>
                <w:szCs w:val="20"/>
                <w:lang w:val="en"/>
              </w:rPr>
              <w:t>Garanti</w:t>
            </w:r>
            <w:proofErr w:type="spellEnd"/>
            <w:r>
              <w:rPr>
                <w:color w:val="333333"/>
                <w:sz w:val="20"/>
                <w:szCs w:val="20"/>
                <w:lang w:val="en"/>
              </w:rPr>
              <w:t xml:space="preserve"> </w:t>
            </w:r>
            <w:proofErr w:type="spellStart"/>
            <w:r>
              <w:rPr>
                <w:color w:val="333333"/>
                <w:sz w:val="20"/>
                <w:szCs w:val="20"/>
                <w:lang w:val="en"/>
              </w:rPr>
              <w:t>Bankasi</w:t>
            </w:r>
            <w:proofErr w:type="spellEnd"/>
            <w:r>
              <w:rPr>
                <w:color w:val="333333"/>
                <w:sz w:val="20"/>
                <w:szCs w:val="20"/>
                <w:lang w:val="en"/>
              </w:rPr>
              <w:t xml:space="preserve"> to target green construction business. In addition, IFC also signed an advisory agreement with Bank Muscat, the largest commercial bank in the Sultanate of Oman, to help it launch new products and services in financing green buildings, primarily for residential use.</w:t>
            </w:r>
          </w:p>
          <w:p w:rsidR="00470C46" w:rsidRDefault="00470C46">
            <w:pPr>
              <w:spacing w:line="252" w:lineRule="auto"/>
              <w:ind w:right="162"/>
              <w:jc w:val="both"/>
              <w:rPr>
                <w:rFonts w:ascii="Calibri" w:hAnsi="Calibri" w:cs="Calibri"/>
                <w:sz w:val="22"/>
                <w:szCs w:val="22"/>
                <w:lang w:val="en"/>
              </w:rPr>
            </w:pPr>
          </w:p>
          <w:p w:rsidR="00470C46" w:rsidRDefault="00470C46">
            <w:pPr>
              <w:spacing w:line="252" w:lineRule="auto"/>
              <w:ind w:right="162"/>
              <w:jc w:val="both"/>
              <w:rPr>
                <w:color w:val="333333"/>
                <w:sz w:val="20"/>
                <w:szCs w:val="20"/>
                <w:lang w:val="en"/>
              </w:rPr>
            </w:pPr>
            <w:r>
              <w:rPr>
                <w:color w:val="333333"/>
                <w:sz w:val="20"/>
                <w:szCs w:val="20"/>
                <w:lang w:val="en"/>
              </w:rPr>
              <w:t xml:space="preserve">• </w:t>
            </w:r>
            <w:r>
              <w:rPr>
                <w:color w:val="0070C0"/>
                <w:sz w:val="20"/>
                <w:szCs w:val="20"/>
                <w:u w:val="single"/>
                <w:lang w:val="en"/>
              </w:rPr>
              <w:t xml:space="preserve">India </w:t>
            </w:r>
            <w:r>
              <w:rPr>
                <w:color w:val="333333"/>
                <w:sz w:val="20"/>
                <w:szCs w:val="20"/>
                <w:lang w:val="en"/>
              </w:rPr>
              <w:t xml:space="preserve">is an important market for IFC, given the range of enabling environment reforms at the national and state level in the past 10 years. SURR and F&amp;M have each played an important role in these reforms to titling and land markets, and to the financial system. IFC clients finance mortgages for low income and informally employed individuals in low income states such as Rajasthan and Odisha. Mortgages average as low as US$ 14,000 at some IFC lenders, and clients are artisans, and micro entrepreneurs, ranging from sidewalk tea vendors to carpenters. Reaching informally employed borrowers like these is essential in WBG markets, where informal workers often make up 70 percent of the workforce.  </w:t>
            </w:r>
          </w:p>
          <w:p w:rsidR="00470C46" w:rsidRDefault="00470C46">
            <w:pPr>
              <w:spacing w:line="252" w:lineRule="auto"/>
              <w:ind w:right="162"/>
              <w:jc w:val="both"/>
              <w:rPr>
                <w:rFonts w:ascii="Calibri" w:hAnsi="Calibri" w:cs="Calibri"/>
                <w:sz w:val="22"/>
                <w:szCs w:val="22"/>
                <w:lang w:val="en"/>
              </w:rPr>
            </w:pPr>
          </w:p>
          <w:p w:rsidR="00470C46" w:rsidRDefault="00470C46">
            <w:pPr>
              <w:spacing w:line="252" w:lineRule="auto"/>
              <w:ind w:right="162"/>
              <w:jc w:val="both"/>
              <w:rPr>
                <w:color w:val="333333"/>
                <w:sz w:val="20"/>
                <w:szCs w:val="20"/>
                <w:lang w:val="en"/>
              </w:rPr>
            </w:pPr>
            <w:r>
              <w:rPr>
                <w:color w:val="333333"/>
                <w:sz w:val="20"/>
                <w:szCs w:val="20"/>
                <w:lang w:val="en"/>
              </w:rPr>
              <w:t xml:space="preserve">• </w:t>
            </w:r>
            <w:r>
              <w:rPr>
                <w:color w:val="0070C0"/>
                <w:sz w:val="20"/>
                <w:szCs w:val="20"/>
                <w:u w:val="single"/>
                <w:lang w:val="en"/>
              </w:rPr>
              <w:t xml:space="preserve">IFC and F&amp;M are collaborating to support </w:t>
            </w:r>
            <w:proofErr w:type="spellStart"/>
            <w:r>
              <w:rPr>
                <w:color w:val="0070C0"/>
                <w:sz w:val="20"/>
                <w:szCs w:val="20"/>
                <w:u w:val="single"/>
                <w:lang w:val="en"/>
              </w:rPr>
              <w:t>Caisse</w:t>
            </w:r>
            <w:proofErr w:type="spellEnd"/>
            <w:r>
              <w:rPr>
                <w:color w:val="0070C0"/>
                <w:sz w:val="20"/>
                <w:szCs w:val="20"/>
                <w:u w:val="single"/>
                <w:lang w:val="en"/>
              </w:rPr>
              <w:t xml:space="preserve"> </w:t>
            </w:r>
            <w:proofErr w:type="spellStart"/>
            <w:r>
              <w:rPr>
                <w:color w:val="0070C0"/>
                <w:sz w:val="20"/>
                <w:szCs w:val="20"/>
                <w:u w:val="single"/>
                <w:lang w:val="en"/>
              </w:rPr>
              <w:t>Regionale</w:t>
            </w:r>
            <w:proofErr w:type="spellEnd"/>
            <w:r>
              <w:rPr>
                <w:color w:val="0070C0"/>
                <w:sz w:val="20"/>
                <w:szCs w:val="20"/>
                <w:u w:val="single"/>
                <w:lang w:val="en"/>
              </w:rPr>
              <w:t xml:space="preserve"> de </w:t>
            </w:r>
            <w:proofErr w:type="spellStart"/>
            <w:r>
              <w:rPr>
                <w:color w:val="0070C0"/>
                <w:sz w:val="20"/>
                <w:szCs w:val="20"/>
                <w:u w:val="single"/>
                <w:lang w:val="en"/>
              </w:rPr>
              <w:t>Refinancement</w:t>
            </w:r>
            <w:proofErr w:type="spellEnd"/>
            <w:r>
              <w:rPr>
                <w:color w:val="0070C0"/>
                <w:sz w:val="20"/>
                <w:szCs w:val="20"/>
                <w:u w:val="single"/>
                <w:lang w:val="en"/>
              </w:rPr>
              <w:t xml:space="preserve"> </w:t>
            </w:r>
            <w:proofErr w:type="spellStart"/>
            <w:r>
              <w:rPr>
                <w:color w:val="0070C0"/>
                <w:sz w:val="20"/>
                <w:szCs w:val="20"/>
                <w:u w:val="single"/>
                <w:lang w:val="en"/>
              </w:rPr>
              <w:t>Hypothecaire</w:t>
            </w:r>
            <w:proofErr w:type="spellEnd"/>
            <w:r>
              <w:rPr>
                <w:color w:val="0070C0"/>
                <w:sz w:val="20"/>
                <w:szCs w:val="20"/>
                <w:u w:val="single"/>
                <w:lang w:val="en"/>
              </w:rPr>
              <w:t xml:space="preserve"> (CRRH</w:t>
            </w:r>
            <w:proofErr w:type="gramStart"/>
            <w:r>
              <w:rPr>
                <w:color w:val="0070C0"/>
                <w:sz w:val="20"/>
                <w:szCs w:val="20"/>
                <w:u w:val="single"/>
                <w:lang w:val="en"/>
              </w:rPr>
              <w:t xml:space="preserve">), </w:t>
            </w:r>
            <w:r>
              <w:rPr>
                <w:color w:val="333333"/>
                <w:sz w:val="20"/>
                <w:szCs w:val="20"/>
                <w:lang w:val="en"/>
              </w:rPr>
              <w:t> a</w:t>
            </w:r>
            <w:proofErr w:type="gramEnd"/>
            <w:r>
              <w:rPr>
                <w:color w:val="333333"/>
                <w:sz w:val="20"/>
                <w:szCs w:val="20"/>
                <w:lang w:val="en"/>
              </w:rPr>
              <w:t xml:space="preserve"> mortgage liquidity facility that operates in the West African Monetary and Economic Union (WAEMU). IFC disbursed US$2 million in equity to CRRH in FY17, and is now working to participate in one of CRRH’s bond issuances, with funding from IDA PSW. </w:t>
            </w:r>
          </w:p>
          <w:p w:rsidR="00470C46" w:rsidRDefault="00470C46">
            <w:pPr>
              <w:spacing w:line="252" w:lineRule="auto"/>
              <w:ind w:right="162"/>
              <w:jc w:val="both"/>
              <w:rPr>
                <w:rFonts w:ascii="Calibri" w:hAnsi="Calibri" w:cs="Calibri"/>
                <w:sz w:val="22"/>
                <w:szCs w:val="22"/>
                <w:lang w:val="en"/>
              </w:rPr>
            </w:pPr>
          </w:p>
          <w:p w:rsidR="00470C46" w:rsidRDefault="00470C46">
            <w:pPr>
              <w:spacing w:line="252" w:lineRule="auto"/>
              <w:ind w:right="162"/>
              <w:jc w:val="both"/>
              <w:rPr>
                <w:color w:val="333333"/>
                <w:sz w:val="20"/>
                <w:szCs w:val="20"/>
                <w:lang w:val="en"/>
              </w:rPr>
            </w:pPr>
            <w:r>
              <w:rPr>
                <w:color w:val="333333"/>
                <w:sz w:val="20"/>
                <w:szCs w:val="20"/>
                <w:lang w:val="en"/>
              </w:rPr>
              <w:t xml:space="preserve">• FIG is collaborating with SURR and F&amp;M on how to better support housing in Indonesia. The team has begun with an advisory engagement with Mandala Finance in Indonesia. This microfinance institution sought support from FIG to diversify its product offering into housing micro loans. Part of this work is to apply in Indonesia relevant lessons learned from IFC’s Indian clients who lend to informally employed workers. </w:t>
            </w:r>
          </w:p>
          <w:p w:rsidR="00470C46" w:rsidRDefault="00470C46">
            <w:pPr>
              <w:spacing w:line="252" w:lineRule="auto"/>
              <w:ind w:right="162"/>
              <w:jc w:val="both"/>
              <w:rPr>
                <w:rFonts w:ascii="Calibri" w:hAnsi="Calibri" w:cs="Calibri"/>
                <w:sz w:val="22"/>
                <w:szCs w:val="22"/>
                <w:lang w:val="en"/>
              </w:rPr>
            </w:pPr>
          </w:p>
          <w:p w:rsidR="00470C46" w:rsidRDefault="00470C46">
            <w:pPr>
              <w:spacing w:line="252" w:lineRule="auto"/>
              <w:ind w:right="162"/>
              <w:jc w:val="both"/>
              <w:rPr>
                <w:color w:val="333333"/>
                <w:sz w:val="20"/>
                <w:szCs w:val="20"/>
                <w:lang w:val="en"/>
              </w:rPr>
            </w:pPr>
            <w:r>
              <w:rPr>
                <w:color w:val="333333"/>
                <w:sz w:val="20"/>
                <w:szCs w:val="20"/>
                <w:lang w:val="en"/>
              </w:rPr>
              <w:t xml:space="preserve">• </w:t>
            </w:r>
            <w:r>
              <w:rPr>
                <w:color w:val="0070C0"/>
                <w:sz w:val="20"/>
                <w:szCs w:val="20"/>
                <w:u w:val="single"/>
                <w:lang w:val="en"/>
              </w:rPr>
              <w:t>IFC is supporting a wider range of capital markets structures than in the past</w:t>
            </w:r>
            <w:r>
              <w:rPr>
                <w:color w:val="333333"/>
                <w:sz w:val="20"/>
                <w:szCs w:val="20"/>
                <w:lang w:val="en"/>
              </w:rPr>
              <w:t xml:space="preserve">. These provide important links between primary lenders and institutional investors, creating a virtuous cycle of savings and investment. The </w:t>
            </w:r>
            <w:proofErr w:type="spellStart"/>
            <w:r>
              <w:rPr>
                <w:color w:val="333333"/>
                <w:sz w:val="20"/>
                <w:szCs w:val="20"/>
                <w:lang w:val="en"/>
              </w:rPr>
              <w:t>Garanti</w:t>
            </w:r>
            <w:proofErr w:type="spellEnd"/>
            <w:r>
              <w:rPr>
                <w:color w:val="333333"/>
                <w:sz w:val="20"/>
                <w:szCs w:val="20"/>
                <w:lang w:val="en"/>
              </w:rPr>
              <w:t xml:space="preserve"> transaction in Turkey was for covered bonds; FIG is working on two additional covered bond issues in Turkey in FY18, and another in Romania. Similarly, many countries have passed laws that enable Real Estate Investment Trusts (REITs). A REIT can be a useful alternative structure to a covered bond or securitization. FIG is currently working on REIT transactions in Mexico and Argentina. </w:t>
            </w:r>
          </w:p>
          <w:p w:rsidR="00470C46" w:rsidRDefault="00470C46">
            <w:pPr>
              <w:spacing w:line="252" w:lineRule="auto"/>
              <w:ind w:right="162"/>
              <w:jc w:val="both"/>
              <w:rPr>
                <w:rFonts w:ascii="Calibri" w:hAnsi="Calibri" w:cs="Calibri"/>
                <w:sz w:val="22"/>
                <w:szCs w:val="22"/>
                <w:lang w:val="en"/>
              </w:rPr>
            </w:pPr>
          </w:p>
          <w:p w:rsidR="00470C46" w:rsidRDefault="00470C46">
            <w:pPr>
              <w:spacing w:line="252" w:lineRule="auto"/>
              <w:ind w:right="162"/>
              <w:jc w:val="both"/>
              <w:rPr>
                <w:color w:val="333333"/>
                <w:sz w:val="20"/>
                <w:szCs w:val="20"/>
                <w:lang w:val="en"/>
              </w:rPr>
            </w:pPr>
            <w:r>
              <w:rPr>
                <w:color w:val="333333"/>
                <w:sz w:val="20"/>
                <w:szCs w:val="20"/>
                <w:lang w:val="en"/>
              </w:rPr>
              <w:t xml:space="preserve">• </w:t>
            </w:r>
            <w:r>
              <w:rPr>
                <w:color w:val="0070C0"/>
                <w:sz w:val="20"/>
                <w:szCs w:val="20"/>
                <w:u w:val="single"/>
                <w:lang w:val="en"/>
              </w:rPr>
              <w:t>Rental housing</w:t>
            </w:r>
            <w:r>
              <w:rPr>
                <w:color w:val="333333"/>
                <w:sz w:val="20"/>
                <w:szCs w:val="20"/>
                <w:lang w:val="en"/>
              </w:rPr>
              <w:t xml:space="preserve"> is another potential growth area for FIG. Overall, residential rental is not well organized in WBG client countries. As we work with more institutional investors and finance REIT structures, we would expect more opportunities to materialize in this area.  </w:t>
            </w:r>
          </w:p>
          <w:p w:rsidR="00470C46" w:rsidRDefault="00470C46">
            <w:pPr>
              <w:spacing w:line="252" w:lineRule="auto"/>
              <w:jc w:val="both"/>
              <w:rPr>
                <w:sz w:val="20"/>
                <w:szCs w:val="20"/>
              </w:rPr>
            </w:pPr>
          </w:p>
          <w:p w:rsidR="00470C46" w:rsidRDefault="00470C46" w:rsidP="00470C46">
            <w:pPr>
              <w:spacing w:line="288" w:lineRule="auto"/>
              <w:rPr>
                <w:rFonts w:eastAsia="Times New Roman"/>
                <w:color w:val="00B0F0"/>
                <w:sz w:val="20"/>
                <w:szCs w:val="20"/>
              </w:rPr>
            </w:pPr>
            <w:r>
              <w:rPr>
                <w:rFonts w:eastAsia="Times New Roman"/>
                <w:color w:val="00B0F0"/>
                <w:sz w:val="20"/>
                <w:szCs w:val="20"/>
              </w:rPr>
              <w:pict>
                <v:rect id="_x0000_i1043" style="width:1022.25pt;height:.75pt" o:hrstd="t" o:hrnoshade="t" o:hr="t" fillcolor="#00b0f0" stroked="f"/>
              </w:pict>
            </w:r>
          </w:p>
          <w:p w:rsidR="00470C46" w:rsidRDefault="00470C46">
            <w:pPr>
              <w:spacing w:line="288" w:lineRule="auto"/>
              <w:rPr>
                <w:b/>
                <w:bCs/>
                <w:color w:val="0070C0"/>
                <w:sz w:val="26"/>
                <w:szCs w:val="26"/>
              </w:rPr>
            </w:pPr>
            <w:r>
              <w:rPr>
                <w:b/>
                <w:bCs/>
                <w:color w:val="0070C0"/>
                <w:sz w:val="26"/>
                <w:szCs w:val="26"/>
              </w:rPr>
              <w:t>SOCIAL MEDIA</w:t>
            </w:r>
          </w:p>
          <w:p w:rsidR="00470C46" w:rsidRDefault="00470C46">
            <w:pPr>
              <w:pStyle w:val="timeline-tweet-text"/>
              <w:shd w:val="clear" w:color="auto" w:fill="FFFFFF"/>
              <w:ind w:left="0"/>
              <w:rPr>
                <w:rFonts w:ascii="Helvetica" w:hAnsi="Helvetica" w:cs="Helvetica"/>
                <w:color w:val="292F33"/>
                <w:lang w:val="en"/>
              </w:rPr>
            </w:pPr>
            <w:r>
              <w:rPr>
                <w:noProof/>
              </w:rPr>
              <w:drawing>
                <wp:inline distT="0" distB="0" distL="0" distR="0">
                  <wp:extent cx="1000125" cy="238125"/>
                  <wp:effectExtent l="0" t="0" r="9525" b="9525"/>
                  <wp:docPr id="25" name="Picture 25" descr="cid:image023.png@01D3262E.43F9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id:image023.png@01D3262E.43F9026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p>
          <w:p w:rsidR="00470C46" w:rsidRDefault="00470C46">
            <w:pPr>
              <w:pStyle w:val="timeline-tweet-text"/>
              <w:shd w:val="clear" w:color="auto" w:fill="FFFFFF"/>
              <w:ind w:left="0"/>
              <w:rPr>
                <w:color w:val="292F33"/>
                <w:lang w:val="en"/>
              </w:rPr>
            </w:pPr>
            <w:r>
              <w:rPr>
                <w:color w:val="292F33"/>
                <w:lang w:val="en"/>
              </w:rPr>
              <w:t xml:space="preserve">DYK? In Mexico, individuals own 70% of all rental units. How will this reduce the housing gap? </w:t>
            </w:r>
            <w:hyperlink r:id="rId48" w:tgtFrame="_blank" w:tooltip="http://wrld.bg/GAxa30dOgus" w:history="1">
              <w:r>
                <w:rPr>
                  <w:rStyle w:val="u-hiddenvisually"/>
                  <w:color w:val="3B94D9"/>
                  <w:lang w:val="en"/>
                </w:rPr>
                <w:t>http://</w:t>
              </w:r>
              <w:r>
                <w:rPr>
                  <w:rStyle w:val="Hyperlink"/>
                  <w:lang w:val="en"/>
                </w:rPr>
                <w:t>wrld.bg/GAxa30dOgus</w:t>
              </w:r>
              <w:r>
                <w:rPr>
                  <w:rStyle w:val="u-hiddenvisually"/>
                  <w:color w:val="3B94D9"/>
                  <w:lang w:val="en"/>
                </w:rPr>
                <w:t> </w:t>
              </w:r>
            </w:hyperlink>
            <w:r>
              <w:rPr>
                <w:color w:val="292F33"/>
              </w:rPr>
              <w:t xml:space="preserve"> </w:t>
            </w:r>
            <w:hyperlink r:id="rId49" w:history="1">
              <w:r>
                <w:rPr>
                  <w:rStyle w:val="prettylink-prefix"/>
                  <w:color w:val="3B94D9"/>
                  <w:lang w:val="en"/>
                </w:rPr>
                <w:t>#</w:t>
              </w:r>
              <w:r>
                <w:rPr>
                  <w:rStyle w:val="prettylink-value"/>
                  <w:color w:val="3B94D9"/>
                  <w:lang w:val="en"/>
                </w:rPr>
                <w:t>Housing4All</w:t>
              </w:r>
            </w:hyperlink>
          </w:p>
          <w:p w:rsidR="00470C46" w:rsidRDefault="00470C46">
            <w:pPr>
              <w:shd w:val="clear" w:color="auto" w:fill="F5F8FA"/>
              <w:spacing w:before="100" w:beforeAutospacing="1" w:after="100" w:afterAutospacing="1" w:line="252" w:lineRule="auto"/>
              <w:rPr>
                <w:color w:val="292F33"/>
                <w:sz w:val="18"/>
                <w:szCs w:val="18"/>
                <w:lang w:val="en"/>
              </w:rPr>
            </w:pPr>
            <w:r>
              <w:rPr>
                <w:noProof/>
                <w:color w:val="3B94D9"/>
                <w:sz w:val="18"/>
                <w:szCs w:val="18"/>
              </w:rPr>
              <w:drawing>
                <wp:inline distT="0" distB="0" distL="0" distR="0">
                  <wp:extent cx="2105025" cy="1343025"/>
                  <wp:effectExtent l="0" t="0" r="9525" b="9525"/>
                  <wp:docPr id="24" name="Picture 24" descr="cid:image024.jpg@01D3262E.43F90260">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id:image024.jpg@01D3262E.43F9026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2105025" cy="1343025"/>
                          </a:xfrm>
                          <a:prstGeom prst="rect">
                            <a:avLst/>
                          </a:prstGeom>
                          <a:noFill/>
                          <a:ln>
                            <a:noFill/>
                          </a:ln>
                        </pic:spPr>
                      </pic:pic>
                    </a:graphicData>
                  </a:graphic>
                </wp:inline>
              </w:drawing>
            </w:r>
          </w:p>
          <w:p w:rsidR="00470C46" w:rsidRDefault="00470C46">
            <w:pPr>
              <w:pStyle w:val="timeline-tweet-text"/>
              <w:shd w:val="clear" w:color="auto" w:fill="FFFFFF"/>
              <w:ind w:left="0"/>
              <w:rPr>
                <w:color w:val="292F33"/>
                <w:lang w:val="en"/>
              </w:rPr>
            </w:pPr>
            <w:r>
              <w:rPr>
                <w:color w:val="292F33"/>
                <w:lang w:val="en"/>
              </w:rPr>
              <w:t xml:space="preserve">Does Peru need more affordable housing? </w:t>
            </w:r>
            <w:hyperlink r:id="rId53" w:tgtFrame="_blank" w:tooltip="http://wrld.bg/LE4630eBdEl" w:history="1">
              <w:r>
                <w:rPr>
                  <w:rStyle w:val="u-hiddenvisually"/>
                  <w:color w:val="3B94D9"/>
                  <w:lang w:val="en"/>
                </w:rPr>
                <w:t>http://</w:t>
              </w:r>
              <w:r>
                <w:rPr>
                  <w:rStyle w:val="Hyperlink"/>
                  <w:lang w:val="en"/>
                </w:rPr>
                <w:t>wrld.bg/LE4630eBdEl</w:t>
              </w:r>
              <w:r>
                <w:rPr>
                  <w:rStyle w:val="u-hiddenvisually"/>
                  <w:color w:val="3B94D9"/>
                  <w:lang w:val="en"/>
                </w:rPr>
                <w:t> </w:t>
              </w:r>
            </w:hyperlink>
            <w:r>
              <w:rPr>
                <w:color w:val="292F33"/>
              </w:rPr>
              <w:t xml:space="preserve"> </w:t>
            </w:r>
            <w:hyperlink r:id="rId54" w:history="1">
              <w:r>
                <w:rPr>
                  <w:rStyle w:val="prettylink-prefix"/>
                  <w:color w:val="3B94D9"/>
                  <w:lang w:val="en"/>
                </w:rPr>
                <w:t>#</w:t>
              </w:r>
              <w:r>
                <w:rPr>
                  <w:rStyle w:val="prettylink-value"/>
                  <w:color w:val="3B94D9"/>
                  <w:lang w:val="en"/>
                </w:rPr>
                <w:t>Housing4All</w:t>
              </w:r>
            </w:hyperlink>
            <w:r>
              <w:rPr>
                <w:color w:val="292F33"/>
              </w:rPr>
              <w:t xml:space="preserve"> </w:t>
            </w:r>
            <w:hyperlink r:id="rId55" w:history="1">
              <w:r>
                <w:rPr>
                  <w:rStyle w:val="prettylink-prefix"/>
                  <w:color w:val="3B94D9"/>
                  <w:lang w:val="en"/>
                </w:rPr>
                <w:t>@</w:t>
              </w:r>
              <w:proofErr w:type="spellStart"/>
              <w:r>
                <w:rPr>
                  <w:rStyle w:val="prettylink-value"/>
                  <w:color w:val="3B94D9"/>
                  <w:lang w:val="en"/>
                </w:rPr>
                <w:t>BancoMundialLAC</w:t>
              </w:r>
              <w:proofErr w:type="spellEnd"/>
            </w:hyperlink>
          </w:p>
          <w:p w:rsidR="00470C46" w:rsidRDefault="00470C46">
            <w:pPr>
              <w:shd w:val="clear" w:color="auto" w:fill="F5F8FA"/>
              <w:spacing w:before="100" w:beforeAutospacing="1" w:after="100" w:afterAutospacing="1" w:line="252" w:lineRule="auto"/>
              <w:rPr>
                <w:color w:val="292F33"/>
                <w:sz w:val="18"/>
                <w:szCs w:val="18"/>
                <w:lang w:val="en"/>
              </w:rPr>
            </w:pPr>
            <w:r>
              <w:rPr>
                <w:noProof/>
                <w:color w:val="3B94D9"/>
                <w:sz w:val="18"/>
                <w:szCs w:val="18"/>
              </w:rPr>
              <w:drawing>
                <wp:inline distT="0" distB="0" distL="0" distR="0">
                  <wp:extent cx="2171700" cy="1314450"/>
                  <wp:effectExtent l="0" t="0" r="0" b="0"/>
                  <wp:docPr id="23" name="Picture 23" descr="cid:image025.jpg@01D3262E.43F9026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id:image025.jpg@01D3262E.43F90260"/>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2171700" cy="1314450"/>
                          </a:xfrm>
                          <a:prstGeom prst="rect">
                            <a:avLst/>
                          </a:prstGeom>
                          <a:noFill/>
                          <a:ln>
                            <a:noFill/>
                          </a:ln>
                        </pic:spPr>
                      </pic:pic>
                    </a:graphicData>
                  </a:graphic>
                </wp:inline>
              </w:drawing>
            </w:r>
          </w:p>
          <w:p w:rsidR="00470C46" w:rsidRDefault="00470C46">
            <w:pPr>
              <w:pStyle w:val="timeline-tweet-text"/>
              <w:shd w:val="clear" w:color="auto" w:fill="FFFFFF"/>
              <w:ind w:left="0"/>
              <w:rPr>
                <w:color w:val="292F33"/>
                <w:lang w:val="en"/>
              </w:rPr>
            </w:pPr>
            <w:r>
              <w:rPr>
                <w:noProof/>
              </w:rPr>
              <w:drawing>
                <wp:inline distT="0" distB="0" distL="0" distR="0">
                  <wp:extent cx="1000125" cy="238125"/>
                  <wp:effectExtent l="0" t="0" r="9525" b="9525"/>
                  <wp:docPr id="22" name="Picture 22" descr="cid:image023.png@01D3262E.43F9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id:image023.png@01D3262E.43F90260"/>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p>
          <w:p w:rsidR="00470C46" w:rsidRDefault="00470C46">
            <w:pPr>
              <w:pStyle w:val="timeline-tweet-text"/>
              <w:shd w:val="clear" w:color="auto" w:fill="FFFFFF"/>
              <w:ind w:left="0"/>
              <w:rPr>
                <w:color w:val="292F33"/>
                <w:lang w:val="en"/>
              </w:rPr>
            </w:pPr>
            <w:r>
              <w:rPr>
                <w:color w:val="292F33"/>
                <w:lang w:val="en"/>
              </w:rPr>
              <w:t xml:space="preserve">Has your initiative helped to revive abandoned/poorly developed urban areas in your city? Get recognized </w:t>
            </w:r>
            <w:hyperlink r:id="rId61" w:history="1">
              <w:r>
                <w:rPr>
                  <w:rStyle w:val="prettylink-prefix"/>
                  <w:color w:val="3B94D9"/>
                  <w:lang w:val="en"/>
                </w:rPr>
                <w:t>#</w:t>
              </w:r>
              <w:r>
                <w:rPr>
                  <w:rStyle w:val="prettylink-value"/>
                  <w:color w:val="3B94D9"/>
                  <w:lang w:val="en"/>
                </w:rPr>
                <w:t>DubaiAward</w:t>
              </w:r>
            </w:hyperlink>
            <w:r>
              <w:rPr>
                <w:color w:val="292F33"/>
              </w:rPr>
              <w:t xml:space="preserve"> </w:t>
            </w:r>
            <w:hyperlink r:id="rId62" w:tgtFrame="_blank" w:tooltip="http://bit.ly/2xgFLTI" w:history="1">
              <w:r>
                <w:rPr>
                  <w:rStyle w:val="u-hiddenvisually"/>
                  <w:color w:val="3B94D9"/>
                  <w:lang w:val="en"/>
                </w:rPr>
                <w:t>http://</w:t>
              </w:r>
              <w:r>
                <w:rPr>
                  <w:rStyle w:val="Hyperlink"/>
                  <w:lang w:val="en"/>
                </w:rPr>
                <w:t>bit.ly/2xgFLTI</w:t>
              </w:r>
              <w:r>
                <w:rPr>
                  <w:rStyle w:val="u-hiddenvisually"/>
                  <w:color w:val="3B94D9"/>
                  <w:lang w:val="en"/>
                </w:rPr>
                <w:t> </w:t>
              </w:r>
            </w:hyperlink>
          </w:p>
          <w:p w:rsidR="00470C46" w:rsidRDefault="00470C46">
            <w:pPr>
              <w:shd w:val="clear" w:color="auto" w:fill="F5F8FA"/>
              <w:spacing w:before="100" w:beforeAutospacing="1" w:after="100" w:afterAutospacing="1" w:line="252" w:lineRule="auto"/>
              <w:rPr>
                <w:rFonts w:ascii="Helvetica" w:hAnsi="Helvetica" w:cs="Helvetica"/>
                <w:color w:val="292F33"/>
                <w:sz w:val="18"/>
                <w:szCs w:val="18"/>
                <w:lang w:val="en"/>
              </w:rPr>
            </w:pPr>
            <w:r>
              <w:rPr>
                <w:rFonts w:ascii="Helvetica" w:hAnsi="Helvetica" w:cs="Helvetica"/>
                <w:noProof/>
                <w:color w:val="3B94D9"/>
                <w:sz w:val="18"/>
                <w:szCs w:val="18"/>
              </w:rPr>
              <w:drawing>
                <wp:inline distT="0" distB="0" distL="0" distR="0">
                  <wp:extent cx="1438275" cy="447675"/>
                  <wp:effectExtent l="0" t="0" r="9525" b="9525"/>
                  <wp:docPr id="21" name="Picture 21" descr="cid:image026.jpg@01D3262E.43F90260">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id:image026.jpg@01D3262E.43F90260"/>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1438275" cy="447675"/>
                          </a:xfrm>
                          <a:prstGeom prst="rect">
                            <a:avLst/>
                          </a:prstGeom>
                          <a:noFill/>
                          <a:ln>
                            <a:noFill/>
                          </a:ln>
                        </pic:spPr>
                      </pic:pic>
                    </a:graphicData>
                  </a:graphic>
                </wp:inline>
              </w:drawing>
            </w:r>
          </w:p>
          <w:p w:rsidR="00470C46" w:rsidRDefault="00470C46" w:rsidP="00470C46">
            <w:pPr>
              <w:spacing w:line="288" w:lineRule="auto"/>
              <w:rPr>
                <w:rFonts w:eastAsia="Times New Roman"/>
                <w:b/>
                <w:bCs/>
                <w:color w:val="0070C0"/>
                <w:sz w:val="20"/>
                <w:szCs w:val="20"/>
              </w:rPr>
            </w:pPr>
            <w:r>
              <w:rPr>
                <w:rFonts w:eastAsia="Times New Roman"/>
                <w:b/>
                <w:bCs/>
                <w:color w:val="0070C0"/>
                <w:sz w:val="20"/>
                <w:szCs w:val="20"/>
              </w:rPr>
              <w:pict>
                <v:rect id="_x0000_i1044" style="width:1022.25pt;height:.75pt" o:hrstd="t" o:hrnoshade="t" o:hr="t" fillcolor="#00b0f0" stroked="f"/>
              </w:pict>
            </w:r>
          </w:p>
          <w:p w:rsidR="00470C46" w:rsidRDefault="00470C46">
            <w:pPr>
              <w:spacing w:line="288" w:lineRule="auto"/>
              <w:rPr>
                <w:b/>
                <w:bCs/>
                <w:color w:val="0070C0"/>
                <w:sz w:val="26"/>
                <w:szCs w:val="26"/>
              </w:rPr>
            </w:pPr>
            <w:r>
              <w:rPr>
                <w:b/>
                <w:bCs/>
                <w:color w:val="0070C0"/>
                <w:sz w:val="26"/>
                <w:szCs w:val="26"/>
              </w:rPr>
              <w:t>USEFUL LINKS</w:t>
            </w:r>
          </w:p>
          <w:p w:rsidR="00470C46" w:rsidRDefault="00470C46" w:rsidP="00470C46">
            <w:pPr>
              <w:numPr>
                <w:ilvl w:val="0"/>
                <w:numId w:val="5"/>
              </w:numPr>
              <w:shd w:val="clear" w:color="auto" w:fill="FFFFFF"/>
              <w:snapToGrid w:val="0"/>
              <w:spacing w:before="100" w:beforeAutospacing="1" w:after="100" w:afterAutospacing="1" w:line="288" w:lineRule="auto"/>
              <w:ind w:left="360"/>
              <w:textAlignment w:val="top"/>
              <w:rPr>
                <w:color w:val="0000FF"/>
                <w:sz w:val="20"/>
                <w:szCs w:val="20"/>
                <w:u w:val="single"/>
                <w:lang w:val="en"/>
              </w:rPr>
            </w:pPr>
            <w:hyperlink r:id="rId66" w:history="1">
              <w:r>
                <w:rPr>
                  <w:rStyle w:val="Hyperlink"/>
                  <w:sz w:val="20"/>
                  <w:szCs w:val="20"/>
                  <w:lang w:val="en"/>
                </w:rPr>
                <w:t>Housing Finance Information Network</w:t>
              </w:r>
            </w:hyperlink>
          </w:p>
          <w:p w:rsidR="00470C46" w:rsidRDefault="00470C46" w:rsidP="00470C46">
            <w:pPr>
              <w:numPr>
                <w:ilvl w:val="0"/>
                <w:numId w:val="5"/>
              </w:numPr>
              <w:shd w:val="clear" w:color="auto" w:fill="FFFFFF"/>
              <w:spacing w:before="100" w:beforeAutospacing="1" w:after="100" w:afterAutospacing="1" w:line="360" w:lineRule="auto"/>
              <w:ind w:left="360"/>
              <w:textAlignment w:val="top"/>
              <w:rPr>
                <w:color w:val="0000FF"/>
                <w:sz w:val="20"/>
                <w:szCs w:val="20"/>
                <w:u w:val="single"/>
                <w:lang w:val="en"/>
              </w:rPr>
            </w:pPr>
            <w:hyperlink r:id="rId67" w:history="1">
              <w:r>
                <w:rPr>
                  <w:rStyle w:val="Hyperlink"/>
                  <w:sz w:val="20"/>
                  <w:szCs w:val="20"/>
                  <w:lang w:val="en"/>
                </w:rPr>
                <w:t>World Bank Housing Finance Unit</w:t>
              </w:r>
            </w:hyperlink>
          </w:p>
          <w:p w:rsidR="00470C46" w:rsidRDefault="00470C46" w:rsidP="00470C46">
            <w:pPr>
              <w:numPr>
                <w:ilvl w:val="0"/>
                <w:numId w:val="5"/>
              </w:numPr>
              <w:shd w:val="clear" w:color="auto" w:fill="FFFFFF"/>
              <w:spacing w:before="100" w:beforeAutospacing="1" w:after="100" w:afterAutospacing="1" w:line="360" w:lineRule="auto"/>
              <w:ind w:left="360"/>
              <w:textAlignment w:val="top"/>
              <w:rPr>
                <w:color w:val="0000FF"/>
                <w:sz w:val="20"/>
                <w:szCs w:val="20"/>
                <w:u w:val="single"/>
                <w:lang w:val="en"/>
              </w:rPr>
            </w:pPr>
            <w:hyperlink r:id="rId68" w:history="1">
              <w:r>
                <w:rPr>
                  <w:rStyle w:val="Hyperlink"/>
                  <w:sz w:val="20"/>
                  <w:szCs w:val="20"/>
                  <w:lang w:val="en"/>
                </w:rPr>
                <w:t>IMF Global Housing Watch</w:t>
              </w:r>
            </w:hyperlink>
          </w:p>
          <w:p w:rsidR="00470C46" w:rsidRDefault="00470C46" w:rsidP="00470C46">
            <w:pPr>
              <w:numPr>
                <w:ilvl w:val="0"/>
                <w:numId w:val="5"/>
              </w:numPr>
              <w:shd w:val="clear" w:color="auto" w:fill="FFFFFF"/>
              <w:spacing w:before="100" w:beforeAutospacing="1" w:after="100" w:afterAutospacing="1" w:line="360" w:lineRule="auto"/>
              <w:ind w:left="360"/>
              <w:textAlignment w:val="top"/>
              <w:rPr>
                <w:color w:val="000000"/>
                <w:sz w:val="20"/>
                <w:szCs w:val="20"/>
              </w:rPr>
            </w:pPr>
            <w:hyperlink r:id="rId69" w:tgtFrame="_blank" w:history="1">
              <w:r>
                <w:rPr>
                  <w:rStyle w:val="Hyperlink"/>
                  <w:sz w:val="20"/>
                  <w:szCs w:val="20"/>
                  <w:lang w:val="en"/>
                </w:rPr>
                <w:t>Asian Coalition for Housing Rights</w:t>
              </w:r>
            </w:hyperlink>
            <w:r>
              <w:rPr>
                <w:color w:val="000000"/>
                <w:sz w:val="20"/>
                <w:szCs w:val="20"/>
              </w:rPr>
              <w:t xml:space="preserve"> </w:t>
            </w:r>
          </w:p>
          <w:p w:rsidR="00470C46" w:rsidRDefault="00470C46" w:rsidP="00470C46">
            <w:pPr>
              <w:numPr>
                <w:ilvl w:val="0"/>
                <w:numId w:val="5"/>
              </w:numPr>
              <w:shd w:val="clear" w:color="auto" w:fill="FFFFFF"/>
              <w:spacing w:before="100" w:beforeAutospacing="1" w:after="100" w:afterAutospacing="1" w:line="360" w:lineRule="auto"/>
              <w:ind w:left="360"/>
              <w:textAlignment w:val="top"/>
              <w:rPr>
                <w:color w:val="000000"/>
                <w:sz w:val="20"/>
                <w:szCs w:val="20"/>
                <w:lang w:val="en"/>
              </w:rPr>
            </w:pPr>
            <w:hyperlink r:id="rId70" w:tgtFrame="_blank" w:history="1">
              <w:r>
                <w:rPr>
                  <w:rStyle w:val="Hyperlink"/>
                  <w:sz w:val="20"/>
                  <w:szCs w:val="20"/>
                  <w:lang w:val="en"/>
                </w:rPr>
                <w:t>Housing and Land Rights Network.</w:t>
              </w:r>
            </w:hyperlink>
            <w:r>
              <w:rPr>
                <w:color w:val="000000"/>
                <w:sz w:val="20"/>
                <w:szCs w:val="20"/>
              </w:rPr>
              <w:t xml:space="preserve"> </w:t>
            </w:r>
          </w:p>
          <w:p w:rsidR="00470C46" w:rsidRDefault="00470C46" w:rsidP="00470C46">
            <w:pPr>
              <w:numPr>
                <w:ilvl w:val="0"/>
                <w:numId w:val="5"/>
              </w:numPr>
              <w:shd w:val="clear" w:color="auto" w:fill="FFFFFF"/>
              <w:spacing w:before="100" w:beforeAutospacing="1" w:after="100" w:afterAutospacing="1" w:line="288" w:lineRule="auto"/>
              <w:ind w:left="360"/>
              <w:textAlignment w:val="top"/>
              <w:rPr>
                <w:color w:val="000000"/>
                <w:sz w:val="20"/>
                <w:szCs w:val="20"/>
                <w:lang w:val="en"/>
              </w:rPr>
            </w:pPr>
            <w:hyperlink r:id="rId71" w:tgtFrame="_blank" w:history="1">
              <w:r>
                <w:rPr>
                  <w:rStyle w:val="Hyperlink"/>
                  <w:sz w:val="20"/>
                  <w:szCs w:val="20"/>
                  <w:lang w:val="en"/>
                </w:rPr>
                <w:t>International Federation for Housing and Planning</w:t>
              </w:r>
            </w:hyperlink>
            <w:r>
              <w:rPr>
                <w:color w:val="000000"/>
                <w:sz w:val="20"/>
                <w:szCs w:val="20"/>
              </w:rPr>
              <w:t xml:space="preserve"> </w:t>
            </w:r>
          </w:p>
          <w:p w:rsidR="00470C46" w:rsidRDefault="00470C46" w:rsidP="00470C46">
            <w:pPr>
              <w:numPr>
                <w:ilvl w:val="0"/>
                <w:numId w:val="5"/>
              </w:numPr>
              <w:shd w:val="clear" w:color="auto" w:fill="FFFFFF"/>
              <w:spacing w:before="100" w:beforeAutospacing="1" w:after="100" w:afterAutospacing="1" w:line="360" w:lineRule="auto"/>
              <w:ind w:left="360"/>
              <w:textAlignment w:val="top"/>
              <w:rPr>
                <w:color w:val="000000"/>
                <w:sz w:val="20"/>
                <w:szCs w:val="20"/>
                <w:lang w:val="en"/>
              </w:rPr>
            </w:pPr>
            <w:hyperlink r:id="rId72" w:tgtFrame="_blank" w:history="1">
              <w:r>
                <w:rPr>
                  <w:rStyle w:val="Hyperlink"/>
                  <w:sz w:val="20"/>
                  <w:szCs w:val="20"/>
                  <w:lang w:val="en"/>
                </w:rPr>
                <w:t>Shack/Slum Dwellers International</w:t>
              </w:r>
            </w:hyperlink>
            <w:r>
              <w:rPr>
                <w:color w:val="000000"/>
                <w:sz w:val="20"/>
                <w:szCs w:val="20"/>
              </w:rPr>
              <w:t xml:space="preserve"> </w:t>
            </w:r>
          </w:p>
          <w:p w:rsidR="00470C46" w:rsidRDefault="00470C46" w:rsidP="00470C46">
            <w:pPr>
              <w:numPr>
                <w:ilvl w:val="0"/>
                <w:numId w:val="5"/>
              </w:numPr>
              <w:shd w:val="clear" w:color="auto" w:fill="FFFFFF"/>
              <w:spacing w:before="100" w:beforeAutospacing="1" w:after="100" w:afterAutospacing="1" w:line="360" w:lineRule="auto"/>
              <w:ind w:left="360"/>
              <w:textAlignment w:val="top"/>
              <w:rPr>
                <w:color w:val="000000"/>
                <w:sz w:val="20"/>
                <w:szCs w:val="20"/>
                <w:lang w:val="en"/>
              </w:rPr>
            </w:pPr>
            <w:hyperlink r:id="rId73" w:tgtFrame="_blank" w:history="1">
              <w:r>
                <w:rPr>
                  <w:rStyle w:val="Hyperlink"/>
                  <w:sz w:val="20"/>
                  <w:szCs w:val="20"/>
                  <w:lang w:val="en"/>
                </w:rPr>
                <w:t>U.N. Habitat</w:t>
              </w:r>
            </w:hyperlink>
            <w:r>
              <w:rPr>
                <w:color w:val="000000"/>
                <w:sz w:val="20"/>
                <w:szCs w:val="20"/>
              </w:rPr>
              <w:t xml:space="preserve"> </w:t>
            </w:r>
          </w:p>
          <w:p w:rsidR="00470C46" w:rsidRDefault="00470C46" w:rsidP="00470C46">
            <w:pPr>
              <w:numPr>
                <w:ilvl w:val="0"/>
                <w:numId w:val="5"/>
              </w:numPr>
              <w:shd w:val="clear" w:color="auto" w:fill="FFFFFF"/>
              <w:spacing w:before="100" w:beforeAutospacing="1" w:after="100" w:afterAutospacing="1" w:line="360" w:lineRule="auto"/>
              <w:ind w:left="360"/>
              <w:textAlignment w:val="top"/>
              <w:rPr>
                <w:color w:val="000000"/>
                <w:sz w:val="20"/>
                <w:szCs w:val="20"/>
                <w:lang w:val="en"/>
              </w:rPr>
            </w:pPr>
            <w:hyperlink r:id="rId74" w:tgtFrame="_blank" w:history="1">
              <w:proofErr w:type="spellStart"/>
              <w:r>
                <w:rPr>
                  <w:rStyle w:val="Hyperlink"/>
                  <w:sz w:val="20"/>
                  <w:szCs w:val="20"/>
                  <w:lang w:val="en"/>
                </w:rPr>
                <w:t>USAid</w:t>
              </w:r>
              <w:proofErr w:type="spellEnd"/>
              <w:r>
                <w:rPr>
                  <w:rStyle w:val="Hyperlink"/>
                  <w:sz w:val="20"/>
                  <w:szCs w:val="20"/>
                  <w:lang w:val="en"/>
                </w:rPr>
                <w:t>: Making Cities Work</w:t>
              </w:r>
            </w:hyperlink>
            <w:r>
              <w:rPr>
                <w:color w:val="000000"/>
                <w:sz w:val="20"/>
                <w:szCs w:val="20"/>
              </w:rPr>
              <w:t xml:space="preserve"> </w:t>
            </w:r>
          </w:p>
          <w:p w:rsidR="00470C46" w:rsidRDefault="00470C46" w:rsidP="00470C46">
            <w:pPr>
              <w:numPr>
                <w:ilvl w:val="0"/>
                <w:numId w:val="5"/>
              </w:numPr>
              <w:shd w:val="clear" w:color="auto" w:fill="FFFFFF"/>
              <w:spacing w:before="100" w:beforeAutospacing="1" w:after="100" w:afterAutospacing="1" w:line="360" w:lineRule="auto"/>
              <w:ind w:left="360"/>
              <w:textAlignment w:val="top"/>
              <w:rPr>
                <w:color w:val="000000"/>
                <w:sz w:val="20"/>
                <w:szCs w:val="20"/>
                <w:lang w:val="en"/>
              </w:rPr>
            </w:pPr>
            <w:hyperlink r:id="rId75" w:tgtFrame="_blank" w:history="1">
              <w:r>
                <w:rPr>
                  <w:rStyle w:val="Hyperlink"/>
                  <w:sz w:val="20"/>
                  <w:szCs w:val="20"/>
                  <w:lang w:val="en"/>
                </w:rPr>
                <w:t>Urban Poor Fund International</w:t>
              </w:r>
            </w:hyperlink>
            <w:r>
              <w:rPr>
                <w:color w:val="000000"/>
                <w:sz w:val="20"/>
                <w:szCs w:val="20"/>
              </w:rPr>
              <w:t xml:space="preserve"> </w:t>
            </w:r>
          </w:p>
          <w:p w:rsidR="00470C46" w:rsidRDefault="00470C46" w:rsidP="00470C46">
            <w:pPr>
              <w:numPr>
                <w:ilvl w:val="0"/>
                <w:numId w:val="5"/>
              </w:numPr>
              <w:shd w:val="clear" w:color="auto" w:fill="FFFFFF"/>
              <w:spacing w:before="100" w:beforeAutospacing="1" w:after="100" w:afterAutospacing="1" w:line="360" w:lineRule="auto"/>
              <w:ind w:left="360"/>
              <w:textAlignment w:val="top"/>
              <w:rPr>
                <w:sz w:val="20"/>
                <w:szCs w:val="20"/>
              </w:rPr>
            </w:pPr>
            <w:hyperlink r:id="rId76" w:history="1">
              <w:r>
                <w:rPr>
                  <w:rStyle w:val="Hyperlink"/>
                  <w:sz w:val="20"/>
                  <w:szCs w:val="20"/>
                </w:rPr>
                <w:t>Cities Alliance</w:t>
              </w:r>
            </w:hyperlink>
            <w:r>
              <w:rPr>
                <w:color w:val="000000"/>
                <w:sz w:val="20"/>
                <w:szCs w:val="20"/>
              </w:rPr>
              <w:t xml:space="preserve"> </w:t>
            </w:r>
          </w:p>
        </w:tc>
      </w:tr>
      <w:tr w:rsidR="00470C46" w:rsidTr="00470C46">
        <w:trPr>
          <w:trHeight w:val="937"/>
          <w:jc w:val="center"/>
        </w:trPr>
        <w:tc>
          <w:tcPr>
            <w:tcW w:w="12316" w:type="dxa"/>
            <w:gridSpan w:val="2"/>
            <w:shd w:val="clear" w:color="auto" w:fill="0070C0"/>
            <w:tcMar>
              <w:top w:w="0" w:type="dxa"/>
              <w:left w:w="108" w:type="dxa"/>
              <w:bottom w:w="0" w:type="dxa"/>
              <w:right w:w="108" w:type="dxa"/>
            </w:tcMar>
          </w:tcPr>
          <w:p w:rsidR="00470C46" w:rsidRDefault="00470C46">
            <w:pPr>
              <w:spacing w:line="252" w:lineRule="auto"/>
              <w:ind w:right="179"/>
              <w:jc w:val="center"/>
              <w:rPr>
                <w:color w:val="FFFFFF"/>
                <w:sz w:val="22"/>
                <w:szCs w:val="22"/>
              </w:rPr>
            </w:pPr>
          </w:p>
          <w:p w:rsidR="00470C46" w:rsidRDefault="00470C46">
            <w:pPr>
              <w:spacing w:line="252" w:lineRule="auto"/>
              <w:ind w:right="179"/>
              <w:jc w:val="center"/>
            </w:pPr>
            <w:r>
              <w:rPr>
                <w:color w:val="FFFFFF"/>
                <w:sz w:val="22"/>
                <w:szCs w:val="22"/>
              </w:rPr>
              <w:t xml:space="preserve">Find out more about our library and past and future events, or tell us how to better serve this KSB on the  </w:t>
            </w:r>
            <w:hyperlink r:id="rId77" w:history="1">
              <w:r>
                <w:rPr>
                  <w:rStyle w:val="Hyperlink"/>
                  <w:color w:val="FF0000"/>
                  <w:sz w:val="22"/>
                  <w:szCs w:val="22"/>
                </w:rPr>
                <w:t>C4D Page</w:t>
              </w:r>
            </w:hyperlink>
          </w:p>
          <w:p w:rsidR="00470C46" w:rsidRDefault="00470C46">
            <w:pPr>
              <w:spacing w:line="252" w:lineRule="auto"/>
              <w:ind w:right="-65"/>
              <w:jc w:val="center"/>
              <w:rPr>
                <w:sz w:val="16"/>
                <w:szCs w:val="16"/>
              </w:rPr>
            </w:pPr>
            <w:r>
              <w:rPr>
                <w:color w:val="FFFF00"/>
                <w:sz w:val="16"/>
                <w:szCs w:val="16"/>
              </w:rPr>
              <w:t xml:space="preserve">For WBG staff or consultants who would like to join the internal Affordable Housing KSB email distribution list, please email </w:t>
            </w:r>
            <w:hyperlink r:id="rId78" w:history="1">
              <w:r>
                <w:rPr>
                  <w:rStyle w:val="Hyperlink"/>
                  <w:color w:val="FFFF00"/>
                  <w:sz w:val="16"/>
                  <w:szCs w:val="16"/>
                </w:rPr>
                <w:t>Rodica</w:t>
              </w:r>
            </w:hyperlink>
            <w:r>
              <w:rPr>
                <w:color w:val="FFFF00"/>
                <w:sz w:val="16"/>
                <w:szCs w:val="16"/>
              </w:rPr>
              <w:t>.</w:t>
            </w:r>
          </w:p>
          <w:p w:rsidR="00470C46" w:rsidRDefault="00470C46">
            <w:pPr>
              <w:spacing w:line="252" w:lineRule="auto"/>
              <w:ind w:right="-65"/>
              <w:jc w:val="center"/>
              <w:rPr>
                <w:color w:val="FFFFFF"/>
                <w:sz w:val="16"/>
                <w:szCs w:val="16"/>
              </w:rPr>
            </w:pPr>
          </w:p>
          <w:p w:rsidR="00470C46" w:rsidRDefault="00470C46">
            <w:pPr>
              <w:spacing w:line="252" w:lineRule="auto"/>
              <w:ind w:right="-65"/>
              <w:jc w:val="center"/>
              <w:rPr>
                <w:color w:val="FFFFFF"/>
                <w:sz w:val="16"/>
                <w:szCs w:val="16"/>
              </w:rPr>
            </w:pPr>
            <w:r>
              <w:rPr>
                <w:color w:val="FFFFFF"/>
                <w:sz w:val="16"/>
                <w:szCs w:val="16"/>
              </w:rPr>
              <w:t>Affordable Housing KSB Core Team: Yan Zhang, Angelica Nunez, Simon Walley, Britt Gwinner, and Rodica Tomescu-Olariu</w:t>
            </w:r>
          </w:p>
          <w:p w:rsidR="00470C46" w:rsidRDefault="00470C46">
            <w:pPr>
              <w:spacing w:line="252" w:lineRule="auto"/>
              <w:ind w:right="-65"/>
              <w:jc w:val="center"/>
              <w:rPr>
                <w:color w:val="FFFFFF"/>
                <w:sz w:val="16"/>
                <w:szCs w:val="16"/>
              </w:rPr>
            </w:pPr>
          </w:p>
        </w:tc>
        <w:tc>
          <w:tcPr>
            <w:tcW w:w="350" w:type="dxa"/>
            <w:vAlign w:val="center"/>
            <w:hideMark/>
          </w:tcPr>
          <w:p w:rsidR="00470C46" w:rsidRDefault="00470C46">
            <w:pPr>
              <w:spacing w:line="288" w:lineRule="auto"/>
              <w:rPr>
                <w:sz w:val="21"/>
                <w:szCs w:val="21"/>
              </w:rPr>
            </w:pPr>
            <w:r>
              <w:t> </w:t>
            </w:r>
          </w:p>
        </w:tc>
      </w:tr>
      <w:tr w:rsidR="00470C46" w:rsidTr="00470C46">
        <w:trPr>
          <w:trHeight w:val="462"/>
          <w:jc w:val="center"/>
        </w:trPr>
        <w:tc>
          <w:tcPr>
            <w:tcW w:w="9034" w:type="dxa"/>
            <w:vAlign w:val="center"/>
            <w:hideMark/>
          </w:tcPr>
          <w:p w:rsidR="00470C46" w:rsidRDefault="00470C46">
            <w:pPr>
              <w:rPr>
                <w:sz w:val="21"/>
                <w:szCs w:val="21"/>
              </w:rPr>
            </w:pPr>
          </w:p>
        </w:tc>
        <w:tc>
          <w:tcPr>
            <w:tcW w:w="3282" w:type="dxa"/>
            <w:vAlign w:val="center"/>
            <w:hideMark/>
          </w:tcPr>
          <w:p w:rsidR="00470C46" w:rsidRDefault="00470C46">
            <w:pPr>
              <w:rPr>
                <w:rFonts w:eastAsia="Times New Roman"/>
                <w:sz w:val="20"/>
                <w:szCs w:val="20"/>
              </w:rPr>
            </w:pPr>
          </w:p>
        </w:tc>
        <w:tc>
          <w:tcPr>
            <w:tcW w:w="350" w:type="dxa"/>
            <w:vAlign w:val="center"/>
            <w:hideMark/>
          </w:tcPr>
          <w:p w:rsidR="00470C46" w:rsidRDefault="00470C46">
            <w:pPr>
              <w:rPr>
                <w:rFonts w:eastAsia="Times New Roman"/>
                <w:sz w:val="20"/>
                <w:szCs w:val="20"/>
              </w:rPr>
            </w:pPr>
          </w:p>
        </w:tc>
      </w:tr>
    </w:tbl>
    <w:p w:rsidR="00470C46" w:rsidRDefault="00470C46" w:rsidP="00470C46">
      <w:pPr>
        <w:rPr>
          <w:rFonts w:ascii="Calibri" w:hAnsi="Calibri" w:cs="Calibri"/>
          <w:sz w:val="22"/>
          <w:szCs w:val="22"/>
        </w:rPr>
      </w:pPr>
    </w:p>
    <w:p w:rsidR="0030519F" w:rsidRPr="00470C46" w:rsidRDefault="0030519F" w:rsidP="00470C46">
      <w:bookmarkStart w:id="0" w:name="_GoBack"/>
      <w:bookmarkEnd w:id="0"/>
    </w:p>
    <w:sectPr w:rsidR="0030519F" w:rsidRPr="00470C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ndes ExtraLight">
    <w:panose1 w:val="02000000000000000000"/>
    <w:charset w:val="00"/>
    <w:family w:val="modern"/>
    <w:notTrueType/>
    <w:pitch w:val="variable"/>
    <w:sig w:usb0="A000002F" w:usb1="5000005B" w:usb2="00000000" w:usb3="00000000" w:csb0="00000093"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C26DBB"/>
    <w:multiLevelType w:val="multilevel"/>
    <w:tmpl w:val="6AE665E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4F24710F"/>
    <w:multiLevelType w:val="multilevel"/>
    <w:tmpl w:val="33D84E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0847545"/>
    <w:multiLevelType w:val="hybridMultilevel"/>
    <w:tmpl w:val="88E2CC3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lvlOverride w:ilvl="0"/>
    <w:lvlOverride w:ilvl="1"/>
    <w:lvlOverride w:ilvl="2"/>
    <w:lvlOverride w:ilvl="3"/>
    <w:lvlOverride w:ilvl="4"/>
    <w:lvlOverride w:ilvl="5"/>
    <w:lvlOverride w:ilvl="6"/>
    <w:lvlOverride w:ilvl="7"/>
    <w:lvlOverride w:ilvl="8"/>
  </w:num>
  <w:num w:numId="4">
    <w:abstractNumId w:val="0"/>
    <w:lvlOverride w:ilvl="0"/>
    <w:lvlOverride w:ilvl="1"/>
    <w:lvlOverride w:ilvl="2"/>
    <w:lvlOverride w:ilvl="3"/>
    <w:lvlOverride w:ilvl="4"/>
    <w:lvlOverride w:ilvl="5"/>
    <w:lvlOverride w:ilvl="6"/>
    <w:lvlOverride w:ilvl="7"/>
    <w:lvlOverride w:ilvl="8"/>
  </w:num>
  <w:num w:numId="5">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50E"/>
    <w:rsid w:val="0007119F"/>
    <w:rsid w:val="0030519F"/>
    <w:rsid w:val="00470C46"/>
    <w:rsid w:val="00DD1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chartTrackingRefBased/>
  <w15:docId w15:val="{86BAC40F-C1CB-4A16-94EA-6D9BB6ECC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D150E"/>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150E"/>
    <w:rPr>
      <w:color w:val="0000FF"/>
      <w:u w:val="single"/>
    </w:rPr>
  </w:style>
  <w:style w:type="paragraph" w:styleId="ListParagraph">
    <w:name w:val="List Paragraph"/>
    <w:basedOn w:val="Normal"/>
    <w:uiPriority w:val="34"/>
    <w:qFormat/>
    <w:rsid w:val="00DD150E"/>
    <w:pPr>
      <w:ind w:left="720"/>
      <w:contextualSpacing/>
    </w:pPr>
    <w:rPr>
      <w:rFonts w:ascii="Calibri" w:hAnsi="Calibri" w:cs="Calibri"/>
      <w:sz w:val="22"/>
      <w:szCs w:val="22"/>
    </w:rPr>
  </w:style>
  <w:style w:type="paragraph" w:customStyle="1" w:styleId="timeline-tweet-text">
    <w:name w:val="timeline-tweet-text"/>
    <w:basedOn w:val="Normal"/>
    <w:uiPriority w:val="99"/>
    <w:rsid w:val="00DD150E"/>
    <w:pPr>
      <w:spacing w:before="100" w:beforeAutospacing="1" w:after="180" w:line="270" w:lineRule="atLeast"/>
      <w:ind w:left="600"/>
    </w:pPr>
    <w:rPr>
      <w:sz w:val="18"/>
      <w:szCs w:val="18"/>
    </w:rPr>
  </w:style>
  <w:style w:type="character" w:customStyle="1" w:styleId="u-hiddenvisually">
    <w:name w:val="u-hiddenvisually"/>
    <w:basedOn w:val="DefaultParagraphFont"/>
    <w:rsid w:val="00DD150E"/>
  </w:style>
  <w:style w:type="character" w:customStyle="1" w:styleId="prettylink-prefix">
    <w:name w:val="prettylink-prefix"/>
    <w:basedOn w:val="DefaultParagraphFont"/>
    <w:rsid w:val="00DD150E"/>
  </w:style>
  <w:style w:type="character" w:customStyle="1" w:styleId="prettylink-value">
    <w:name w:val="prettylink-value"/>
    <w:basedOn w:val="DefaultParagraphFont"/>
    <w:rsid w:val="00DD15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956307">
      <w:bodyDiv w:val="1"/>
      <w:marLeft w:val="0"/>
      <w:marRight w:val="0"/>
      <w:marTop w:val="0"/>
      <w:marBottom w:val="0"/>
      <w:divBdr>
        <w:top w:val="none" w:sz="0" w:space="0" w:color="auto"/>
        <w:left w:val="none" w:sz="0" w:space="0" w:color="auto"/>
        <w:bottom w:val="none" w:sz="0" w:space="0" w:color="auto"/>
        <w:right w:val="none" w:sz="0" w:space="0" w:color="auto"/>
      </w:divBdr>
      <w:divsChild>
        <w:div w:id="20278957">
          <w:marLeft w:val="0"/>
          <w:marRight w:val="0"/>
          <w:marTop w:val="0"/>
          <w:marBottom w:val="0"/>
          <w:divBdr>
            <w:top w:val="none" w:sz="0" w:space="0" w:color="auto"/>
            <w:left w:val="none" w:sz="0" w:space="0" w:color="auto"/>
            <w:bottom w:val="none" w:sz="0" w:space="0" w:color="auto"/>
            <w:right w:val="none" w:sz="0" w:space="0" w:color="auto"/>
          </w:divBdr>
        </w:div>
        <w:div w:id="2128770757">
          <w:marLeft w:val="0"/>
          <w:marRight w:val="0"/>
          <w:marTop w:val="0"/>
          <w:marBottom w:val="0"/>
          <w:divBdr>
            <w:top w:val="none" w:sz="0" w:space="0" w:color="auto"/>
            <w:left w:val="none" w:sz="0" w:space="0" w:color="auto"/>
            <w:bottom w:val="none" w:sz="0" w:space="0" w:color="auto"/>
            <w:right w:val="none" w:sz="0" w:space="0" w:color="auto"/>
          </w:divBdr>
        </w:div>
        <w:div w:id="269703991">
          <w:marLeft w:val="0"/>
          <w:marRight w:val="0"/>
          <w:marTop w:val="0"/>
          <w:marBottom w:val="0"/>
          <w:divBdr>
            <w:top w:val="none" w:sz="0" w:space="0" w:color="auto"/>
            <w:left w:val="none" w:sz="0" w:space="0" w:color="auto"/>
            <w:bottom w:val="none" w:sz="0" w:space="0" w:color="auto"/>
            <w:right w:val="none" w:sz="0" w:space="0" w:color="auto"/>
          </w:divBdr>
        </w:div>
        <w:div w:id="641234272">
          <w:marLeft w:val="0"/>
          <w:marRight w:val="0"/>
          <w:marTop w:val="0"/>
          <w:marBottom w:val="0"/>
          <w:divBdr>
            <w:top w:val="none" w:sz="0" w:space="0" w:color="auto"/>
            <w:left w:val="none" w:sz="0" w:space="0" w:color="auto"/>
            <w:bottom w:val="none" w:sz="0" w:space="0" w:color="auto"/>
            <w:right w:val="none" w:sz="0" w:space="0" w:color="auto"/>
          </w:divBdr>
        </w:div>
      </w:divsChild>
    </w:div>
    <w:div w:id="337274258">
      <w:bodyDiv w:val="1"/>
      <w:marLeft w:val="0"/>
      <w:marRight w:val="0"/>
      <w:marTop w:val="0"/>
      <w:marBottom w:val="0"/>
      <w:divBdr>
        <w:top w:val="none" w:sz="0" w:space="0" w:color="auto"/>
        <w:left w:val="none" w:sz="0" w:space="0" w:color="auto"/>
        <w:bottom w:val="none" w:sz="0" w:space="0" w:color="auto"/>
        <w:right w:val="none" w:sz="0" w:space="0" w:color="auto"/>
      </w:divBdr>
      <w:divsChild>
        <w:div w:id="1310204346">
          <w:marLeft w:val="0"/>
          <w:marRight w:val="0"/>
          <w:marTop w:val="0"/>
          <w:marBottom w:val="0"/>
          <w:divBdr>
            <w:top w:val="none" w:sz="0" w:space="0" w:color="auto"/>
            <w:left w:val="none" w:sz="0" w:space="0" w:color="auto"/>
            <w:bottom w:val="none" w:sz="0" w:space="0" w:color="auto"/>
            <w:right w:val="none" w:sz="0" w:space="0" w:color="auto"/>
          </w:divBdr>
        </w:div>
        <w:div w:id="1588268437">
          <w:marLeft w:val="0"/>
          <w:marRight w:val="0"/>
          <w:marTop w:val="0"/>
          <w:marBottom w:val="0"/>
          <w:divBdr>
            <w:top w:val="none" w:sz="0" w:space="0" w:color="auto"/>
            <w:left w:val="none" w:sz="0" w:space="0" w:color="auto"/>
            <w:bottom w:val="none" w:sz="0" w:space="0" w:color="auto"/>
            <w:right w:val="none" w:sz="0" w:space="0" w:color="auto"/>
          </w:divBdr>
        </w:div>
        <w:div w:id="2131588612">
          <w:marLeft w:val="0"/>
          <w:marRight w:val="0"/>
          <w:marTop w:val="0"/>
          <w:marBottom w:val="0"/>
          <w:divBdr>
            <w:top w:val="none" w:sz="0" w:space="0" w:color="auto"/>
            <w:left w:val="none" w:sz="0" w:space="0" w:color="auto"/>
            <w:bottom w:val="none" w:sz="0" w:space="0" w:color="auto"/>
            <w:right w:val="none" w:sz="0" w:space="0" w:color="auto"/>
          </w:divBdr>
        </w:div>
      </w:divsChild>
    </w:div>
    <w:div w:id="198889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today.ng/business/finance/8611/nigerians-access-housing-finance-pay-25-years-cbn" TargetMode="External"/><Relationship Id="rId42" Type="http://schemas.openxmlformats.org/officeDocument/2006/relationships/hyperlink" Target="http://journals.sagepub.com.libproxy-wb.imf.org/doi/pdf/10.1177/0956247816689218" TargetMode="External"/><Relationship Id="rId47" Type="http://schemas.openxmlformats.org/officeDocument/2006/relationships/image" Target="cid:image049.png@01D326A9.D3DDE6E0" TargetMode="External"/><Relationship Id="rId63" Type="http://schemas.openxmlformats.org/officeDocument/2006/relationships/hyperlink" Target="https://twitter.com/WBG_Cities/status/899987082998947842/photo/1" TargetMode="External"/><Relationship Id="rId68" Type="http://schemas.openxmlformats.org/officeDocument/2006/relationships/hyperlink" Target="http://www.imf.org/external/research/housing/" TargetMode="External"/><Relationship Id="rId16" Type="http://schemas.openxmlformats.org/officeDocument/2006/relationships/image" Target="media/image5.gif"/><Relationship Id="rId11" Type="http://schemas.openxmlformats.org/officeDocument/2006/relationships/image" Target="media/image4.png"/><Relationship Id="rId24" Type="http://schemas.openxmlformats.org/officeDocument/2006/relationships/image" Target="media/image6.jpeg"/><Relationship Id="rId32" Type="http://schemas.openxmlformats.org/officeDocument/2006/relationships/hyperlink" Target="http://blogs.worldbank.org/sustainablecities/build-resilient-cities-we-must-treat-substandard-housing-life-or-death-emergency" TargetMode="External"/><Relationship Id="rId37" Type="http://schemas.openxmlformats.org/officeDocument/2006/relationships/hyperlink" Target="http://www.citiesalliance.org/sites/citiesalliance.org/files/SIHISB-ingles.pdf" TargetMode="External"/><Relationship Id="rId40" Type="http://schemas.openxmlformats.org/officeDocument/2006/relationships/hyperlink" Target="http://journals.sagepub.com.libproxy-wb.imf.org/doi/pdf/10.1177/0042098016632433" TargetMode="External"/><Relationship Id="rId45" Type="http://schemas.openxmlformats.org/officeDocument/2006/relationships/hyperlink" Target="https://spark.worldbank.org/groups/affordable-housing-ksb" TargetMode="External"/><Relationship Id="rId53" Type="http://schemas.openxmlformats.org/officeDocument/2006/relationships/hyperlink" Target="https://t.co/zjR2vraFR5" TargetMode="External"/><Relationship Id="rId58" Type="http://schemas.openxmlformats.org/officeDocument/2006/relationships/image" Target="cid:image051.jpg@01D326A9.D3DDE6E0" TargetMode="External"/><Relationship Id="rId66" Type="http://schemas.openxmlformats.org/officeDocument/2006/relationships/hyperlink" Target="http://www.hofinet.org/links.aspx" TargetMode="External"/><Relationship Id="rId74" Type="http://schemas.openxmlformats.org/officeDocument/2006/relationships/hyperlink" Target="http://www.makingcitieswork.org/" TargetMode="External"/><Relationship Id="rId79"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hyperlink" Target="https://twitter.com/hashtag/DubaiAward?src=hash" TargetMode="External"/><Relationship Id="rId19" Type="http://schemas.openxmlformats.org/officeDocument/2006/relationships/hyperlink" Target="https://www.reuters.com/article/us-global-housing-slums-idUSKBN19X0HK" TargetMode="External"/><Relationship Id="rId14" Type="http://schemas.openxmlformats.org/officeDocument/2006/relationships/hyperlink" Target="http://www.jchs.harvard.edu/sites/jchs.harvard.edu/files/harvard_jchs_state_of_the_nations_housing_2017.pdf" TargetMode="External"/><Relationship Id="rId22" Type="http://schemas.openxmlformats.org/officeDocument/2006/relationships/hyperlink" Target="https://www.planningportal.co.uk/news/article/518/planning_news_-_31_august_2017?utm_source=PPQ+Newsletter&amp;utm_campaign=4684f70408-Newsletter_31082017_TEXT&amp;utm_medium=email&amp;utm_term=0_734e0b63a9-4684f70408-7256169" TargetMode="External"/><Relationship Id="rId27" Type="http://schemas.openxmlformats.org/officeDocument/2006/relationships/hyperlink" Target="http://www.worldbank.org/en/events/2017/09/08/4th-urbanization-and-poverty-reduction-research-conference" TargetMode="External"/><Relationship Id="rId30" Type="http://schemas.openxmlformats.org/officeDocument/2006/relationships/image" Target="media/image9.png"/><Relationship Id="rId35" Type="http://schemas.openxmlformats.org/officeDocument/2006/relationships/hyperlink" Target="http://evictedbook.com/books/evicted-tr/evicted-dn" TargetMode="External"/><Relationship Id="rId43" Type="http://schemas.openxmlformats.org/officeDocument/2006/relationships/hyperlink" Target="https://www-aeaweb-org.libproxy-wb.imf.org/articles?id=10.1257/jel.20151292" TargetMode="External"/><Relationship Id="rId48" Type="http://schemas.openxmlformats.org/officeDocument/2006/relationships/hyperlink" Target="https://t.co/WFpBndNvYl" TargetMode="External"/><Relationship Id="rId56" Type="http://schemas.openxmlformats.org/officeDocument/2006/relationships/hyperlink" Target="https://twitter.com/WBG_Cities/status/900077696344104961/photo/1" TargetMode="External"/><Relationship Id="rId64" Type="http://schemas.openxmlformats.org/officeDocument/2006/relationships/image" Target="media/image18.jpeg"/><Relationship Id="rId69" Type="http://schemas.openxmlformats.org/officeDocument/2006/relationships/hyperlink" Target="http://www.achr.net/" TargetMode="External"/><Relationship Id="rId77" Type="http://schemas.openxmlformats.org/officeDocument/2006/relationships/hyperlink" Target="https://collaboration.worldbank.org/groups/affordable-housing-ksb-c4d" TargetMode="External"/><Relationship Id="rId8" Type="http://schemas.openxmlformats.org/officeDocument/2006/relationships/image" Target="cid:image028.png@01D326A9.D3DDE6E0" TargetMode="External"/><Relationship Id="rId51" Type="http://schemas.openxmlformats.org/officeDocument/2006/relationships/image" Target="media/image15.jpeg"/><Relationship Id="rId72" Type="http://schemas.openxmlformats.org/officeDocument/2006/relationships/hyperlink" Target="http://www.sdinet.org/"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cid:image030.png@01D326A9.D3DDE6E0" TargetMode="External"/><Relationship Id="rId17" Type="http://schemas.openxmlformats.org/officeDocument/2006/relationships/hyperlink" Target="http://globalpractices.worldbank.org/gsg/CleanEnergy/Lists/Calendar/DispForm.aspx?ID=64&amp;OwnershipUnit=Clean%20Energy&amp;InitialTabId=Ribbon.Read%20%20" TargetMode="External"/><Relationship Id="rId25" Type="http://schemas.openxmlformats.org/officeDocument/2006/relationships/image" Target="media/image7.png"/><Relationship Id="rId33" Type="http://schemas.openxmlformats.org/officeDocument/2006/relationships/hyperlink" Target="https://blogs.worldbank.org/sustainablecities/achieve-housing-4-all-dont-throw-baby-out-with-bathwater" TargetMode="External"/><Relationship Id="rId38" Type="http://schemas.openxmlformats.org/officeDocument/2006/relationships/image" Target="media/image12.gif"/><Relationship Id="rId46" Type="http://schemas.openxmlformats.org/officeDocument/2006/relationships/image" Target="media/image14.png"/><Relationship Id="rId59" Type="http://schemas.openxmlformats.org/officeDocument/2006/relationships/image" Target="media/image17.png"/><Relationship Id="rId67" Type="http://schemas.openxmlformats.org/officeDocument/2006/relationships/hyperlink" Target="http://web.worldbank.org/WBSITE/EXTERNAL/TOPICS/EXTFINANCIALSECTOR/0,,contentMDK:22217029~pagePK:210058~piPK:210062~theSitePK:282885,00.html" TargetMode="External"/><Relationship Id="rId20" Type="http://schemas.openxmlformats.org/officeDocument/2006/relationships/hyperlink" Target="https://www.planetizen.com/node/94327?utm_source=newswire&amp;utm_medium=email&amp;utm_campaign=news-08212017" TargetMode="External"/><Relationship Id="rId41" Type="http://schemas.openxmlformats.org/officeDocument/2006/relationships/hyperlink" Target="http://content.ebscohost.com/ContentServer.asp?T=P&amp;P=AN&amp;K=124480427&amp;S=R&amp;D=plh&amp;EbscoContent=dGJyMNHr7ESeqLU4v%2BvlOLCmr0%2Bep7FSsqy4SbGWxWXS&amp;ContentCustomer=dGJyMPGtsk23rK9Nue3gU%2BPe7Yvy" TargetMode="External"/><Relationship Id="rId54" Type="http://schemas.openxmlformats.org/officeDocument/2006/relationships/hyperlink" Target="https://twitter.com/hashtag/Housing4All?src=hash" TargetMode="External"/><Relationship Id="rId62" Type="http://schemas.openxmlformats.org/officeDocument/2006/relationships/hyperlink" Target="https://t.co/Mpw4TGrYwp" TargetMode="External"/><Relationship Id="rId70" Type="http://schemas.openxmlformats.org/officeDocument/2006/relationships/hyperlink" Target="http://www.hlrn.org/" TargetMode="External"/><Relationship Id="rId75" Type="http://schemas.openxmlformats.org/officeDocument/2006/relationships/hyperlink" Target="http://upfi.info/" TargetMode="External"/><Relationship Id="rId1" Type="http://schemas.openxmlformats.org/officeDocument/2006/relationships/numbering" Target="numbering.xml"/><Relationship Id="rId6" Type="http://schemas.openxmlformats.org/officeDocument/2006/relationships/image" Target="cid:image027.jpg@01D326A9.D3DDE6E0" TargetMode="External"/><Relationship Id="rId15" Type="http://schemas.openxmlformats.org/officeDocument/2006/relationships/hyperlink" Target="http://ihcglobal.org/wp-content/uploads/2016/04/IHC_CaseStudy-Slum-Upgrading-Mauritania.pdf" TargetMode="External"/><Relationship Id="rId23" Type="http://schemas.openxmlformats.org/officeDocument/2006/relationships/hyperlink" Target="https://www.economist.com/news/middle-east-and-africa/21727920-poor-ethiopians-can-no-longer-afford-flats-offer-government-ethiopia" TargetMode="External"/><Relationship Id="rId28" Type="http://schemas.openxmlformats.org/officeDocument/2006/relationships/hyperlink" Target="http://www.cpd.uct.ac.za/sites/default/files/image_tool/images/81/HFCSSA%20Brochure%202017-1.pdf?utm_source=Newsletter&amp;utm_campaign=fdddc85219-EMAIL_CAMPAIGN_2017_04_13&amp;utm_medium=email&amp;utm_term=0_5641a94236-fdddc85219-133430649&amp;mc_cid=fdddc85219&amp;mc_eid=5ca63599b5" TargetMode="External"/><Relationship Id="rId36" Type="http://schemas.openxmlformats.org/officeDocument/2006/relationships/hyperlink" Target="http://www.worldbank.org/en/news/feature/2017/06/13/Japan-Experience-in-Mitigating-Disaster-Risk-through-Building-Regulation" TargetMode="External"/><Relationship Id="rId49" Type="http://schemas.openxmlformats.org/officeDocument/2006/relationships/hyperlink" Target="https://twitter.com/hashtag/Housing4All?src=hash" TargetMode="External"/><Relationship Id="rId57" Type="http://schemas.openxmlformats.org/officeDocument/2006/relationships/image" Target="media/image16.jpeg"/><Relationship Id="rId10" Type="http://schemas.openxmlformats.org/officeDocument/2006/relationships/image" Target="cid:image029.png@01D326A9.D3DDE6E0" TargetMode="External"/><Relationship Id="rId31" Type="http://schemas.openxmlformats.org/officeDocument/2006/relationships/image" Target="media/image10.png"/><Relationship Id="rId44" Type="http://schemas.openxmlformats.org/officeDocument/2006/relationships/hyperlink" Target="http://onlinelibrary.wiley.com.libproxy-wb.imf.org/doi/10.1111/dpr.12203/pdf" TargetMode="External"/><Relationship Id="rId52" Type="http://schemas.openxmlformats.org/officeDocument/2006/relationships/image" Target="cid:image050.jpg@01D326A9.D3DDE6E0" TargetMode="External"/><Relationship Id="rId60" Type="http://schemas.openxmlformats.org/officeDocument/2006/relationships/image" Target="cid:image052.png@01D326A9.D3DDE6E0" TargetMode="External"/><Relationship Id="rId65" Type="http://schemas.openxmlformats.org/officeDocument/2006/relationships/image" Target="cid:image026.jpg@01D3262E.43F90260" TargetMode="External"/><Relationship Id="rId73" Type="http://schemas.openxmlformats.org/officeDocument/2006/relationships/hyperlink" Target="http://www.unhabitat.org/" TargetMode="External"/><Relationship Id="rId78" Type="http://schemas.openxmlformats.org/officeDocument/2006/relationships/hyperlink" Target="mailto:rtomescuolariu@worldbank.org"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www.economist.com/news/business/21638110-providing-better-and-more-affordable-housing-could-be-next-capitalist-achievement-capitalism?fsrc=scn/fb/te/bl/ed/schumpetercapitalismbeginsathome" TargetMode="External"/><Relationship Id="rId18" Type="http://schemas.openxmlformats.org/officeDocument/2006/relationships/hyperlink" Target="https://www.cnbc.com/2017/07/07/facebook-and-google-are-building-affordable-housing-in-silicon-valley.html" TargetMode="External"/><Relationship Id="rId39" Type="http://schemas.openxmlformats.org/officeDocument/2006/relationships/image" Target="media/image13.png"/><Relationship Id="rId34" Type="http://schemas.openxmlformats.org/officeDocument/2006/relationships/image" Target="media/image11.png"/><Relationship Id="rId50" Type="http://schemas.openxmlformats.org/officeDocument/2006/relationships/hyperlink" Target="https://twitter.com/WBG_Cities/status/901452960751915008/photo/1" TargetMode="External"/><Relationship Id="rId55" Type="http://schemas.openxmlformats.org/officeDocument/2006/relationships/hyperlink" Target="https://twitter.com/BancoMundialLAC" TargetMode="External"/><Relationship Id="rId76" Type="http://schemas.openxmlformats.org/officeDocument/2006/relationships/hyperlink" Target="http://www.citiesalliance.org/" TargetMode="External"/><Relationship Id="rId7" Type="http://schemas.openxmlformats.org/officeDocument/2006/relationships/image" Target="media/image2.png"/><Relationship Id="rId71" Type="http://schemas.openxmlformats.org/officeDocument/2006/relationships/hyperlink" Target="http://www.ifhp.org/" TargetMode="External"/><Relationship Id="rId2" Type="http://schemas.openxmlformats.org/officeDocument/2006/relationships/styles" Target="styles.xml"/><Relationship Id="rId29" Type="http://schemas.openxmlformats.org/officeDocument/2006/relationships/hyperlink" Target="http://www.cpd.uct.ac.za/sites/default/files/image_tool/images/81/HFCSSA%20Brochure%202017-1.pdf?utm_source=Newsletter&amp;utm_campaign=fdddc85219-EMAIL_CAMPAIGN_2017_04_13&amp;utm_medium=email&amp;utm_term=0_5641a94236-fdddc85219-133430649&amp;mc_cid=fdddc85219&amp;mc_eid=5ca63599b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3113</Words>
  <Characters>17748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Rodica Tomescu Olariu</dc:creator>
  <cp:keywords/>
  <dc:description/>
  <cp:lastModifiedBy>Rodica Tomescu Olariu</cp:lastModifiedBy>
  <cp:revision>2</cp:revision>
  <dcterms:created xsi:type="dcterms:W3CDTF">2017-09-05T13:40:00Z</dcterms:created>
  <dcterms:modified xsi:type="dcterms:W3CDTF">2017-09-05T18:41:00Z</dcterms:modified>
</cp:coreProperties>
</file>