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Layout w:type="fixed"/>
        <w:tblCellMar>
          <w:left w:w="288" w:type="dxa"/>
          <w:right w:w="288" w:type="dxa"/>
        </w:tblCellMar>
        <w:tblLook w:val="04A0" w:firstRow="1" w:lastRow="0" w:firstColumn="1" w:lastColumn="0" w:noHBand="0" w:noVBand="1"/>
      </w:tblPr>
      <w:tblGrid>
        <w:gridCol w:w="9000"/>
      </w:tblGrid>
      <w:tr w:rsidR="00164F42" w:rsidRPr="00211208" w14:paraId="1B35EEB8" w14:textId="77777777" w:rsidTr="00164F42">
        <w:trPr>
          <w:trHeight w:val="4770"/>
          <w:jc w:val="center"/>
        </w:trPr>
        <w:tc>
          <w:tcPr>
            <w:tcW w:w="9000" w:type="dxa"/>
            <w:shd w:val="clear" w:color="auto" w:fill="FFFFFF"/>
          </w:tcPr>
          <w:p w14:paraId="047F1ADB" w14:textId="77777777" w:rsidR="00164F42" w:rsidRPr="00211208" w:rsidRDefault="004E09EB" w:rsidP="00E07D89">
            <w:pPr>
              <w:spacing w:line="300" w:lineRule="auto"/>
              <w:rPr>
                <w:rStyle w:val="Strong"/>
                <w:rFonts w:ascii="Arial" w:hAnsi="Arial" w:cs="Arial"/>
                <w:color w:val="757575"/>
              </w:rPr>
            </w:pPr>
            <w:r w:rsidRPr="004E09EB">
              <w:rPr>
                <w:noProof/>
                <w:color w:val="0000FF"/>
              </w:rPr>
              <w:drawing>
                <wp:inline distT="0" distB="0" distL="0" distR="0" wp14:anchorId="1A9BA5CB" wp14:editId="60340BE0">
                  <wp:extent cx="5349240" cy="30111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349240" cy="3011170"/>
                          </a:xfrm>
                          <a:prstGeom prst="rect">
                            <a:avLst/>
                          </a:prstGeom>
                        </pic:spPr>
                      </pic:pic>
                    </a:graphicData>
                  </a:graphic>
                </wp:inline>
              </w:drawing>
            </w:r>
          </w:p>
        </w:tc>
      </w:tr>
      <w:tr w:rsidR="00164F42" w:rsidRPr="00211208" w14:paraId="36C43E14" w14:textId="77777777" w:rsidTr="00164F42">
        <w:trPr>
          <w:jc w:val="center"/>
        </w:trPr>
        <w:tc>
          <w:tcPr>
            <w:tcW w:w="9000" w:type="dxa"/>
            <w:shd w:val="clear" w:color="auto" w:fill="FFFFFF"/>
          </w:tcPr>
          <w:p w14:paraId="7F13D44B" w14:textId="77777777" w:rsidR="00164F42" w:rsidRPr="00211208" w:rsidRDefault="00164F42" w:rsidP="00E07D89">
            <w:pPr>
              <w:spacing w:line="300" w:lineRule="auto"/>
              <w:rPr>
                <w:rStyle w:val="Strong"/>
                <w:rFonts w:ascii="Arial" w:hAnsi="Arial" w:cs="Arial"/>
                <w:color w:val="757575"/>
              </w:rPr>
            </w:pPr>
          </w:p>
        </w:tc>
      </w:tr>
      <w:tr w:rsidR="00164F42" w:rsidRPr="00211208" w14:paraId="6BAFF9D3" w14:textId="77777777" w:rsidTr="00164F42">
        <w:trPr>
          <w:jc w:val="center"/>
        </w:trPr>
        <w:tc>
          <w:tcPr>
            <w:tcW w:w="9000" w:type="dxa"/>
            <w:shd w:val="clear" w:color="auto" w:fill="FFFFFF"/>
          </w:tcPr>
          <w:p w14:paraId="218E506C" w14:textId="77777777" w:rsidR="00164F42" w:rsidRPr="00211208" w:rsidRDefault="00164F42" w:rsidP="00E07D89">
            <w:pPr>
              <w:spacing w:line="300" w:lineRule="auto"/>
              <w:rPr>
                <w:rStyle w:val="Strong"/>
                <w:rFonts w:ascii="Arial" w:hAnsi="Arial" w:cs="Arial"/>
                <w:color w:val="757575"/>
              </w:rPr>
            </w:pPr>
          </w:p>
        </w:tc>
      </w:tr>
      <w:tr w:rsidR="00164F42" w:rsidRPr="00211208" w14:paraId="03F06321" w14:textId="77777777" w:rsidTr="00164F42">
        <w:trPr>
          <w:jc w:val="center"/>
        </w:trPr>
        <w:tc>
          <w:tcPr>
            <w:tcW w:w="9000" w:type="dxa"/>
            <w:tcBorders>
              <w:bottom w:val="single" w:sz="18" w:space="0" w:color="E7E6E6" w:themeColor="background2"/>
            </w:tcBorders>
            <w:shd w:val="clear" w:color="auto" w:fill="FFFFFF"/>
          </w:tcPr>
          <w:p w14:paraId="59101580" w14:textId="77777777" w:rsidR="00164F42" w:rsidRDefault="00164F42" w:rsidP="00164F42">
            <w:pPr>
              <w:spacing w:line="300" w:lineRule="auto"/>
              <w:rPr>
                <w:rFonts w:ascii="Helvetica" w:hAnsi="Helvetica" w:cs="Helvetica"/>
                <w:color w:val="757575"/>
              </w:rPr>
            </w:pPr>
            <w:r w:rsidRPr="00211208">
              <w:rPr>
                <w:rStyle w:val="Strong"/>
                <w:rFonts w:ascii="Arial" w:hAnsi="Arial" w:cs="Arial"/>
                <w:color w:val="757575"/>
              </w:rPr>
              <w:t>Dear CDD Community of Practice Members,</w:t>
            </w:r>
          </w:p>
          <w:p w14:paraId="5915C776" w14:textId="77777777" w:rsidR="00164F42" w:rsidRPr="00211208" w:rsidRDefault="00164F42" w:rsidP="00164F42">
            <w:pPr>
              <w:spacing w:line="300" w:lineRule="auto"/>
              <w:rPr>
                <w:rFonts w:ascii="Helvetica" w:hAnsi="Helvetica" w:cs="Helvetica"/>
                <w:color w:val="757575"/>
              </w:rPr>
            </w:pPr>
            <w:r w:rsidRPr="00211208">
              <w:rPr>
                <w:rFonts w:ascii="Helvetica" w:hAnsi="Helvetica" w:cs="Helvetica"/>
                <w:color w:val="757575"/>
              </w:rPr>
              <w:t xml:space="preserve">  </w:t>
            </w:r>
          </w:p>
          <w:p w14:paraId="3391CC4A" w14:textId="0B4B5A65" w:rsidR="00164F42" w:rsidRDefault="00164F42" w:rsidP="00164F42">
            <w:pPr>
              <w:spacing w:line="300" w:lineRule="auto"/>
              <w:jc w:val="both"/>
              <w:rPr>
                <w:rFonts w:ascii="Arial" w:hAnsi="Arial" w:cs="Arial"/>
                <w:color w:val="757575"/>
              </w:rPr>
            </w:pPr>
            <w:r>
              <w:rPr>
                <w:rFonts w:ascii="Arial" w:hAnsi="Arial" w:cs="Arial"/>
                <w:color w:val="757575"/>
              </w:rPr>
              <w:t xml:space="preserve">We hope this finds you all well. </w:t>
            </w:r>
            <w:r w:rsidR="008D6EA1">
              <w:rPr>
                <w:rFonts w:ascii="Arial" w:hAnsi="Arial" w:cs="Arial"/>
                <w:color w:val="757575"/>
              </w:rPr>
              <w:t xml:space="preserve">This month, we’re excited to share with </w:t>
            </w:r>
            <w:proofErr w:type="gramStart"/>
            <w:r w:rsidR="008D6EA1">
              <w:rPr>
                <w:rFonts w:ascii="Arial" w:hAnsi="Arial" w:cs="Arial"/>
                <w:color w:val="757575"/>
              </w:rPr>
              <w:t>you</w:t>
            </w:r>
            <w:proofErr w:type="gramEnd"/>
            <w:r w:rsidR="008D6EA1">
              <w:rPr>
                <w:rFonts w:ascii="Arial" w:hAnsi="Arial" w:cs="Arial"/>
                <w:color w:val="757575"/>
              </w:rPr>
              <w:t xml:space="preserve"> </w:t>
            </w:r>
            <w:r w:rsidR="002052EA">
              <w:rPr>
                <w:rFonts w:ascii="Arial" w:hAnsi="Arial" w:cs="Arial"/>
                <w:color w:val="757575"/>
              </w:rPr>
              <w:t>additional papers</w:t>
            </w:r>
            <w:r w:rsidR="008D6EA1">
              <w:rPr>
                <w:rFonts w:ascii="Arial" w:hAnsi="Arial" w:cs="Arial"/>
                <w:color w:val="757575"/>
              </w:rPr>
              <w:t xml:space="preserve"> </w:t>
            </w:r>
            <w:r w:rsidR="0051070D">
              <w:rPr>
                <w:rFonts w:ascii="Arial" w:hAnsi="Arial" w:cs="Arial"/>
                <w:color w:val="757575"/>
              </w:rPr>
              <w:t>from the</w:t>
            </w:r>
            <w:r w:rsidR="002052EA">
              <w:rPr>
                <w:rFonts w:ascii="Arial" w:hAnsi="Arial" w:cs="Arial"/>
                <w:color w:val="757575"/>
              </w:rPr>
              <w:t xml:space="preserve"> </w:t>
            </w:r>
            <w:r w:rsidR="008D6EA1">
              <w:rPr>
                <w:rFonts w:ascii="Arial" w:hAnsi="Arial" w:cs="Arial"/>
                <w:color w:val="757575"/>
              </w:rPr>
              <w:t>Forced Displacement and Social Cohesion</w:t>
            </w:r>
            <w:r w:rsidR="00A35C16">
              <w:rPr>
                <w:rFonts w:ascii="Arial" w:hAnsi="Arial" w:cs="Arial"/>
                <w:color w:val="757575"/>
              </w:rPr>
              <w:t xml:space="preserve"> series</w:t>
            </w:r>
            <w:r w:rsidR="002052EA">
              <w:rPr>
                <w:rFonts w:ascii="Arial" w:hAnsi="Arial" w:cs="Arial"/>
                <w:color w:val="757575"/>
              </w:rPr>
              <w:t xml:space="preserve">, </w:t>
            </w:r>
            <w:r w:rsidR="00C77B9B">
              <w:rPr>
                <w:rFonts w:ascii="Arial" w:hAnsi="Arial" w:cs="Arial"/>
                <w:color w:val="757575"/>
              </w:rPr>
              <w:t>the results of a partnership</w:t>
            </w:r>
            <w:r w:rsidR="002052EA">
              <w:rPr>
                <w:rFonts w:ascii="Arial" w:hAnsi="Arial" w:cs="Arial"/>
                <w:color w:val="757575"/>
              </w:rPr>
              <w:t xml:space="preserve"> between the World Bank, UNHCR, and the UK FCD</w:t>
            </w:r>
            <w:r w:rsidR="007D5BD1">
              <w:rPr>
                <w:rFonts w:ascii="Arial" w:hAnsi="Arial" w:cs="Arial"/>
                <w:color w:val="757575"/>
              </w:rPr>
              <w:t xml:space="preserve">O. For more information on upcoming events and other papers in this series, please check out </w:t>
            </w:r>
            <w:hyperlink r:id="rId6" w:history="1">
              <w:r w:rsidR="007D5BD1" w:rsidRPr="007D5BD1">
                <w:rPr>
                  <w:rStyle w:val="Hyperlink"/>
                  <w:rFonts w:ascii="Arial" w:hAnsi="Arial" w:cs="Arial"/>
                  <w:color w:val="009FDA"/>
                </w:rPr>
                <w:t>the series page</w:t>
              </w:r>
            </w:hyperlink>
            <w:r w:rsidR="007D5BD1">
              <w:rPr>
                <w:rFonts w:ascii="Arial" w:hAnsi="Arial" w:cs="Arial"/>
                <w:color w:val="757575"/>
              </w:rPr>
              <w:t xml:space="preserve">. </w:t>
            </w:r>
          </w:p>
          <w:p w14:paraId="7B57053A" w14:textId="31DE4308" w:rsidR="00CC7F34" w:rsidRDefault="00CC7F34" w:rsidP="00CC7F34">
            <w:pPr>
              <w:spacing w:line="300" w:lineRule="auto"/>
              <w:jc w:val="both"/>
              <w:rPr>
                <w:rFonts w:ascii="Arial" w:hAnsi="Arial" w:cs="Arial"/>
                <w:color w:val="757575"/>
              </w:rPr>
            </w:pPr>
          </w:p>
          <w:p w14:paraId="547073D0" w14:textId="7088484E" w:rsidR="00CC7F34" w:rsidRDefault="007D5BD1" w:rsidP="007D5BD1">
            <w:pPr>
              <w:spacing w:line="300" w:lineRule="auto"/>
              <w:jc w:val="both"/>
              <w:rPr>
                <w:rFonts w:ascii="Arial" w:hAnsi="Arial" w:cs="Arial"/>
                <w:color w:val="757575"/>
              </w:rPr>
            </w:pPr>
            <w:r>
              <w:rPr>
                <w:rFonts w:ascii="Arial" w:hAnsi="Arial" w:cs="Arial"/>
                <w:color w:val="757575"/>
              </w:rPr>
              <w:t xml:space="preserve">This newsletter also highlights a new brief on </w:t>
            </w:r>
            <w:r w:rsidRPr="007D5BD1">
              <w:rPr>
                <w:rFonts w:ascii="Arial" w:hAnsi="Arial" w:cs="Arial"/>
                <w:color w:val="757575"/>
              </w:rPr>
              <w:t>combining hazard</w:t>
            </w:r>
            <w:r>
              <w:rPr>
                <w:rFonts w:ascii="Arial" w:hAnsi="Arial" w:cs="Arial"/>
                <w:color w:val="757575"/>
              </w:rPr>
              <w:t xml:space="preserve"> and</w:t>
            </w:r>
            <w:r w:rsidRPr="007D5BD1">
              <w:rPr>
                <w:rFonts w:ascii="Arial" w:hAnsi="Arial" w:cs="Arial"/>
                <w:color w:val="757575"/>
              </w:rPr>
              <w:t xml:space="preserve"> FCV data </w:t>
            </w:r>
            <w:r>
              <w:rPr>
                <w:rFonts w:ascii="Arial" w:hAnsi="Arial" w:cs="Arial"/>
                <w:color w:val="757575"/>
              </w:rPr>
              <w:t>with</w:t>
            </w:r>
            <w:r w:rsidRPr="007D5BD1">
              <w:rPr>
                <w:rFonts w:ascii="Arial" w:hAnsi="Arial" w:cs="Arial"/>
                <w:color w:val="757575"/>
              </w:rPr>
              <w:t xml:space="preserve"> community insights to </w:t>
            </w:r>
            <w:r>
              <w:rPr>
                <w:rFonts w:ascii="Arial" w:hAnsi="Arial" w:cs="Arial"/>
                <w:color w:val="757575"/>
              </w:rPr>
              <w:t xml:space="preserve">inform and </w:t>
            </w:r>
            <w:r w:rsidRPr="007D5BD1">
              <w:rPr>
                <w:rFonts w:ascii="Arial" w:hAnsi="Arial" w:cs="Arial"/>
                <w:color w:val="757575"/>
              </w:rPr>
              <w:t>drive resilience building. We also share recordings from recent events on ensuring persons with disabilities are engaged in each stage of Bank</w:t>
            </w:r>
            <w:r w:rsidR="00064BFC">
              <w:rPr>
                <w:rFonts w:ascii="Arial" w:hAnsi="Arial" w:cs="Arial"/>
                <w:color w:val="757575"/>
              </w:rPr>
              <w:t>-supported</w:t>
            </w:r>
            <w:r w:rsidRPr="007D5BD1">
              <w:rPr>
                <w:rFonts w:ascii="Arial" w:hAnsi="Arial" w:cs="Arial"/>
                <w:color w:val="757575"/>
              </w:rPr>
              <w:t xml:space="preserve"> projects and examples of indigenous peoples and local communities' engagement in conservation.</w:t>
            </w:r>
            <w:r>
              <w:rPr>
                <w:rFonts w:ascii="Arial" w:hAnsi="Arial" w:cs="Arial"/>
                <w:color w:val="757575"/>
              </w:rPr>
              <w:t xml:space="preserve"> </w:t>
            </w:r>
          </w:p>
          <w:p w14:paraId="7917C235" w14:textId="77777777" w:rsidR="00CC7F34" w:rsidRDefault="00CC7F34" w:rsidP="00CC7F34">
            <w:pPr>
              <w:spacing w:line="300" w:lineRule="auto"/>
              <w:jc w:val="both"/>
              <w:rPr>
                <w:rFonts w:ascii="Arial" w:hAnsi="Arial" w:cs="Arial"/>
                <w:color w:val="757575"/>
              </w:rPr>
            </w:pPr>
          </w:p>
          <w:p w14:paraId="1F826EAE" w14:textId="77777777" w:rsidR="00164F42" w:rsidRPr="00211208" w:rsidRDefault="00164F42" w:rsidP="00CC7F34">
            <w:pPr>
              <w:spacing w:line="300" w:lineRule="auto"/>
              <w:jc w:val="both"/>
              <w:rPr>
                <w:rFonts w:ascii="Arial" w:hAnsi="Arial" w:cs="Arial"/>
                <w:color w:val="757575"/>
              </w:rPr>
            </w:pPr>
            <w:r w:rsidRPr="00211208">
              <w:rPr>
                <w:rFonts w:ascii="Arial" w:hAnsi="Arial" w:cs="Arial"/>
                <w:color w:val="757575"/>
              </w:rPr>
              <w:t xml:space="preserve">As always, we are eager to hear from you! Please share any relevant information and materials that you feel would benefit our community and stay in touch. </w:t>
            </w:r>
          </w:p>
          <w:p w14:paraId="69DCD3C3" w14:textId="77777777" w:rsidR="00164F42" w:rsidRPr="00211208" w:rsidRDefault="00164F42" w:rsidP="00CC7F34">
            <w:pPr>
              <w:spacing w:line="300" w:lineRule="auto"/>
              <w:jc w:val="both"/>
              <w:rPr>
                <w:rFonts w:ascii="Helvetica" w:hAnsi="Helvetica" w:cs="Helvetica"/>
                <w:color w:val="757575"/>
              </w:rPr>
            </w:pPr>
          </w:p>
          <w:p w14:paraId="57B4D5C7" w14:textId="77777777" w:rsidR="00164F42" w:rsidRPr="00211208" w:rsidRDefault="00164F42" w:rsidP="00CC7F34">
            <w:pPr>
              <w:spacing w:line="300" w:lineRule="auto"/>
              <w:jc w:val="both"/>
              <w:rPr>
                <w:rFonts w:ascii="Helvetica" w:hAnsi="Helvetica" w:cs="Helvetica"/>
                <w:color w:val="757575"/>
              </w:rPr>
            </w:pPr>
            <w:r w:rsidRPr="00211208">
              <w:rPr>
                <w:rFonts w:ascii="Helvetica" w:hAnsi="Helvetica" w:cs="Helvetica"/>
                <w:color w:val="757575"/>
              </w:rPr>
              <w:t>With best wishes,</w:t>
            </w:r>
          </w:p>
          <w:p w14:paraId="4F7A0963" w14:textId="77777777" w:rsidR="00164F42" w:rsidRPr="00211208" w:rsidRDefault="00164F42" w:rsidP="00CC7F34">
            <w:pPr>
              <w:spacing w:line="300" w:lineRule="auto"/>
              <w:jc w:val="both"/>
              <w:rPr>
                <w:rFonts w:ascii="Helvetica" w:hAnsi="Helvetica" w:cs="Helvetica"/>
                <w:color w:val="757575"/>
              </w:rPr>
            </w:pPr>
            <w:r w:rsidRPr="00211208">
              <w:rPr>
                <w:rFonts w:ascii="Helvetica" w:hAnsi="Helvetica" w:cs="Helvetica"/>
                <w:color w:val="757575"/>
              </w:rPr>
              <w:t> </w:t>
            </w:r>
          </w:p>
          <w:p w14:paraId="17C6E97E" w14:textId="77777777" w:rsidR="00164F42" w:rsidRDefault="00164F42" w:rsidP="00CC7F34">
            <w:pPr>
              <w:spacing w:line="300" w:lineRule="auto"/>
              <w:rPr>
                <w:rFonts w:ascii="Arial" w:hAnsi="Arial" w:cs="Arial"/>
                <w:color w:val="757575"/>
              </w:rPr>
            </w:pPr>
            <w:r w:rsidRPr="00211208">
              <w:rPr>
                <w:rFonts w:ascii="Arial" w:hAnsi="Arial" w:cs="Arial"/>
                <w:color w:val="757575"/>
              </w:rPr>
              <w:t>Susan, Nik, Stephen, Helen, Camila</w:t>
            </w:r>
            <w:r w:rsidR="003D0960">
              <w:rPr>
                <w:rFonts w:ascii="Arial" w:hAnsi="Arial" w:cs="Arial"/>
                <w:color w:val="757575"/>
              </w:rPr>
              <w:t xml:space="preserve"> and Anastasiia</w:t>
            </w:r>
          </w:p>
          <w:p w14:paraId="44F84809" w14:textId="77777777" w:rsidR="00164F42" w:rsidRPr="00164F42" w:rsidRDefault="00164F42" w:rsidP="00164F42">
            <w:pPr>
              <w:spacing w:line="300" w:lineRule="auto"/>
              <w:rPr>
                <w:rStyle w:val="Strong"/>
                <w:rFonts w:ascii="Arial" w:hAnsi="Arial" w:cs="Arial"/>
                <w:b w:val="0"/>
                <w:bCs w:val="0"/>
                <w:color w:val="757575"/>
              </w:rPr>
            </w:pPr>
          </w:p>
        </w:tc>
      </w:tr>
      <w:tr w:rsidR="00164F42" w:rsidRPr="00211208" w14:paraId="3DB9334E"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164F42" w14:paraId="5F5C9D5B" w14:textId="77777777"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164F42" w14:paraId="5C9A13C4" w14:textId="77777777" w:rsidTr="00E07D89">
                    <w:tc>
                      <w:tcPr>
                        <w:tcW w:w="8460" w:type="dxa"/>
                        <w:tcBorders>
                          <w:top w:val="single" w:sz="12" w:space="0" w:color="EAEAEA"/>
                          <w:left w:val="nil"/>
                          <w:bottom w:val="nil"/>
                          <w:right w:val="nil"/>
                        </w:tcBorders>
                        <w:vAlign w:val="center"/>
                        <w:hideMark/>
                      </w:tcPr>
                      <w:p w14:paraId="551D357E" w14:textId="77777777" w:rsidR="00164F42" w:rsidRDefault="00164F42" w:rsidP="00164F42"/>
                    </w:tc>
                  </w:tr>
                </w:tbl>
                <w:p w14:paraId="1DF51CBF" w14:textId="77777777" w:rsidR="00164F42" w:rsidRDefault="00164F42" w:rsidP="00164F42">
                  <w:pPr>
                    <w:rPr>
                      <w:rFonts w:ascii="Times New Roman" w:eastAsia="Times New Roman" w:hAnsi="Times New Roman" w:cs="Times New Roman"/>
                      <w:sz w:val="20"/>
                      <w:szCs w:val="20"/>
                    </w:rPr>
                  </w:pPr>
                </w:p>
              </w:tc>
            </w:tr>
            <w:tr w:rsidR="00164F42" w14:paraId="48F2AAE5" w14:textId="77777777"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7F0DA151" w14:textId="77777777" w:rsidR="00164F42" w:rsidRDefault="00164F42" w:rsidP="00164F42">
                  <w:pPr>
                    <w:jc w:val="center"/>
                    <w:rPr>
                      <w:rFonts w:ascii="Arial" w:hAnsi="Arial" w:cs="Arial"/>
                      <w:sz w:val="36"/>
                      <w:szCs w:val="36"/>
                    </w:rPr>
                  </w:pPr>
                  <w:r>
                    <w:rPr>
                      <w:rFonts w:ascii="Arial" w:hAnsi="Arial" w:cs="Arial"/>
                      <w:b/>
                      <w:bCs/>
                      <w:color w:val="FFFFFF" w:themeColor="background1"/>
                      <w:sz w:val="36"/>
                      <w:szCs w:val="36"/>
                    </w:rPr>
                    <w:t>RESOURCES AND REPORTS</w:t>
                  </w:r>
                </w:p>
              </w:tc>
            </w:tr>
          </w:tbl>
          <w:p w14:paraId="2092E072" w14:textId="77777777" w:rsidR="00164F42" w:rsidRPr="00211208" w:rsidRDefault="00164F42" w:rsidP="00164F42">
            <w:pPr>
              <w:spacing w:line="300" w:lineRule="auto"/>
              <w:rPr>
                <w:rStyle w:val="Strong"/>
                <w:rFonts w:ascii="Arial" w:hAnsi="Arial" w:cs="Arial"/>
                <w:color w:val="757575"/>
              </w:rPr>
            </w:pPr>
          </w:p>
        </w:tc>
      </w:tr>
      <w:tr w:rsidR="00CC7F34" w:rsidRPr="00211208" w14:paraId="55BD7AB1" w14:textId="77777777" w:rsidTr="00164F42">
        <w:trPr>
          <w:jc w:val="center"/>
        </w:trPr>
        <w:tc>
          <w:tcPr>
            <w:tcW w:w="9000" w:type="dxa"/>
            <w:shd w:val="clear" w:color="auto" w:fill="FFFFFF"/>
          </w:tcPr>
          <w:p w14:paraId="04F21287" w14:textId="661806AD" w:rsidR="00CC7F34" w:rsidRPr="00567B68" w:rsidRDefault="00CC7F34" w:rsidP="00C77B9B">
            <w:pPr>
              <w:jc w:val="center"/>
              <w:rPr>
                <w:rStyle w:val="Hyperlink"/>
                <w:color w:val="009FDA"/>
              </w:rPr>
            </w:pPr>
          </w:p>
        </w:tc>
      </w:tr>
      <w:tr w:rsidR="00C5508E" w:rsidRPr="00211208" w14:paraId="53B7E6FE" w14:textId="77777777" w:rsidTr="00164F42">
        <w:trPr>
          <w:jc w:val="center"/>
        </w:trPr>
        <w:tc>
          <w:tcPr>
            <w:tcW w:w="9000" w:type="dxa"/>
            <w:shd w:val="clear" w:color="auto" w:fill="FFFFFF"/>
          </w:tcPr>
          <w:p w14:paraId="307A0253" w14:textId="7E852880" w:rsidR="00C5508E" w:rsidRPr="00567B68" w:rsidRDefault="00064BFC" w:rsidP="002052EA">
            <w:pPr>
              <w:spacing w:after="120"/>
              <w:jc w:val="center"/>
              <w:rPr>
                <w:rStyle w:val="Hyperlink"/>
                <w:color w:val="009FDA"/>
              </w:rPr>
            </w:pPr>
            <w:hyperlink r:id="rId7" w:history="1">
              <w:r w:rsidR="002052EA" w:rsidRPr="002052EA">
                <w:rPr>
                  <w:rStyle w:val="Hyperlink"/>
                  <w:rFonts w:ascii="Arial" w:hAnsi="Arial" w:cs="Arial"/>
                  <w:color w:val="009FDA"/>
                </w:rPr>
                <w:t>Forced Displacement and Social Cohesion Series</w:t>
              </w:r>
            </w:hyperlink>
          </w:p>
        </w:tc>
      </w:tr>
      <w:tr w:rsidR="00C5508E" w:rsidRPr="00211208" w14:paraId="71E08116" w14:textId="77777777" w:rsidTr="00164F42">
        <w:trPr>
          <w:jc w:val="center"/>
        </w:trPr>
        <w:tc>
          <w:tcPr>
            <w:tcW w:w="9000" w:type="dxa"/>
            <w:shd w:val="clear" w:color="auto" w:fill="FFFFFF"/>
          </w:tcPr>
          <w:p w14:paraId="38A28FC9" w14:textId="50A3E8AB" w:rsidR="00C5508E" w:rsidRPr="001D590B" w:rsidRDefault="002052EA" w:rsidP="00691FA3">
            <w:pPr>
              <w:spacing w:after="120" w:line="300" w:lineRule="auto"/>
              <w:jc w:val="both"/>
              <w:rPr>
                <w:rFonts w:ascii="Arial" w:hAnsi="Arial" w:cs="Arial"/>
                <w:color w:val="757575"/>
              </w:rPr>
            </w:pPr>
            <w:r>
              <w:rPr>
                <w:rFonts w:ascii="Arial" w:hAnsi="Arial" w:cs="Arial"/>
                <w:color w:val="757575"/>
              </w:rPr>
              <w:t xml:space="preserve">The </w:t>
            </w:r>
            <w:r w:rsidRPr="002052EA">
              <w:rPr>
                <w:rFonts w:ascii="Arial" w:hAnsi="Arial" w:cs="Arial"/>
                <w:color w:val="757575"/>
              </w:rPr>
              <w:t xml:space="preserve">World Bank, UNHCR, and UK FCDO’s </w:t>
            </w:r>
            <w:r>
              <w:rPr>
                <w:rFonts w:ascii="Arial" w:hAnsi="Arial" w:cs="Arial"/>
                <w:color w:val="757575"/>
              </w:rPr>
              <w:t>series on Forced Displacement and Social Cohesion examines</w:t>
            </w:r>
            <w:r w:rsidRPr="006C7F90">
              <w:rPr>
                <w:rFonts w:ascii="Arial" w:hAnsi="Arial" w:cs="Arial"/>
                <w:color w:val="757575"/>
              </w:rPr>
              <w:t xml:space="preserve"> how to prevent conflict and promote cohesion among communities experiencing forced displacement. </w:t>
            </w:r>
            <w:r w:rsidR="001D590B" w:rsidRPr="001D590B">
              <w:rPr>
                <w:rFonts w:ascii="Arial" w:hAnsi="Arial" w:cs="Arial"/>
                <w:color w:val="757575"/>
              </w:rPr>
              <w:t xml:space="preserve">Below, we’ve highlighted five papers that we think might be of interest to this community. We invite you to check out the other papers in the series, </w:t>
            </w:r>
            <w:hyperlink r:id="rId8" w:history="1">
              <w:r w:rsidR="001D590B" w:rsidRPr="002052EA">
                <w:rPr>
                  <w:rStyle w:val="Hyperlink"/>
                  <w:rFonts w:ascii="Arial" w:hAnsi="Arial" w:cs="Arial"/>
                  <w:color w:val="009FDA"/>
                </w:rPr>
                <w:t>which can be found here</w:t>
              </w:r>
            </w:hyperlink>
            <w:r w:rsidR="001D590B" w:rsidRPr="001D590B">
              <w:rPr>
                <w:rFonts w:ascii="Arial" w:hAnsi="Arial" w:cs="Arial"/>
                <w:color w:val="757575"/>
              </w:rPr>
              <w:t xml:space="preserve">. </w:t>
            </w:r>
          </w:p>
          <w:p w14:paraId="2E0DF88B" w14:textId="77777777" w:rsidR="001D590B" w:rsidRPr="001D590B" w:rsidRDefault="001D590B" w:rsidP="00691FA3">
            <w:pPr>
              <w:pStyle w:val="ListParagraph"/>
              <w:numPr>
                <w:ilvl w:val="0"/>
                <w:numId w:val="1"/>
              </w:numPr>
              <w:spacing w:after="120" w:line="300" w:lineRule="auto"/>
              <w:contextualSpacing w:val="0"/>
              <w:jc w:val="both"/>
              <w:rPr>
                <w:rFonts w:ascii="Arial" w:hAnsi="Arial" w:cs="Arial"/>
                <w:color w:val="009FDA"/>
                <w:u w:val="single"/>
              </w:rPr>
            </w:pPr>
            <w:r w:rsidRPr="001D590B">
              <w:rPr>
                <w:rStyle w:val="Hyperlink"/>
                <w:rFonts w:ascii="Arial" w:hAnsi="Arial" w:cs="Arial"/>
                <w:color w:val="009FDA"/>
              </w:rPr>
              <w:t>Displacement and Social Empowerment: Evidence from Colombia, Iraq, Philippines, and Uganda:</w:t>
            </w:r>
            <w:r w:rsidRPr="001D590B">
              <w:rPr>
                <w:rStyle w:val="Hyperlink"/>
                <w:rFonts w:ascii="Arial" w:hAnsi="Arial" w:cs="Arial"/>
                <w:color w:val="009FDA"/>
                <w:u w:val="none"/>
              </w:rPr>
              <w:t xml:space="preserve"> </w:t>
            </w:r>
            <w:r w:rsidRPr="001D590B">
              <w:rPr>
                <w:rFonts w:ascii="Arial" w:hAnsi="Arial" w:cs="Arial"/>
                <w:color w:val="757575"/>
              </w:rPr>
              <w:t>Displacement experience is positively associated with increased sense of personal empowerment and efficacy, but the effect varies across and within countries. Those displaced to urban areas may experience an increased capacity for collective action relative to those displaced to rural or camp-based areas because of the public infrastructure and social density present in urban areas.</w:t>
            </w:r>
          </w:p>
          <w:p w14:paraId="27219855" w14:textId="77777777" w:rsidR="001D590B" w:rsidRPr="001D590B" w:rsidRDefault="00064BFC" w:rsidP="00691FA3">
            <w:pPr>
              <w:pStyle w:val="ListParagraph"/>
              <w:numPr>
                <w:ilvl w:val="0"/>
                <w:numId w:val="1"/>
              </w:numPr>
              <w:spacing w:before="120" w:after="120" w:line="300" w:lineRule="auto"/>
              <w:contextualSpacing w:val="0"/>
              <w:jc w:val="both"/>
              <w:rPr>
                <w:rFonts w:ascii="Arial" w:hAnsi="Arial" w:cs="Arial"/>
                <w:color w:val="009FDA"/>
                <w:u w:val="single"/>
              </w:rPr>
            </w:pPr>
            <w:hyperlink r:id="rId9" w:history="1">
              <w:r w:rsidR="001D590B" w:rsidRPr="001D590B">
                <w:rPr>
                  <w:rStyle w:val="Hyperlink"/>
                  <w:rFonts w:ascii="Arial" w:hAnsi="Arial" w:cs="Arial"/>
                  <w:color w:val="009FDA"/>
                </w:rPr>
                <w:t>Social Cohesion and Refugee-Host Interactions: Evidence from East Africa</w:t>
              </w:r>
            </w:hyperlink>
            <w:r w:rsidR="001D590B" w:rsidRPr="001D590B">
              <w:rPr>
                <w:rStyle w:val="Hyperlink"/>
                <w:color w:val="009FDA"/>
              </w:rPr>
              <w:t>:</w:t>
            </w:r>
            <w:r w:rsidR="001D590B" w:rsidRPr="001D590B">
              <w:rPr>
                <w:rFonts w:ascii="Arial" w:hAnsi="Arial" w:cs="Arial"/>
                <w:color w:val="009FDA"/>
              </w:rPr>
              <w:t xml:space="preserve"> </w:t>
            </w:r>
            <w:r w:rsidR="001D590B" w:rsidRPr="001D590B">
              <w:rPr>
                <w:rFonts w:ascii="Arial" w:hAnsi="Arial" w:cs="Arial"/>
                <w:color w:val="757575"/>
              </w:rPr>
              <w:t>Host community attitudes towards refugees are shaped by intra-group attitude formation at the neighborhood level and by inter-group interaction. The economic impact of refugees on local economies creates sympathy among some groups (landlords and employers, who rent to and hire refugees) and antipathy among others (tenants and prospective employees).</w:t>
            </w:r>
          </w:p>
          <w:p w14:paraId="5E3140B5" w14:textId="77777777" w:rsidR="001D590B" w:rsidRPr="001D590B" w:rsidRDefault="001D590B" w:rsidP="00691FA3">
            <w:pPr>
              <w:pStyle w:val="ListParagraph"/>
              <w:numPr>
                <w:ilvl w:val="0"/>
                <w:numId w:val="1"/>
              </w:numPr>
              <w:spacing w:after="120" w:line="300" w:lineRule="auto"/>
              <w:contextualSpacing w:val="0"/>
              <w:jc w:val="both"/>
              <w:rPr>
                <w:rFonts w:ascii="Arial" w:hAnsi="Arial" w:cs="Arial"/>
                <w:color w:val="009FDA"/>
                <w:u w:val="single"/>
              </w:rPr>
            </w:pPr>
            <w:r w:rsidRPr="001D590B">
              <w:rPr>
                <w:rStyle w:val="Hyperlink"/>
                <w:rFonts w:ascii="Arial" w:hAnsi="Arial" w:cs="Arial"/>
                <w:color w:val="009FDA"/>
              </w:rPr>
              <w:t>Inclusive Refugee-Hosting in Uganda Improves Local Development and Prevents Public Backlash:</w:t>
            </w:r>
            <w:r w:rsidRPr="001D590B">
              <w:rPr>
                <w:rStyle w:val="Hyperlink"/>
                <w:rFonts w:ascii="Arial" w:hAnsi="Arial" w:cs="Arial"/>
                <w:color w:val="009FDA"/>
                <w:u w:val="none"/>
              </w:rPr>
              <w:t xml:space="preserve"> </w:t>
            </w:r>
            <w:r w:rsidRPr="001D590B">
              <w:rPr>
                <w:rFonts w:ascii="Arial" w:hAnsi="Arial" w:cs="Arial"/>
                <w:color w:val="757575"/>
              </w:rPr>
              <w:t>Host communities with more exposure to refugee settlements experience substantial improvements in the provision of public goods and services. Proximity to refugee settlements does not affect attitudes towards migrants or migration policy.</w:t>
            </w:r>
          </w:p>
          <w:p w14:paraId="08315704" w14:textId="50BFB24C" w:rsidR="001D590B" w:rsidRPr="001D590B" w:rsidRDefault="00064BFC" w:rsidP="00691FA3">
            <w:pPr>
              <w:pStyle w:val="ListParagraph"/>
              <w:numPr>
                <w:ilvl w:val="0"/>
                <w:numId w:val="1"/>
              </w:numPr>
              <w:spacing w:after="120" w:line="300" w:lineRule="auto"/>
              <w:contextualSpacing w:val="0"/>
              <w:jc w:val="both"/>
              <w:rPr>
                <w:rFonts w:ascii="Arial" w:hAnsi="Arial" w:cs="Arial"/>
                <w:color w:val="009FDA"/>
                <w:u w:val="single"/>
              </w:rPr>
            </w:pPr>
            <w:hyperlink r:id="rId10" w:history="1">
              <w:r w:rsidR="001D590B" w:rsidRPr="001D590B">
                <w:rPr>
                  <w:rStyle w:val="Hyperlink"/>
                  <w:rFonts w:ascii="Arial" w:hAnsi="Arial" w:cs="Arial"/>
                  <w:color w:val="009FDA"/>
                </w:rPr>
                <w:t>Long-term effects of the 1923 mass refugee inflow on social cohesion in Greece</w:t>
              </w:r>
            </w:hyperlink>
            <w:r w:rsidR="001D590B" w:rsidRPr="001D590B">
              <w:rPr>
                <w:rStyle w:val="Hyperlink"/>
                <w:color w:val="009FDA"/>
              </w:rPr>
              <w:t>:</w:t>
            </w:r>
            <w:r w:rsidR="001D590B" w:rsidRPr="001D590B">
              <w:rPr>
                <w:rFonts w:ascii="Arial" w:hAnsi="Arial" w:cs="Arial"/>
                <w:color w:val="009FDA"/>
                <w:u w:val="single"/>
              </w:rPr>
              <w:t xml:space="preserve"> </w:t>
            </w:r>
            <w:r w:rsidR="001D590B" w:rsidRPr="001D590B">
              <w:rPr>
                <w:rFonts w:ascii="Arial" w:hAnsi="Arial" w:cs="Arial"/>
                <w:color w:val="757575"/>
              </w:rPr>
              <w:t>Policies that promoted the integration of refugees into the community contributed to long term social cohesion in Greece. These policies included: granting farmland, building new houses and schools, and providing citizenship.</w:t>
            </w:r>
          </w:p>
          <w:p w14:paraId="20B1DCC0" w14:textId="77777777" w:rsidR="00691FA3" w:rsidRPr="00064BFC" w:rsidRDefault="00064BFC" w:rsidP="00064BFC">
            <w:pPr>
              <w:pStyle w:val="ListParagraph"/>
              <w:numPr>
                <w:ilvl w:val="0"/>
                <w:numId w:val="1"/>
              </w:numPr>
              <w:spacing w:after="120" w:line="300" w:lineRule="auto"/>
              <w:contextualSpacing w:val="0"/>
              <w:jc w:val="both"/>
              <w:rPr>
                <w:rFonts w:ascii="Arial" w:hAnsi="Arial" w:cs="Arial"/>
                <w:color w:val="009FDA"/>
                <w:u w:val="single"/>
              </w:rPr>
            </w:pPr>
            <w:hyperlink r:id="rId11" w:history="1">
              <w:r w:rsidR="001D590B" w:rsidRPr="00B725CD">
                <w:rPr>
                  <w:rStyle w:val="Hyperlink"/>
                  <w:rFonts w:ascii="Arial" w:hAnsi="Arial" w:cs="Arial"/>
                  <w:color w:val="009FDA"/>
                </w:rPr>
                <w:t>How Do Shared Experiences of Economic Shocks Impact Refugees and Host Communities? Evidence from Afghan Refugees in Iran</w:t>
              </w:r>
            </w:hyperlink>
            <w:r w:rsidR="001D590B" w:rsidRPr="00B725CD">
              <w:rPr>
                <w:rStyle w:val="Hyperlink"/>
                <w:color w:val="009FDA"/>
              </w:rPr>
              <w:t>:</w:t>
            </w:r>
            <w:r w:rsidR="001D590B" w:rsidRPr="001D590B">
              <w:rPr>
                <w:rFonts w:ascii="Arial" w:hAnsi="Arial" w:cs="Arial"/>
                <w:color w:val="009FDA"/>
              </w:rPr>
              <w:t xml:space="preserve"> </w:t>
            </w:r>
            <w:r w:rsidR="001D590B" w:rsidRPr="001D590B">
              <w:rPr>
                <w:rFonts w:ascii="Arial" w:hAnsi="Arial" w:cs="Arial"/>
                <w:color w:val="757575"/>
              </w:rPr>
              <w:t>Negative economic conditions in host communities decrease social cohesion between hosts and refugees. Positive economic conditions do not significantly improve social cohesion between hosts and refugees, but they do not worsen it and may improve refugee welfare. This suggests that there is minimal cost to pursuing policies that are generous toward refugees.</w:t>
            </w:r>
          </w:p>
          <w:p w14:paraId="2852219E" w14:textId="52C668DE" w:rsidR="00064BFC" w:rsidRPr="00064BFC" w:rsidRDefault="00064BFC" w:rsidP="00064BFC">
            <w:pPr>
              <w:pStyle w:val="ListParagraph"/>
              <w:spacing w:after="120" w:line="300" w:lineRule="auto"/>
              <w:ind w:left="360"/>
              <w:contextualSpacing w:val="0"/>
              <w:jc w:val="both"/>
              <w:rPr>
                <w:rStyle w:val="Hyperlink"/>
                <w:rFonts w:ascii="Arial" w:hAnsi="Arial" w:cs="Arial"/>
                <w:color w:val="009FDA"/>
              </w:rPr>
            </w:pPr>
          </w:p>
        </w:tc>
      </w:tr>
      <w:tr w:rsidR="00C5508E" w:rsidRPr="00211208" w14:paraId="46A15046" w14:textId="77777777" w:rsidTr="00164F42">
        <w:trPr>
          <w:jc w:val="center"/>
        </w:trPr>
        <w:tc>
          <w:tcPr>
            <w:tcW w:w="9000" w:type="dxa"/>
            <w:shd w:val="clear" w:color="auto" w:fill="FFFFFF"/>
          </w:tcPr>
          <w:p w14:paraId="43B30A5C" w14:textId="3888C03C" w:rsidR="00C5508E" w:rsidRPr="00567B68" w:rsidRDefault="00064BFC" w:rsidP="00C5508E">
            <w:pPr>
              <w:spacing w:after="120"/>
              <w:jc w:val="center"/>
              <w:rPr>
                <w:rStyle w:val="Hyperlink"/>
                <w:color w:val="009FDA"/>
              </w:rPr>
            </w:pPr>
            <w:hyperlink r:id="rId12" w:tgtFrame="_blank" w:history="1">
              <w:r w:rsidR="00C5508E" w:rsidRPr="00C5508E">
                <w:rPr>
                  <w:rStyle w:val="Hyperlink"/>
                  <w:rFonts w:ascii="Arial" w:hAnsi="Arial" w:cs="Arial"/>
                  <w:color w:val="009FDA"/>
                </w:rPr>
                <w:t>Results in Resilience: Informing and Driving Resilience Building at the DRM-FCV Nexus in South Sudan</w:t>
              </w:r>
            </w:hyperlink>
            <w:r w:rsidR="00C5508E">
              <w:rPr>
                <w:color w:val="201F1E"/>
                <w:shd w:val="clear" w:color="auto" w:fill="FFFFFF"/>
              </w:rPr>
              <w:t> </w:t>
            </w:r>
          </w:p>
        </w:tc>
      </w:tr>
      <w:tr w:rsidR="00567B68" w:rsidRPr="00211208" w14:paraId="0BC75D22" w14:textId="77777777" w:rsidTr="00164F42">
        <w:trPr>
          <w:jc w:val="center"/>
        </w:trPr>
        <w:tc>
          <w:tcPr>
            <w:tcW w:w="9000" w:type="dxa"/>
            <w:shd w:val="clear" w:color="auto" w:fill="FFFFFF"/>
          </w:tcPr>
          <w:p w14:paraId="07256E54" w14:textId="77777777" w:rsidR="00567B68" w:rsidRDefault="00C5508E" w:rsidP="00567B68">
            <w:pPr>
              <w:spacing w:line="300" w:lineRule="auto"/>
              <w:jc w:val="both"/>
              <w:rPr>
                <w:rFonts w:ascii="Arial" w:hAnsi="Arial" w:cs="Arial"/>
                <w:color w:val="757575"/>
              </w:rPr>
            </w:pPr>
            <w:r w:rsidRPr="00C5508E">
              <w:rPr>
                <w:rFonts w:ascii="Arial" w:hAnsi="Arial" w:cs="Arial"/>
                <w:color w:val="757575"/>
              </w:rPr>
              <w:lastRenderedPageBreak/>
              <w:t>This two-page brief summarizes the Global Facility for Disaster Reduction and Recovery’s analysis of the challenges and opportunities at the nexus of disaster risk management (DRM) and fragility, conflict and violence (FCV) in South Sudan. This analysis paired hazard and exposure data, FCV-related spatial data, and qualitative information from community members, government officials, and other stakeholders to assess the vulnerabilities, impacts on communities, and how they are responding.</w:t>
            </w:r>
          </w:p>
          <w:p w14:paraId="6118B43C" w14:textId="584917DD" w:rsidR="001D590B" w:rsidRDefault="001D590B" w:rsidP="00567B68">
            <w:pPr>
              <w:spacing w:line="300" w:lineRule="auto"/>
              <w:jc w:val="both"/>
            </w:pPr>
          </w:p>
        </w:tc>
      </w:tr>
      <w:tr w:rsidR="00567B68" w:rsidRPr="00211208" w14:paraId="66D99BFB"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567B68" w14:paraId="1CA425AE" w14:textId="77777777" w:rsidTr="00F729E0">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567B68" w14:paraId="3C778046" w14:textId="77777777" w:rsidTr="00F729E0">
                    <w:tc>
                      <w:tcPr>
                        <w:tcW w:w="8460" w:type="dxa"/>
                        <w:tcBorders>
                          <w:top w:val="single" w:sz="12" w:space="0" w:color="EAEAEA"/>
                          <w:left w:val="nil"/>
                          <w:bottom w:val="nil"/>
                          <w:right w:val="nil"/>
                        </w:tcBorders>
                        <w:vAlign w:val="center"/>
                        <w:hideMark/>
                      </w:tcPr>
                      <w:p w14:paraId="36A39427" w14:textId="77777777" w:rsidR="00567B68" w:rsidRDefault="00567B68" w:rsidP="00567B68"/>
                    </w:tc>
                  </w:tr>
                </w:tbl>
                <w:p w14:paraId="4F80D625" w14:textId="77777777" w:rsidR="00567B68" w:rsidRDefault="00567B68" w:rsidP="00567B68">
                  <w:pPr>
                    <w:rPr>
                      <w:rFonts w:ascii="Times New Roman" w:eastAsia="Times New Roman" w:hAnsi="Times New Roman" w:cs="Times New Roman"/>
                      <w:sz w:val="20"/>
                      <w:szCs w:val="20"/>
                    </w:rPr>
                  </w:pPr>
                </w:p>
              </w:tc>
            </w:tr>
            <w:tr w:rsidR="00567B68" w14:paraId="0445A4E9" w14:textId="77777777" w:rsidTr="00F729E0">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60464EB0" w14:textId="6CF9C30E" w:rsidR="00567B68" w:rsidRDefault="00567B68" w:rsidP="00567B68">
                  <w:pPr>
                    <w:jc w:val="center"/>
                    <w:rPr>
                      <w:rFonts w:ascii="Arial" w:hAnsi="Arial" w:cs="Arial"/>
                      <w:sz w:val="36"/>
                      <w:szCs w:val="36"/>
                    </w:rPr>
                  </w:pPr>
                  <w:r>
                    <w:rPr>
                      <w:rFonts w:ascii="Arial" w:hAnsi="Arial" w:cs="Arial"/>
                      <w:b/>
                      <w:bCs/>
                      <w:color w:val="FFFFFF" w:themeColor="background1"/>
                      <w:sz w:val="36"/>
                      <w:szCs w:val="36"/>
                    </w:rPr>
                    <w:t>BLOGS</w:t>
                  </w:r>
                </w:p>
              </w:tc>
            </w:tr>
          </w:tbl>
          <w:p w14:paraId="7A4C9413" w14:textId="77777777" w:rsidR="00567B68" w:rsidRPr="008D7193" w:rsidRDefault="00567B68" w:rsidP="00567B68">
            <w:pPr>
              <w:spacing w:line="300" w:lineRule="auto"/>
              <w:jc w:val="both"/>
              <w:rPr>
                <w:rFonts w:ascii="Arial" w:hAnsi="Arial" w:cs="Arial"/>
                <w:color w:val="757575"/>
              </w:rPr>
            </w:pPr>
          </w:p>
        </w:tc>
      </w:tr>
      <w:tr w:rsidR="00C5508E" w:rsidRPr="00211208" w14:paraId="7E573B97" w14:textId="77777777" w:rsidTr="00164F42">
        <w:trPr>
          <w:jc w:val="center"/>
        </w:trPr>
        <w:tc>
          <w:tcPr>
            <w:tcW w:w="9000" w:type="dxa"/>
            <w:shd w:val="clear" w:color="auto" w:fill="FFFFFF"/>
          </w:tcPr>
          <w:p w14:paraId="143CDF82" w14:textId="77777777" w:rsidR="00C5508E" w:rsidRPr="00567B68" w:rsidRDefault="00C5508E" w:rsidP="00C5508E">
            <w:pPr>
              <w:jc w:val="center"/>
              <w:rPr>
                <w:rStyle w:val="Hyperlink"/>
                <w:color w:val="009FDA"/>
              </w:rPr>
            </w:pPr>
          </w:p>
        </w:tc>
      </w:tr>
      <w:tr w:rsidR="00567B68" w:rsidRPr="00211208" w14:paraId="07B2A1B8" w14:textId="77777777" w:rsidTr="00164F42">
        <w:trPr>
          <w:jc w:val="center"/>
        </w:trPr>
        <w:tc>
          <w:tcPr>
            <w:tcW w:w="9000" w:type="dxa"/>
            <w:shd w:val="clear" w:color="auto" w:fill="FFFFFF"/>
          </w:tcPr>
          <w:p w14:paraId="4541C86C" w14:textId="42C4FC1B" w:rsidR="00567B68" w:rsidRDefault="00064BFC" w:rsidP="00C5508E">
            <w:pPr>
              <w:spacing w:after="120"/>
              <w:jc w:val="center"/>
            </w:pPr>
            <w:hyperlink r:id="rId13" w:tgtFrame="_blank" w:history="1">
              <w:r w:rsidR="00567B68" w:rsidRPr="00567B68">
                <w:rPr>
                  <w:rStyle w:val="Hyperlink"/>
                  <w:rFonts w:ascii="Arial" w:hAnsi="Arial" w:cs="Arial"/>
                  <w:color w:val="009FDA"/>
                </w:rPr>
                <w:t>Post-disaster Reconstruction: Lessons from Nepal and Pakistan</w:t>
              </w:r>
            </w:hyperlink>
          </w:p>
        </w:tc>
      </w:tr>
      <w:tr w:rsidR="00567B68" w:rsidRPr="00211208" w14:paraId="7BA6D034" w14:textId="77777777" w:rsidTr="00164F42">
        <w:trPr>
          <w:jc w:val="center"/>
        </w:trPr>
        <w:tc>
          <w:tcPr>
            <w:tcW w:w="9000" w:type="dxa"/>
            <w:shd w:val="clear" w:color="auto" w:fill="FFFFFF"/>
          </w:tcPr>
          <w:p w14:paraId="66CCC25B" w14:textId="77777777" w:rsidR="00567B68" w:rsidRDefault="00567B68" w:rsidP="00567B68">
            <w:pPr>
              <w:spacing w:line="300" w:lineRule="auto"/>
              <w:jc w:val="both"/>
              <w:rPr>
                <w:rFonts w:ascii="Arial" w:hAnsi="Arial" w:cs="Arial"/>
                <w:color w:val="757575"/>
              </w:rPr>
            </w:pPr>
            <w:r w:rsidRPr="00567B68">
              <w:rPr>
                <w:rFonts w:ascii="Arial" w:hAnsi="Arial" w:cs="Arial"/>
                <w:color w:val="757575"/>
              </w:rPr>
              <w:t>Author Kamran Akbar draws from his experiences in post-earthquake reconstruction in Nepal and Pakistan to highlight the importance of Owner-driven and community-supported approaches, engagement of civil society organizations, prioritizing the rebuilding of livelihoods, and nurturing existing cooperative social value systems.</w:t>
            </w:r>
          </w:p>
          <w:p w14:paraId="6AF2B215" w14:textId="750548F5" w:rsidR="001D590B" w:rsidRPr="00723150" w:rsidRDefault="001D590B" w:rsidP="00567B68">
            <w:pPr>
              <w:spacing w:line="300" w:lineRule="auto"/>
              <w:jc w:val="both"/>
              <w:rPr>
                <w:rFonts w:ascii="Arial" w:hAnsi="Arial" w:cs="Arial"/>
              </w:rPr>
            </w:pPr>
          </w:p>
        </w:tc>
      </w:tr>
      <w:tr w:rsidR="00567B68" w:rsidRPr="00211208" w14:paraId="2125D4DC"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567B68" w14:paraId="423A0226" w14:textId="77777777"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567B68" w14:paraId="2FBB1E3F" w14:textId="77777777" w:rsidTr="00E07D89">
                    <w:tc>
                      <w:tcPr>
                        <w:tcW w:w="8460" w:type="dxa"/>
                        <w:tcBorders>
                          <w:top w:val="single" w:sz="12" w:space="0" w:color="EAEAEA"/>
                          <w:left w:val="nil"/>
                          <w:bottom w:val="nil"/>
                          <w:right w:val="nil"/>
                        </w:tcBorders>
                        <w:vAlign w:val="center"/>
                        <w:hideMark/>
                      </w:tcPr>
                      <w:p w14:paraId="6AA75029" w14:textId="77777777" w:rsidR="00567B68" w:rsidRDefault="00567B68" w:rsidP="00567B68"/>
                    </w:tc>
                  </w:tr>
                </w:tbl>
                <w:p w14:paraId="38843034" w14:textId="77777777" w:rsidR="00567B68" w:rsidRDefault="00567B68" w:rsidP="00567B68">
                  <w:pPr>
                    <w:rPr>
                      <w:rFonts w:ascii="Times New Roman" w:eastAsia="Times New Roman" w:hAnsi="Times New Roman" w:cs="Times New Roman"/>
                      <w:sz w:val="20"/>
                      <w:szCs w:val="20"/>
                    </w:rPr>
                  </w:pPr>
                </w:p>
              </w:tc>
            </w:tr>
            <w:tr w:rsidR="00567B68" w14:paraId="010B4DD1" w14:textId="77777777"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46713BAE" w14:textId="77777777" w:rsidR="00567B68" w:rsidRDefault="00567B68" w:rsidP="00567B68">
                  <w:pPr>
                    <w:jc w:val="center"/>
                    <w:rPr>
                      <w:rFonts w:ascii="Arial" w:hAnsi="Arial" w:cs="Arial"/>
                      <w:sz w:val="36"/>
                      <w:szCs w:val="36"/>
                    </w:rPr>
                  </w:pPr>
                  <w:r>
                    <w:rPr>
                      <w:rFonts w:ascii="Arial" w:hAnsi="Arial" w:cs="Arial"/>
                      <w:b/>
                      <w:bCs/>
                      <w:color w:val="FFFFFF" w:themeColor="background1"/>
                      <w:sz w:val="36"/>
                      <w:szCs w:val="36"/>
                    </w:rPr>
                    <w:t>RECENT EVENTS</w:t>
                  </w:r>
                </w:p>
              </w:tc>
            </w:tr>
          </w:tbl>
          <w:p w14:paraId="29B508F8" w14:textId="77777777" w:rsidR="00567B68" w:rsidRPr="00211208" w:rsidRDefault="00567B68" w:rsidP="00567B68">
            <w:pPr>
              <w:spacing w:line="300" w:lineRule="auto"/>
              <w:rPr>
                <w:rStyle w:val="Strong"/>
                <w:rFonts w:ascii="Arial" w:hAnsi="Arial" w:cs="Arial"/>
                <w:color w:val="757575"/>
              </w:rPr>
            </w:pPr>
          </w:p>
        </w:tc>
      </w:tr>
      <w:tr w:rsidR="00567B68" w:rsidRPr="00211208" w14:paraId="631D1459" w14:textId="77777777" w:rsidTr="00164F42">
        <w:trPr>
          <w:jc w:val="center"/>
        </w:trPr>
        <w:tc>
          <w:tcPr>
            <w:tcW w:w="9000" w:type="dxa"/>
            <w:shd w:val="clear" w:color="auto" w:fill="FFFFFF"/>
          </w:tcPr>
          <w:p w14:paraId="4363B4D4" w14:textId="77777777" w:rsidR="00567B68" w:rsidRDefault="00567B68" w:rsidP="00567B68"/>
        </w:tc>
      </w:tr>
      <w:tr w:rsidR="00567B68" w:rsidRPr="00211208" w14:paraId="07B8BE3F" w14:textId="77777777" w:rsidTr="00164F42">
        <w:trPr>
          <w:jc w:val="center"/>
        </w:trPr>
        <w:tc>
          <w:tcPr>
            <w:tcW w:w="9000" w:type="dxa"/>
            <w:shd w:val="clear" w:color="auto" w:fill="FFFFFF"/>
          </w:tcPr>
          <w:p w14:paraId="6DA28F11" w14:textId="77777777" w:rsidR="00567B68" w:rsidRPr="0051070D" w:rsidRDefault="00567B68" w:rsidP="00567B68">
            <w:pPr>
              <w:spacing w:line="360" w:lineRule="auto"/>
              <w:jc w:val="center"/>
              <w:rPr>
                <w:rStyle w:val="Hyperlink"/>
                <w:rFonts w:ascii="Arial" w:hAnsi="Arial" w:cs="Arial"/>
                <w:color w:val="009FDA"/>
              </w:rPr>
            </w:pPr>
            <w:r>
              <w:rPr>
                <w:rFonts w:ascii="Arial" w:hAnsi="Arial" w:cs="Arial"/>
              </w:rPr>
              <w:fldChar w:fldCharType="begin"/>
            </w:r>
            <w:r>
              <w:rPr>
                <w:rFonts w:ascii="Arial" w:hAnsi="Arial" w:cs="Arial"/>
              </w:rPr>
              <w:instrText xml:space="preserve"> HYPERLINK "https://worldbankgroup.sharepoint.com.mcas.ms/sites/social/cesa/SitePages/Detail.aspx/Events/mode=view?_Id=3&amp;SiteURL=/sites/social/cesa" </w:instrText>
            </w:r>
            <w:r>
              <w:rPr>
                <w:rFonts w:ascii="Arial" w:hAnsi="Arial" w:cs="Arial"/>
              </w:rPr>
              <w:fldChar w:fldCharType="separate"/>
            </w:r>
            <w:r w:rsidRPr="0051070D">
              <w:rPr>
                <w:rStyle w:val="Hyperlink"/>
                <w:rFonts w:ascii="Arial" w:hAnsi="Arial" w:cs="Arial"/>
                <w:color w:val="009FDA"/>
              </w:rPr>
              <w:t>Technical Note on Disability Inclusive Citizen Engagement</w:t>
            </w:r>
          </w:p>
          <w:p w14:paraId="10577F3B" w14:textId="77777777" w:rsidR="00567B68" w:rsidRPr="008847B8" w:rsidRDefault="00567B68" w:rsidP="00567B68">
            <w:pPr>
              <w:spacing w:line="360" w:lineRule="auto"/>
              <w:jc w:val="center"/>
              <w:rPr>
                <w:color w:val="009FDA"/>
                <w:u w:val="single"/>
              </w:rPr>
            </w:pPr>
            <w:r>
              <w:rPr>
                <w:rFonts w:ascii="Arial" w:hAnsi="Arial" w:cs="Arial"/>
              </w:rPr>
              <w:fldChar w:fldCharType="end"/>
            </w:r>
            <w:r>
              <w:rPr>
                <w:rFonts w:ascii="Arial" w:hAnsi="Arial" w:cs="Arial"/>
                <w:color w:val="757575"/>
              </w:rPr>
              <w:t>May 12, 2022</w:t>
            </w:r>
          </w:p>
        </w:tc>
      </w:tr>
      <w:tr w:rsidR="00567B68" w:rsidRPr="00211208" w14:paraId="56ADF55A" w14:textId="77777777" w:rsidTr="00164F42">
        <w:trPr>
          <w:jc w:val="center"/>
        </w:trPr>
        <w:tc>
          <w:tcPr>
            <w:tcW w:w="9000" w:type="dxa"/>
            <w:shd w:val="clear" w:color="auto" w:fill="FFFFFF"/>
          </w:tcPr>
          <w:p w14:paraId="5567391F" w14:textId="77777777" w:rsidR="00567B68" w:rsidRDefault="00567B68" w:rsidP="00567B68">
            <w:pPr>
              <w:spacing w:line="300" w:lineRule="auto"/>
              <w:jc w:val="both"/>
              <w:rPr>
                <w:rFonts w:ascii="Arial" w:hAnsi="Arial" w:cs="Arial"/>
                <w:color w:val="757575"/>
              </w:rPr>
            </w:pPr>
            <w:r>
              <w:rPr>
                <w:rFonts w:ascii="Arial" w:hAnsi="Arial" w:cs="Arial"/>
                <w:color w:val="757575"/>
              </w:rPr>
              <w:t xml:space="preserve">This </w:t>
            </w:r>
            <w:hyperlink r:id="rId14" w:history="1">
              <w:r w:rsidRPr="00236B76">
                <w:rPr>
                  <w:rStyle w:val="Hyperlink"/>
                  <w:rFonts w:ascii="Arial" w:hAnsi="Arial" w:cs="Arial"/>
                  <w:color w:val="009FDA"/>
                </w:rPr>
                <w:t>technical note</w:t>
              </w:r>
            </w:hyperlink>
            <w:r>
              <w:rPr>
                <w:rFonts w:ascii="Arial" w:hAnsi="Arial" w:cs="Arial"/>
                <w:color w:val="757575"/>
              </w:rPr>
              <w:t xml:space="preserve"> from the Citizen Engagement and Social Accountability GSG explains what to look for to ensure that individuals with disabilities and organizations of persons with disabilities are engaged in the planning, implementation, monitoring, and evaluation stages of Bank projects. It draws from examples from different sectors, including a Community Based Water Supply Project in Indonesia highlighted during the event, to present a summary of lessons learned. </w:t>
            </w:r>
          </w:p>
          <w:p w14:paraId="740749FA" w14:textId="77777777" w:rsidR="00567B68" w:rsidRPr="008847B8" w:rsidRDefault="00567B68" w:rsidP="00567B68">
            <w:pPr>
              <w:spacing w:line="360" w:lineRule="auto"/>
              <w:jc w:val="both"/>
              <w:rPr>
                <w:rFonts w:ascii="Arial" w:hAnsi="Arial" w:cs="Arial"/>
                <w:color w:val="757575"/>
              </w:rPr>
            </w:pPr>
          </w:p>
        </w:tc>
      </w:tr>
      <w:tr w:rsidR="00567B68" w:rsidRPr="00211208" w14:paraId="2C6EC974" w14:textId="77777777" w:rsidTr="00164F42">
        <w:trPr>
          <w:jc w:val="center"/>
        </w:trPr>
        <w:tc>
          <w:tcPr>
            <w:tcW w:w="9000" w:type="dxa"/>
            <w:shd w:val="clear" w:color="auto" w:fill="FFFFFF"/>
          </w:tcPr>
          <w:p w14:paraId="6AAA6F82" w14:textId="4AC622E5" w:rsidR="00567B68" w:rsidRPr="001162DB" w:rsidRDefault="001162DB" w:rsidP="001162DB">
            <w:pPr>
              <w:spacing w:line="300" w:lineRule="auto"/>
              <w:jc w:val="center"/>
              <w:rPr>
                <w:rStyle w:val="Hyperlink"/>
                <w:rFonts w:ascii="Arial" w:hAnsi="Arial" w:cs="Arial"/>
                <w:color w:val="009FDA"/>
              </w:rPr>
            </w:pPr>
            <w:r w:rsidRPr="001162DB">
              <w:rPr>
                <w:rStyle w:val="Hyperlink"/>
                <w:color w:val="009FDA"/>
              </w:rPr>
              <w:fldChar w:fldCharType="begin"/>
            </w:r>
            <w:r w:rsidRPr="001162DB">
              <w:rPr>
                <w:rStyle w:val="Hyperlink"/>
                <w:color w:val="009FDA"/>
              </w:rPr>
              <w:instrText xml:space="preserve"> HYPERLINK "https://1930181.mediaspace.kaltura.com/media/ASL+WebinarA+Sharing+successful+experiences+of+Indigenous+Peoples+and+Local+Communities%27+engagement+in+conservation/1_4nqn5mch" </w:instrText>
            </w:r>
            <w:r w:rsidRPr="001162DB">
              <w:rPr>
                <w:rStyle w:val="Hyperlink"/>
                <w:color w:val="009FDA"/>
              </w:rPr>
              <w:fldChar w:fldCharType="separate"/>
            </w:r>
            <w:r w:rsidR="00567B68" w:rsidRPr="001162DB">
              <w:rPr>
                <w:rStyle w:val="Hyperlink"/>
                <w:rFonts w:ascii="Arial" w:hAnsi="Arial" w:cs="Arial"/>
                <w:color w:val="009FDA"/>
              </w:rPr>
              <w:t>Sharing successful experiences of Indigenous Peoples and Local Communities’ engagement in conservation</w:t>
            </w:r>
          </w:p>
          <w:p w14:paraId="2784CB0F" w14:textId="5B15A738" w:rsidR="00567B68" w:rsidRDefault="001162DB" w:rsidP="001162DB">
            <w:pPr>
              <w:spacing w:line="300" w:lineRule="auto"/>
              <w:jc w:val="center"/>
              <w:rPr>
                <w:rFonts w:ascii="Arial" w:hAnsi="Arial" w:cs="Arial"/>
                <w:color w:val="757575"/>
              </w:rPr>
            </w:pPr>
            <w:r w:rsidRPr="001162DB">
              <w:rPr>
                <w:rStyle w:val="Hyperlink"/>
                <w:color w:val="009FDA"/>
              </w:rPr>
              <w:fldChar w:fldCharType="end"/>
            </w:r>
            <w:r w:rsidR="00567B68">
              <w:rPr>
                <w:rFonts w:ascii="Arial" w:hAnsi="Arial" w:cs="Arial"/>
                <w:color w:val="757575"/>
              </w:rPr>
              <w:t>May 5, 2022</w:t>
            </w:r>
          </w:p>
        </w:tc>
      </w:tr>
      <w:tr w:rsidR="00567B68" w:rsidRPr="00211208" w14:paraId="154B1AA1" w14:textId="77777777" w:rsidTr="00164F42">
        <w:trPr>
          <w:jc w:val="center"/>
        </w:trPr>
        <w:tc>
          <w:tcPr>
            <w:tcW w:w="9000" w:type="dxa"/>
            <w:shd w:val="clear" w:color="auto" w:fill="FFFFFF"/>
          </w:tcPr>
          <w:p w14:paraId="31333A2A" w14:textId="3B54E79A" w:rsidR="00567B68" w:rsidRDefault="00567B68" w:rsidP="00567B68">
            <w:pPr>
              <w:spacing w:line="300" w:lineRule="auto"/>
              <w:jc w:val="both"/>
              <w:rPr>
                <w:rFonts w:ascii="Arial" w:hAnsi="Arial" w:cs="Arial"/>
                <w:color w:val="757575"/>
              </w:rPr>
            </w:pPr>
            <w:r w:rsidRPr="00236B76">
              <w:rPr>
                <w:rFonts w:ascii="Arial" w:hAnsi="Arial" w:cs="Arial"/>
                <w:color w:val="757575"/>
              </w:rPr>
              <w:t>The webinar, hosted jointly by the World Bank-led </w:t>
            </w:r>
            <w:hyperlink r:id="rId15" w:tgtFrame="_blank" w:history="1">
              <w:r w:rsidRPr="00236B76">
                <w:rPr>
                  <w:rStyle w:val="Hyperlink"/>
                  <w:rFonts w:ascii="Arial" w:hAnsi="Arial" w:cs="Arial"/>
                  <w:color w:val="009FDA"/>
                </w:rPr>
                <w:t>Amazon Sustainable Landscapes Program</w:t>
              </w:r>
            </w:hyperlink>
            <w:r w:rsidRPr="00236B76">
              <w:rPr>
                <w:rFonts w:ascii="Arial" w:hAnsi="Arial" w:cs="Arial"/>
                <w:color w:val="757575"/>
              </w:rPr>
              <w:t xml:space="preserve"> and the </w:t>
            </w:r>
            <w:hyperlink r:id="rId16" w:tgtFrame="_blank" w:history="1">
              <w:r w:rsidRPr="00236B76">
                <w:rPr>
                  <w:rStyle w:val="Hyperlink"/>
                  <w:rFonts w:ascii="Arial" w:hAnsi="Arial" w:cs="Arial"/>
                  <w:color w:val="009FDA"/>
                </w:rPr>
                <w:t>Global Wildlife Program</w:t>
              </w:r>
            </w:hyperlink>
            <w:r w:rsidRPr="00236B76">
              <w:rPr>
                <w:rFonts w:ascii="Arial" w:hAnsi="Arial" w:cs="Arial"/>
                <w:color w:val="757575"/>
              </w:rPr>
              <w:t> present</w:t>
            </w:r>
            <w:r>
              <w:rPr>
                <w:rFonts w:ascii="Arial" w:hAnsi="Arial" w:cs="Arial"/>
                <w:color w:val="757575"/>
              </w:rPr>
              <w:t>ed</w:t>
            </w:r>
            <w:r w:rsidRPr="00236B76">
              <w:rPr>
                <w:rFonts w:ascii="Arial" w:hAnsi="Arial" w:cs="Arial"/>
                <w:color w:val="757575"/>
              </w:rPr>
              <w:t xml:space="preserve"> selected approaches and tools implemented in Africa and Latin America, that promote engagement with </w:t>
            </w:r>
            <w:r>
              <w:rPr>
                <w:rFonts w:ascii="Arial" w:hAnsi="Arial" w:cs="Arial"/>
                <w:color w:val="757575"/>
              </w:rPr>
              <w:t>indigenous peoples and local communities</w:t>
            </w:r>
            <w:r w:rsidRPr="00236B76">
              <w:rPr>
                <w:rFonts w:ascii="Arial" w:hAnsi="Arial" w:cs="Arial"/>
                <w:color w:val="757575"/>
              </w:rPr>
              <w:t xml:space="preserve"> in natural resource conservation and sustainable development. </w:t>
            </w:r>
            <w:r w:rsidR="001162DB">
              <w:rPr>
                <w:rFonts w:ascii="Arial" w:hAnsi="Arial" w:cs="Arial"/>
                <w:color w:val="757575"/>
              </w:rPr>
              <w:t xml:space="preserve">Presentations </w:t>
            </w:r>
            <w:hyperlink r:id="rId17" w:history="1">
              <w:r w:rsidR="001162DB" w:rsidRPr="001162DB">
                <w:rPr>
                  <w:rStyle w:val="Hyperlink"/>
                  <w:rFonts w:ascii="Arial" w:hAnsi="Arial" w:cs="Arial"/>
                  <w:color w:val="009FDA"/>
                </w:rPr>
                <w:t>can be found here</w:t>
              </w:r>
            </w:hyperlink>
            <w:r w:rsidR="001162DB">
              <w:rPr>
                <w:rFonts w:ascii="Arial" w:hAnsi="Arial" w:cs="Arial"/>
                <w:color w:val="757575"/>
              </w:rPr>
              <w:t xml:space="preserve">. </w:t>
            </w:r>
          </w:p>
        </w:tc>
      </w:tr>
      <w:tr w:rsidR="00567B68" w:rsidRPr="00211208" w14:paraId="7DB2160C" w14:textId="77777777" w:rsidTr="00164F42">
        <w:trPr>
          <w:jc w:val="center"/>
        </w:trPr>
        <w:tc>
          <w:tcPr>
            <w:tcW w:w="9000" w:type="dxa"/>
            <w:shd w:val="clear" w:color="auto" w:fill="FFFFFF"/>
          </w:tcPr>
          <w:p w14:paraId="7D493CE5" w14:textId="77777777" w:rsidR="00567B68" w:rsidRDefault="00567B68" w:rsidP="00567B68">
            <w:pPr>
              <w:spacing w:line="360" w:lineRule="auto"/>
              <w:jc w:val="both"/>
              <w:rPr>
                <w:rFonts w:ascii="Arial" w:hAnsi="Arial" w:cs="Arial"/>
                <w:color w:val="757575"/>
              </w:rPr>
            </w:pPr>
          </w:p>
        </w:tc>
      </w:tr>
      <w:tr w:rsidR="00567B68" w:rsidRPr="00211208" w14:paraId="2990CDB5"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567B68" w14:paraId="27B23917" w14:textId="77777777"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567B68" w14:paraId="36CA88D6" w14:textId="77777777" w:rsidTr="00E07D89">
                    <w:tc>
                      <w:tcPr>
                        <w:tcW w:w="8460" w:type="dxa"/>
                        <w:tcBorders>
                          <w:top w:val="single" w:sz="12" w:space="0" w:color="EAEAEA"/>
                          <w:left w:val="nil"/>
                          <w:bottom w:val="nil"/>
                          <w:right w:val="nil"/>
                        </w:tcBorders>
                        <w:vAlign w:val="center"/>
                        <w:hideMark/>
                      </w:tcPr>
                      <w:p w14:paraId="3404CA1D" w14:textId="77777777" w:rsidR="00567B68" w:rsidRDefault="00567B68" w:rsidP="00567B68"/>
                    </w:tc>
                  </w:tr>
                </w:tbl>
                <w:p w14:paraId="12F04C77" w14:textId="77777777" w:rsidR="00567B68" w:rsidRDefault="00567B68" w:rsidP="00567B68">
                  <w:pPr>
                    <w:rPr>
                      <w:rFonts w:ascii="Times New Roman" w:eastAsia="Times New Roman" w:hAnsi="Times New Roman" w:cs="Times New Roman"/>
                      <w:sz w:val="20"/>
                      <w:szCs w:val="20"/>
                    </w:rPr>
                  </w:pPr>
                </w:p>
              </w:tc>
            </w:tr>
            <w:tr w:rsidR="00567B68" w14:paraId="1CA88240" w14:textId="77777777"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7B44E23F" w14:textId="77777777" w:rsidR="00567B68" w:rsidRDefault="00567B68" w:rsidP="00567B68">
                  <w:pPr>
                    <w:jc w:val="center"/>
                    <w:rPr>
                      <w:rFonts w:ascii="Arial" w:hAnsi="Arial" w:cs="Arial"/>
                      <w:sz w:val="36"/>
                      <w:szCs w:val="36"/>
                    </w:rPr>
                  </w:pPr>
                  <w:r>
                    <w:rPr>
                      <w:rFonts w:ascii="Arial" w:hAnsi="Arial" w:cs="Arial"/>
                      <w:b/>
                      <w:bCs/>
                      <w:color w:val="FFFFFF" w:themeColor="background1"/>
                      <w:sz w:val="36"/>
                      <w:szCs w:val="36"/>
                    </w:rPr>
                    <w:lastRenderedPageBreak/>
                    <w:t>PROJECT APPROVALS</w:t>
                  </w:r>
                </w:p>
              </w:tc>
            </w:tr>
          </w:tbl>
          <w:p w14:paraId="0799925E" w14:textId="77777777" w:rsidR="00567B68" w:rsidRPr="00211208" w:rsidRDefault="00567B68" w:rsidP="00567B68">
            <w:pPr>
              <w:spacing w:line="300" w:lineRule="auto"/>
              <w:rPr>
                <w:rStyle w:val="Strong"/>
                <w:rFonts w:ascii="Arial" w:hAnsi="Arial" w:cs="Arial"/>
                <w:color w:val="757575"/>
              </w:rPr>
            </w:pPr>
          </w:p>
        </w:tc>
      </w:tr>
      <w:tr w:rsidR="00567B68" w:rsidRPr="00211208" w14:paraId="616D2822" w14:textId="77777777" w:rsidTr="00164F42">
        <w:trPr>
          <w:jc w:val="center"/>
        </w:trPr>
        <w:tc>
          <w:tcPr>
            <w:tcW w:w="9000" w:type="dxa"/>
            <w:shd w:val="clear" w:color="auto" w:fill="FFFFFF"/>
          </w:tcPr>
          <w:p w14:paraId="33305D04" w14:textId="77777777" w:rsidR="00567B68" w:rsidRDefault="00567B68" w:rsidP="00567B68"/>
        </w:tc>
      </w:tr>
      <w:tr w:rsidR="00567B68" w:rsidRPr="00211208" w14:paraId="0D13FE2D" w14:textId="77777777" w:rsidTr="00164F42">
        <w:trPr>
          <w:jc w:val="center"/>
        </w:trPr>
        <w:tc>
          <w:tcPr>
            <w:tcW w:w="9000" w:type="dxa"/>
            <w:shd w:val="clear" w:color="auto" w:fill="FFFFFF"/>
          </w:tcPr>
          <w:p w14:paraId="33A99DB5" w14:textId="0EE1013A" w:rsidR="00567B68" w:rsidRPr="00E07D89" w:rsidRDefault="00064BFC" w:rsidP="009863A4">
            <w:pPr>
              <w:spacing w:line="300" w:lineRule="auto"/>
              <w:jc w:val="center"/>
              <w:rPr>
                <w:rStyle w:val="Hyperlink"/>
                <w:rFonts w:ascii="Arial" w:hAnsi="Arial" w:cs="Arial"/>
                <w:color w:val="009FDA"/>
              </w:rPr>
            </w:pPr>
            <w:hyperlink r:id="rId18" w:history="1">
              <w:r w:rsidR="00567B68" w:rsidRPr="00567B68">
                <w:rPr>
                  <w:rStyle w:val="Hyperlink"/>
                  <w:rFonts w:ascii="Arial" w:hAnsi="Arial" w:cs="Arial"/>
                  <w:color w:val="009FDA"/>
                </w:rPr>
                <w:t>Afghanistan Co</w:t>
              </w:r>
              <w:r w:rsidR="00567B68" w:rsidRPr="00567B68">
                <w:rPr>
                  <w:rStyle w:val="Hyperlink"/>
                  <w:rFonts w:ascii="Arial" w:hAnsi="Arial" w:cs="Arial"/>
                  <w:color w:val="009FDA"/>
                </w:rPr>
                <w:t>m</w:t>
              </w:r>
              <w:r w:rsidR="00567B68" w:rsidRPr="00567B68">
                <w:rPr>
                  <w:rStyle w:val="Hyperlink"/>
                  <w:rFonts w:ascii="Arial" w:hAnsi="Arial" w:cs="Arial"/>
                  <w:color w:val="009FDA"/>
                </w:rPr>
                <w:t>munity Resilience and Livelihoods Project (P178760)</w:t>
              </w:r>
            </w:hyperlink>
          </w:p>
        </w:tc>
      </w:tr>
      <w:tr w:rsidR="00567B68" w:rsidRPr="00211208" w14:paraId="5DA266AB" w14:textId="77777777" w:rsidTr="00164F42">
        <w:trPr>
          <w:jc w:val="center"/>
        </w:trPr>
        <w:tc>
          <w:tcPr>
            <w:tcW w:w="9000" w:type="dxa"/>
            <w:shd w:val="clear" w:color="auto" w:fill="FFFFFF"/>
          </w:tcPr>
          <w:p w14:paraId="0FC0EA9F" w14:textId="77777777" w:rsidR="00567B68" w:rsidRDefault="00567B68" w:rsidP="00567B68">
            <w:pPr>
              <w:spacing w:line="300" w:lineRule="auto"/>
              <w:jc w:val="both"/>
            </w:pPr>
            <w:r w:rsidRPr="00567B68">
              <w:rPr>
                <w:rFonts w:ascii="Arial" w:hAnsi="Arial" w:cs="Arial"/>
                <w:color w:val="757575"/>
              </w:rPr>
              <w:t xml:space="preserve">This </w:t>
            </w:r>
            <w:r>
              <w:rPr>
                <w:rFonts w:ascii="Arial" w:hAnsi="Arial" w:cs="Arial"/>
                <w:color w:val="757575"/>
              </w:rPr>
              <w:t xml:space="preserve">project was approved on April 29, 2022 for $265 million and will provide short-term employment and income to millions of Afghans while also improving access to basic services such as clean water and sanitation. Women and vulnerable groups such as internally displaced persons and persons with disabilities will be especially assisted. The project will also support community-level systems and institutions for long-term resilience, sustainability, and inclusive development. </w:t>
            </w:r>
            <w:r>
              <w:t xml:space="preserve"> </w:t>
            </w:r>
          </w:p>
          <w:p w14:paraId="530ABA85" w14:textId="2758ABBB" w:rsidR="00567B68" w:rsidRDefault="00567B68" w:rsidP="00567B68">
            <w:pPr>
              <w:spacing w:line="300" w:lineRule="auto"/>
              <w:jc w:val="both"/>
            </w:pPr>
          </w:p>
        </w:tc>
      </w:tr>
      <w:tr w:rsidR="00696F5B" w:rsidRPr="00211208" w14:paraId="04D28B5C" w14:textId="77777777" w:rsidTr="00164F42">
        <w:trPr>
          <w:jc w:val="center"/>
        </w:trPr>
        <w:tc>
          <w:tcPr>
            <w:tcW w:w="9000" w:type="dxa"/>
            <w:shd w:val="clear" w:color="auto" w:fill="FFFFFF"/>
          </w:tcPr>
          <w:p w14:paraId="26181461" w14:textId="7F2E96CD" w:rsidR="00696F5B" w:rsidRPr="00696F5B" w:rsidRDefault="00064BFC" w:rsidP="00696F5B">
            <w:pPr>
              <w:spacing w:line="300" w:lineRule="auto"/>
              <w:jc w:val="center"/>
              <w:rPr>
                <w:rStyle w:val="Hyperlink"/>
                <w:color w:val="009FDA"/>
              </w:rPr>
            </w:pPr>
            <w:hyperlink r:id="rId19" w:tgtFrame="_blank" w:history="1">
              <w:r w:rsidR="00696F5B" w:rsidRPr="00696F5B">
                <w:rPr>
                  <w:rStyle w:val="Hyperlink"/>
                  <w:rFonts w:ascii="Arial" w:hAnsi="Arial" w:cs="Arial"/>
                  <w:color w:val="009FDA"/>
                </w:rPr>
                <w:t>Indonesia: Mangr</w:t>
              </w:r>
              <w:r w:rsidR="00696F5B" w:rsidRPr="00696F5B">
                <w:rPr>
                  <w:rStyle w:val="Hyperlink"/>
                  <w:rFonts w:ascii="Arial" w:hAnsi="Arial" w:cs="Arial"/>
                  <w:color w:val="009FDA"/>
                </w:rPr>
                <w:t>o</w:t>
              </w:r>
              <w:r w:rsidR="00696F5B" w:rsidRPr="00696F5B">
                <w:rPr>
                  <w:rStyle w:val="Hyperlink"/>
                  <w:rFonts w:ascii="Arial" w:hAnsi="Arial" w:cs="Arial"/>
                  <w:color w:val="009FDA"/>
                </w:rPr>
                <w:t>ves for Coastal Resilience Project (P178009)</w:t>
              </w:r>
            </w:hyperlink>
          </w:p>
        </w:tc>
      </w:tr>
      <w:tr w:rsidR="00696F5B" w:rsidRPr="00211208" w14:paraId="19038606" w14:textId="77777777" w:rsidTr="00164F42">
        <w:trPr>
          <w:jc w:val="center"/>
        </w:trPr>
        <w:tc>
          <w:tcPr>
            <w:tcW w:w="9000" w:type="dxa"/>
            <w:shd w:val="clear" w:color="auto" w:fill="FFFFFF"/>
          </w:tcPr>
          <w:p w14:paraId="14032667" w14:textId="77777777" w:rsidR="00696F5B" w:rsidRDefault="00696F5B" w:rsidP="00567B68">
            <w:pPr>
              <w:spacing w:line="300" w:lineRule="auto"/>
              <w:jc w:val="both"/>
              <w:rPr>
                <w:rFonts w:ascii="Arial" w:hAnsi="Arial" w:cs="Arial"/>
                <w:color w:val="757575"/>
              </w:rPr>
            </w:pPr>
            <w:r w:rsidRPr="00696F5B">
              <w:rPr>
                <w:rFonts w:ascii="Arial" w:hAnsi="Arial" w:cs="Arial"/>
                <w:color w:val="757575"/>
              </w:rPr>
              <w:t>This project was approved on May 20, 2022 for $419 million and seeks to enhance the management of mangroves and livelihoods of local communities in selected areas.</w:t>
            </w:r>
          </w:p>
          <w:p w14:paraId="234B40D9" w14:textId="659B5B1C" w:rsidR="00696F5B" w:rsidRPr="00696F5B" w:rsidRDefault="00696F5B" w:rsidP="00567B68">
            <w:pPr>
              <w:spacing w:line="300" w:lineRule="auto"/>
              <w:jc w:val="both"/>
              <w:rPr>
                <w:rFonts w:ascii="Arial" w:hAnsi="Arial" w:cs="Arial"/>
                <w:color w:val="757575"/>
              </w:rPr>
            </w:pPr>
          </w:p>
        </w:tc>
      </w:tr>
      <w:tr w:rsidR="00567B68" w:rsidRPr="00211208" w14:paraId="7678B053" w14:textId="77777777" w:rsidTr="00164F42">
        <w:trPr>
          <w:jc w:val="center"/>
        </w:trPr>
        <w:tc>
          <w:tcPr>
            <w:tcW w:w="9000" w:type="dxa"/>
            <w:shd w:val="clear" w:color="auto" w:fill="FFFFFF"/>
          </w:tcPr>
          <w:tbl>
            <w:tblPr>
              <w:tblW w:w="5000" w:type="pct"/>
              <w:tblLayout w:type="fixed"/>
              <w:tblCellMar>
                <w:left w:w="0" w:type="dxa"/>
                <w:right w:w="0" w:type="dxa"/>
              </w:tblCellMar>
              <w:tblLook w:val="04A0" w:firstRow="1" w:lastRow="0" w:firstColumn="1" w:lastColumn="0" w:noHBand="0" w:noVBand="1"/>
            </w:tblPr>
            <w:tblGrid>
              <w:gridCol w:w="8424"/>
            </w:tblGrid>
            <w:tr w:rsidR="00567B68" w14:paraId="06F82FF0" w14:textId="77777777" w:rsidTr="00E07D89">
              <w:tc>
                <w:tcPr>
                  <w:tcW w:w="9000" w:type="dxa"/>
                  <w:tcMar>
                    <w:top w:w="30" w:type="dxa"/>
                    <w:left w:w="270" w:type="dxa"/>
                    <w:bottom w:w="30" w:type="dxa"/>
                    <w:right w:w="270" w:type="dxa"/>
                  </w:tcMar>
                  <w:vAlign w:val="center"/>
                  <w:hideMark/>
                </w:tcPr>
                <w:tbl>
                  <w:tblPr>
                    <w:tblW w:w="5000" w:type="pct"/>
                    <w:tblLayout w:type="fixed"/>
                    <w:tblCellMar>
                      <w:left w:w="0" w:type="dxa"/>
                      <w:right w:w="0" w:type="dxa"/>
                    </w:tblCellMar>
                    <w:tblLook w:val="04A0" w:firstRow="1" w:lastRow="0" w:firstColumn="1" w:lastColumn="0" w:noHBand="0" w:noVBand="1"/>
                  </w:tblPr>
                  <w:tblGrid>
                    <w:gridCol w:w="7884"/>
                  </w:tblGrid>
                  <w:tr w:rsidR="00567B68" w14:paraId="53688D93" w14:textId="77777777" w:rsidTr="00E07D89">
                    <w:tc>
                      <w:tcPr>
                        <w:tcW w:w="8460" w:type="dxa"/>
                        <w:tcBorders>
                          <w:top w:val="single" w:sz="12" w:space="0" w:color="EAEAEA"/>
                          <w:left w:val="nil"/>
                          <w:bottom w:val="nil"/>
                          <w:right w:val="nil"/>
                        </w:tcBorders>
                        <w:vAlign w:val="center"/>
                        <w:hideMark/>
                      </w:tcPr>
                      <w:p w14:paraId="235A1F1E" w14:textId="77777777" w:rsidR="00567B68" w:rsidRDefault="00567B68" w:rsidP="00567B68"/>
                    </w:tc>
                  </w:tr>
                </w:tbl>
                <w:p w14:paraId="6D0C2BC6" w14:textId="77777777" w:rsidR="00567B68" w:rsidRDefault="00567B68" w:rsidP="00567B68">
                  <w:pPr>
                    <w:rPr>
                      <w:rFonts w:ascii="Times New Roman" w:eastAsia="Times New Roman" w:hAnsi="Times New Roman" w:cs="Times New Roman"/>
                      <w:sz w:val="20"/>
                      <w:szCs w:val="20"/>
                    </w:rPr>
                  </w:pPr>
                </w:p>
              </w:tc>
            </w:tr>
            <w:tr w:rsidR="00567B68" w14:paraId="78C57E41" w14:textId="77777777" w:rsidTr="00E07D89">
              <w:tblPrEx>
                <w:jc w:val="center"/>
                <w:shd w:val="clear" w:color="auto" w:fill="FF8A4A"/>
              </w:tblPrEx>
              <w:trPr>
                <w:trHeight w:val="23"/>
                <w:jc w:val="center"/>
              </w:trPr>
              <w:tc>
                <w:tcPr>
                  <w:tcW w:w="9000" w:type="dxa"/>
                  <w:shd w:val="clear" w:color="auto" w:fill="002244"/>
                  <w:tcMar>
                    <w:top w:w="225" w:type="dxa"/>
                    <w:left w:w="225" w:type="dxa"/>
                    <w:bottom w:w="225" w:type="dxa"/>
                    <w:right w:w="225" w:type="dxa"/>
                  </w:tcMar>
                  <w:vAlign w:val="center"/>
                  <w:hideMark/>
                </w:tcPr>
                <w:p w14:paraId="7A53B7F7" w14:textId="77777777" w:rsidR="00567B68" w:rsidRDefault="00567B68" w:rsidP="00567B68">
                  <w:pPr>
                    <w:jc w:val="center"/>
                    <w:rPr>
                      <w:rFonts w:ascii="Arial" w:hAnsi="Arial" w:cs="Arial"/>
                      <w:sz w:val="36"/>
                      <w:szCs w:val="36"/>
                    </w:rPr>
                  </w:pPr>
                  <w:r>
                    <w:rPr>
                      <w:rFonts w:ascii="Arial" w:hAnsi="Arial" w:cs="Arial"/>
                      <w:b/>
                      <w:bCs/>
                      <w:color w:val="FFFFFF" w:themeColor="background1"/>
                      <w:sz w:val="36"/>
                      <w:szCs w:val="36"/>
                    </w:rPr>
                    <w:t>JOIN OUR COMMUNITY</w:t>
                  </w:r>
                </w:p>
              </w:tc>
            </w:tr>
          </w:tbl>
          <w:p w14:paraId="4B8989CF" w14:textId="77777777" w:rsidR="00567B68" w:rsidRPr="00211208" w:rsidRDefault="00567B68" w:rsidP="00567B68">
            <w:pPr>
              <w:spacing w:line="300" w:lineRule="auto"/>
              <w:rPr>
                <w:rStyle w:val="Strong"/>
                <w:rFonts w:ascii="Arial" w:hAnsi="Arial" w:cs="Arial"/>
                <w:color w:val="757575"/>
              </w:rPr>
            </w:pPr>
          </w:p>
        </w:tc>
      </w:tr>
      <w:tr w:rsidR="00567B68" w:rsidRPr="00211208" w14:paraId="263A90F2" w14:textId="77777777" w:rsidTr="00164F42">
        <w:trPr>
          <w:jc w:val="center"/>
        </w:trPr>
        <w:tc>
          <w:tcPr>
            <w:tcW w:w="9000" w:type="dxa"/>
            <w:shd w:val="clear" w:color="auto" w:fill="FFFFFF"/>
          </w:tcPr>
          <w:p w14:paraId="0F115019" w14:textId="77777777" w:rsidR="00567B68" w:rsidRDefault="00567B68" w:rsidP="00567B68"/>
        </w:tc>
      </w:tr>
      <w:tr w:rsidR="00567B68" w:rsidRPr="00211208" w14:paraId="146AA754" w14:textId="77777777" w:rsidTr="00164F42">
        <w:trPr>
          <w:jc w:val="center"/>
        </w:trPr>
        <w:tc>
          <w:tcPr>
            <w:tcW w:w="9000" w:type="dxa"/>
            <w:shd w:val="clear" w:color="auto" w:fill="FFFFFF"/>
          </w:tcPr>
          <w:p w14:paraId="2FD760CB" w14:textId="77777777" w:rsidR="00567B68" w:rsidRDefault="00567B68" w:rsidP="00567B68">
            <w:pPr>
              <w:spacing w:line="300" w:lineRule="auto"/>
              <w:jc w:val="both"/>
              <w:rPr>
                <w:rFonts w:ascii="Arial" w:hAnsi="Arial" w:cs="Arial"/>
                <w:color w:val="757575"/>
              </w:rPr>
            </w:pPr>
            <w:r w:rsidRPr="00382A6D">
              <w:rPr>
                <w:rFonts w:ascii="Arial" w:hAnsi="Arial" w:cs="Arial"/>
                <w:color w:val="757575"/>
              </w:rPr>
              <w:t xml:space="preserve">The Community-Driven Development CoP and GSG connects peers, thought leaders, and practitioners across governments, agencies, and academia, to share ideas and experiences on CDD approaches. This CoP/GSG is facilitated by the Global Programs Unit of the Social Sustainability and Inclusion Global Practice at the World Bank, with inputs from around the world.                                                                   </w:t>
            </w:r>
            <w:r w:rsidRPr="00382A6D">
              <w:rPr>
                <w:rFonts w:ascii="Arial" w:hAnsi="Arial" w:cs="Arial"/>
                <w:color w:val="757575"/>
              </w:rPr>
              <w:br/>
            </w:r>
            <w:r w:rsidRPr="00382A6D">
              <w:rPr>
                <w:rFonts w:ascii="Arial" w:hAnsi="Arial" w:cs="Arial"/>
                <w:color w:val="757575"/>
              </w:rPr>
              <w:br/>
              <w:t>To share papers, project news, interesting blogs, or upcoming events on CDD and other relevant themes with the CDD CoP, please email the </w:t>
            </w:r>
            <w:hyperlink r:id="rId20" w:tgtFrame="_blank" w:history="1">
              <w:r w:rsidRPr="00382A6D">
                <w:rPr>
                  <w:rFonts w:ascii="Arial" w:hAnsi="Arial" w:cs="Arial"/>
                  <w:color w:val="757575"/>
                </w:rPr>
                <w:t>CDD email</w:t>
              </w:r>
            </w:hyperlink>
            <w:r w:rsidRPr="00382A6D">
              <w:rPr>
                <w:rFonts w:ascii="Arial" w:hAnsi="Arial" w:cs="Arial"/>
                <w:color w:val="757575"/>
              </w:rPr>
              <w:t> and we'll incorporate these in the next "What's happening in CDD" newsletter.</w:t>
            </w:r>
          </w:p>
          <w:p w14:paraId="74A90D28" w14:textId="77777777" w:rsidR="00567B68" w:rsidRDefault="00567B68" w:rsidP="00567B68"/>
        </w:tc>
        <w:bookmarkStart w:id="0" w:name="_GoBack"/>
        <w:bookmarkEnd w:id="0"/>
      </w:tr>
      <w:tr w:rsidR="00567B68" w:rsidRPr="00211208" w14:paraId="124C056E" w14:textId="77777777" w:rsidTr="00164F42">
        <w:trPr>
          <w:jc w:val="center"/>
        </w:trPr>
        <w:tc>
          <w:tcPr>
            <w:tcW w:w="9000" w:type="dxa"/>
            <w:tcBorders>
              <w:bottom w:val="single" w:sz="18" w:space="0" w:color="E7E6E6" w:themeColor="background2"/>
            </w:tcBorders>
            <w:shd w:val="clear" w:color="auto" w:fill="FFFFFF"/>
          </w:tcPr>
          <w:p w14:paraId="5AA1F54A" w14:textId="77777777" w:rsidR="00567B68" w:rsidRDefault="00567B68" w:rsidP="00567B68"/>
        </w:tc>
      </w:tr>
      <w:tr w:rsidR="00567B68" w:rsidRPr="00211208" w14:paraId="0548B560" w14:textId="77777777" w:rsidTr="00164F42">
        <w:trPr>
          <w:jc w:val="center"/>
        </w:trPr>
        <w:tc>
          <w:tcPr>
            <w:tcW w:w="9000" w:type="dxa"/>
            <w:tcBorders>
              <w:top w:val="single" w:sz="18" w:space="0" w:color="E7E6E6" w:themeColor="background2"/>
            </w:tcBorders>
            <w:shd w:val="clear" w:color="auto" w:fill="FFFFFF"/>
          </w:tcPr>
          <w:p w14:paraId="097915DF" w14:textId="77777777" w:rsidR="00567B68" w:rsidRDefault="00567B68" w:rsidP="00567B68"/>
        </w:tc>
      </w:tr>
      <w:tr w:rsidR="00567B68" w:rsidRPr="00211208" w14:paraId="1D125BF0" w14:textId="77777777" w:rsidTr="00164F42">
        <w:trPr>
          <w:jc w:val="center"/>
        </w:trPr>
        <w:tc>
          <w:tcPr>
            <w:tcW w:w="9000" w:type="dxa"/>
            <w:shd w:val="clear" w:color="auto" w:fill="FFFFFF"/>
          </w:tcPr>
          <w:p w14:paraId="5162E18A" w14:textId="77777777" w:rsidR="00567B68" w:rsidRDefault="00567B68" w:rsidP="00567B68">
            <w:pPr>
              <w:jc w:val="center"/>
              <w:rPr>
                <w:rStyle w:val="Hyperlink"/>
                <w:rFonts w:ascii="Arial" w:hAnsi="Arial" w:cs="Arial"/>
                <w:color w:val="009FDA"/>
              </w:rPr>
            </w:pPr>
            <w:r w:rsidRPr="00CA23EE">
              <w:rPr>
                <w:rFonts w:ascii="Arial" w:hAnsi="Arial" w:cs="Arial"/>
                <w:color w:val="757575"/>
              </w:rPr>
              <w:t>To sign up for CDD CoP membership and receive our monthly newsletter, please </w:t>
            </w:r>
            <w:hyperlink r:id="rId21" w:history="1">
              <w:r w:rsidRPr="001653A9">
                <w:rPr>
                  <w:rStyle w:val="Hyperlink"/>
                  <w:rFonts w:ascii="Arial" w:hAnsi="Arial" w:cs="Arial"/>
                  <w:color w:val="009FDA"/>
                </w:rPr>
                <w:t>click here</w:t>
              </w:r>
            </w:hyperlink>
            <w:r w:rsidRPr="00CA23EE">
              <w:rPr>
                <w:rFonts w:ascii="Arial" w:hAnsi="Arial" w:cs="Arial"/>
                <w:color w:val="757575"/>
              </w:rPr>
              <w:br/>
            </w:r>
            <w:r w:rsidRPr="00CA23EE">
              <w:rPr>
                <w:rFonts w:ascii="Arial" w:hAnsi="Arial" w:cs="Arial"/>
                <w:color w:val="757575"/>
              </w:rPr>
              <w:br/>
              <w:t>Please visit and bookmark our sites!</w:t>
            </w:r>
            <w:r w:rsidRPr="00CA23EE">
              <w:rPr>
                <w:rFonts w:ascii="Arial" w:hAnsi="Arial" w:cs="Arial"/>
                <w:color w:val="757575"/>
              </w:rPr>
              <w:br/>
            </w:r>
            <w:r w:rsidRPr="00CA23EE">
              <w:rPr>
                <w:rFonts w:ascii="Arial" w:hAnsi="Arial" w:cs="Arial"/>
                <w:color w:val="757575"/>
              </w:rPr>
              <w:br/>
              <w:t>CDD Global Solutions Group (WB internal):</w:t>
            </w:r>
            <w:r w:rsidRPr="00CA23EE">
              <w:rPr>
                <w:rFonts w:ascii="Arial" w:hAnsi="Arial" w:cs="Arial"/>
                <w:color w:val="757575"/>
              </w:rPr>
              <w:br/>
            </w:r>
            <w:hyperlink r:id="rId22" w:history="1">
              <w:r w:rsidRPr="001653A9">
                <w:rPr>
                  <w:rStyle w:val="Hyperlink"/>
                  <w:rFonts w:ascii="Arial" w:hAnsi="Arial" w:cs="Arial"/>
                  <w:color w:val="009FDA"/>
                </w:rPr>
                <w:t>https://worldbankgroup.sharepoint.com/sites/gsg/CDD/Pages/Home.aspx</w:t>
              </w:r>
            </w:hyperlink>
            <w:r w:rsidRPr="00CA23EE">
              <w:rPr>
                <w:rFonts w:ascii="Arial" w:hAnsi="Arial" w:cs="Arial"/>
                <w:color w:val="757575"/>
              </w:rPr>
              <w:br/>
            </w:r>
            <w:r w:rsidRPr="00CA23EE">
              <w:rPr>
                <w:rFonts w:ascii="Arial" w:hAnsi="Arial" w:cs="Arial"/>
                <w:color w:val="757575"/>
              </w:rPr>
              <w:br/>
              <w:t>CDD Collaboration4Development (C4D) (external): </w:t>
            </w:r>
            <w:r w:rsidRPr="00CA23EE">
              <w:rPr>
                <w:rFonts w:ascii="Arial" w:hAnsi="Arial" w:cs="Arial"/>
                <w:color w:val="757575"/>
              </w:rPr>
              <w:br/>
            </w:r>
            <w:hyperlink r:id="rId23" w:history="1">
              <w:r w:rsidRPr="001653A9">
                <w:rPr>
                  <w:rStyle w:val="Hyperlink"/>
                  <w:rFonts w:ascii="Arial" w:hAnsi="Arial" w:cs="Arial"/>
                  <w:color w:val="009FDA"/>
                </w:rPr>
                <w:t>https://collaboration.worldbank.org/content/sites/collaboration-for-development/en/groups/community-driven-development-global-solutions-group.html</w:t>
              </w:r>
            </w:hyperlink>
          </w:p>
          <w:p w14:paraId="597357C7" w14:textId="77777777" w:rsidR="00567B68" w:rsidRDefault="00567B68" w:rsidP="00567B68">
            <w:pPr>
              <w:jc w:val="center"/>
            </w:pPr>
          </w:p>
          <w:p w14:paraId="38FB55AB" w14:textId="77777777" w:rsidR="00567B68" w:rsidRDefault="00567B68" w:rsidP="00567B68">
            <w:pPr>
              <w:jc w:val="center"/>
            </w:pPr>
          </w:p>
        </w:tc>
      </w:tr>
      <w:tr w:rsidR="00567B68" w:rsidRPr="00211208" w14:paraId="388F1867" w14:textId="77777777" w:rsidTr="00164F42">
        <w:trPr>
          <w:jc w:val="center"/>
        </w:trPr>
        <w:tc>
          <w:tcPr>
            <w:tcW w:w="9000" w:type="dxa"/>
            <w:tcBorders>
              <w:bottom w:val="single" w:sz="18" w:space="0" w:color="E7E6E6" w:themeColor="background2"/>
            </w:tcBorders>
            <w:shd w:val="clear" w:color="auto" w:fill="FFFFFF"/>
          </w:tcPr>
          <w:p w14:paraId="645DBF5B" w14:textId="77777777" w:rsidR="00567B68" w:rsidRDefault="00567B68" w:rsidP="00567B68"/>
          <w:p w14:paraId="7B82F699" w14:textId="77777777" w:rsidR="00567B68" w:rsidRDefault="00567B68" w:rsidP="00567B68">
            <w:pPr>
              <w:jc w:val="center"/>
              <w:rPr>
                <w:rStyle w:val="Hyperlink"/>
                <w:rFonts w:ascii="Arial" w:hAnsi="Arial" w:cs="Arial"/>
                <w:color w:val="009FDA"/>
                <w:sz w:val="24"/>
                <w:szCs w:val="24"/>
              </w:rPr>
            </w:pPr>
            <w:r w:rsidRPr="001653A9">
              <w:rPr>
                <w:rStyle w:val="Strong"/>
                <w:rFonts w:ascii="Arial" w:hAnsi="Arial" w:cs="Arial"/>
                <w:color w:val="002244"/>
                <w:sz w:val="24"/>
                <w:szCs w:val="24"/>
              </w:rPr>
              <w:t>GLOBAL PROGRAMS UNIT - SSIGL | THE WORLD BANK</w:t>
            </w:r>
            <w:r w:rsidRPr="001653A9">
              <w:rPr>
                <w:rFonts w:ascii="Arial" w:hAnsi="Arial" w:cs="Arial"/>
                <w:color w:val="002244"/>
                <w:sz w:val="24"/>
                <w:szCs w:val="24"/>
              </w:rPr>
              <w:br/>
              <w:t>Email: </w:t>
            </w:r>
            <w:hyperlink r:id="rId24" w:history="1">
              <w:r w:rsidRPr="001653A9">
                <w:rPr>
                  <w:rStyle w:val="Hyperlink"/>
                  <w:rFonts w:ascii="Arial" w:hAnsi="Arial" w:cs="Arial"/>
                  <w:color w:val="009FDA"/>
                  <w:sz w:val="24"/>
                  <w:szCs w:val="24"/>
                </w:rPr>
                <w:t>cddgsg@worldbank.org</w:t>
              </w:r>
            </w:hyperlink>
          </w:p>
          <w:p w14:paraId="6A3B450A" w14:textId="77777777" w:rsidR="00567B68" w:rsidRDefault="00567B68" w:rsidP="00567B68"/>
          <w:p w14:paraId="7ED47B67" w14:textId="77777777" w:rsidR="00567B68" w:rsidRDefault="00567B68" w:rsidP="00567B68"/>
        </w:tc>
      </w:tr>
    </w:tbl>
    <w:p w14:paraId="64A7F62A" w14:textId="77777777" w:rsidR="001E4EF8" w:rsidRDefault="001E4EF8"/>
    <w:sectPr w:rsidR="001E4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776"/>
    <w:multiLevelType w:val="hybridMultilevel"/>
    <w:tmpl w:val="4078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72058A"/>
    <w:multiLevelType w:val="hybridMultilevel"/>
    <w:tmpl w:val="4E80D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42"/>
    <w:rsid w:val="00064BFC"/>
    <w:rsid w:val="0008058D"/>
    <w:rsid w:val="000C4614"/>
    <w:rsid w:val="001162DB"/>
    <w:rsid w:val="001340A1"/>
    <w:rsid w:val="00164F42"/>
    <w:rsid w:val="001D590B"/>
    <w:rsid w:val="001D76B2"/>
    <w:rsid w:val="001E4EF8"/>
    <w:rsid w:val="002052EA"/>
    <w:rsid w:val="002057B2"/>
    <w:rsid w:val="00236B76"/>
    <w:rsid w:val="002431F0"/>
    <w:rsid w:val="00246D30"/>
    <w:rsid w:val="002F3922"/>
    <w:rsid w:val="003959AE"/>
    <w:rsid w:val="003D0960"/>
    <w:rsid w:val="00426378"/>
    <w:rsid w:val="004E09EB"/>
    <w:rsid w:val="004F2CB6"/>
    <w:rsid w:val="0051070D"/>
    <w:rsid w:val="00510A39"/>
    <w:rsid w:val="00566421"/>
    <w:rsid w:val="00567B68"/>
    <w:rsid w:val="00687D3A"/>
    <w:rsid w:val="00691FA3"/>
    <w:rsid w:val="00696F5B"/>
    <w:rsid w:val="006C7F90"/>
    <w:rsid w:val="006E436A"/>
    <w:rsid w:val="006E7679"/>
    <w:rsid w:val="00723150"/>
    <w:rsid w:val="007D5BD1"/>
    <w:rsid w:val="00805CB5"/>
    <w:rsid w:val="00830BF6"/>
    <w:rsid w:val="008847B8"/>
    <w:rsid w:val="008D6EA1"/>
    <w:rsid w:val="008D7193"/>
    <w:rsid w:val="009863A4"/>
    <w:rsid w:val="009A655D"/>
    <w:rsid w:val="00A35C16"/>
    <w:rsid w:val="00A8773A"/>
    <w:rsid w:val="00AB57A7"/>
    <w:rsid w:val="00AF5607"/>
    <w:rsid w:val="00B022F6"/>
    <w:rsid w:val="00B26423"/>
    <w:rsid w:val="00B309CB"/>
    <w:rsid w:val="00B725CD"/>
    <w:rsid w:val="00BB4468"/>
    <w:rsid w:val="00C13FC0"/>
    <w:rsid w:val="00C4703C"/>
    <w:rsid w:val="00C5508E"/>
    <w:rsid w:val="00C5752C"/>
    <w:rsid w:val="00C77B9B"/>
    <w:rsid w:val="00C87B2F"/>
    <w:rsid w:val="00CA60C4"/>
    <w:rsid w:val="00CC7F34"/>
    <w:rsid w:val="00D04378"/>
    <w:rsid w:val="00D11363"/>
    <w:rsid w:val="00DC6AB9"/>
    <w:rsid w:val="00E07D89"/>
    <w:rsid w:val="00E32E6E"/>
    <w:rsid w:val="00E6589F"/>
    <w:rsid w:val="00F357E6"/>
    <w:rsid w:val="00F97599"/>
    <w:rsid w:val="00FA41EE"/>
    <w:rsid w:val="00FA59B3"/>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476A"/>
  <w15:chartTrackingRefBased/>
  <w15:docId w15:val="{FF6873CF-6BCB-4EA3-9257-D039F73C1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F4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64F42"/>
    <w:rPr>
      <w:b/>
      <w:bCs/>
    </w:rPr>
  </w:style>
  <w:style w:type="paragraph" w:styleId="BalloonText">
    <w:name w:val="Balloon Text"/>
    <w:basedOn w:val="Normal"/>
    <w:link w:val="BalloonTextChar"/>
    <w:uiPriority w:val="99"/>
    <w:semiHidden/>
    <w:unhideWhenUsed/>
    <w:rsid w:val="00164F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42"/>
    <w:rPr>
      <w:rFonts w:ascii="Segoe UI" w:hAnsi="Segoe UI" w:cs="Segoe UI"/>
      <w:sz w:val="18"/>
      <w:szCs w:val="18"/>
    </w:rPr>
  </w:style>
  <w:style w:type="character" w:styleId="Hyperlink">
    <w:name w:val="Hyperlink"/>
    <w:basedOn w:val="DefaultParagraphFont"/>
    <w:uiPriority w:val="99"/>
    <w:unhideWhenUsed/>
    <w:rsid w:val="00164F42"/>
    <w:rPr>
      <w:color w:val="0000FF"/>
      <w:u w:val="single"/>
    </w:rPr>
  </w:style>
  <w:style w:type="character" w:styleId="FollowedHyperlink">
    <w:name w:val="FollowedHyperlink"/>
    <w:basedOn w:val="DefaultParagraphFont"/>
    <w:uiPriority w:val="99"/>
    <w:semiHidden/>
    <w:unhideWhenUsed/>
    <w:rsid w:val="002F3922"/>
    <w:rPr>
      <w:color w:val="954F72" w:themeColor="followedHyperlink"/>
      <w:u w:val="single"/>
    </w:rPr>
  </w:style>
  <w:style w:type="character" w:styleId="UnresolvedMention">
    <w:name w:val="Unresolved Mention"/>
    <w:basedOn w:val="DefaultParagraphFont"/>
    <w:uiPriority w:val="99"/>
    <w:semiHidden/>
    <w:unhideWhenUsed/>
    <w:rsid w:val="00723150"/>
    <w:rPr>
      <w:color w:val="605E5C"/>
      <w:shd w:val="clear" w:color="auto" w:fill="E1DFDD"/>
    </w:rPr>
  </w:style>
  <w:style w:type="character" w:styleId="CommentReference">
    <w:name w:val="annotation reference"/>
    <w:basedOn w:val="DefaultParagraphFont"/>
    <w:uiPriority w:val="99"/>
    <w:semiHidden/>
    <w:unhideWhenUsed/>
    <w:rsid w:val="0051070D"/>
    <w:rPr>
      <w:sz w:val="16"/>
      <w:szCs w:val="16"/>
    </w:rPr>
  </w:style>
  <w:style w:type="paragraph" w:styleId="CommentText">
    <w:name w:val="annotation text"/>
    <w:basedOn w:val="Normal"/>
    <w:link w:val="CommentTextChar"/>
    <w:uiPriority w:val="99"/>
    <w:semiHidden/>
    <w:unhideWhenUsed/>
    <w:rsid w:val="0051070D"/>
    <w:rPr>
      <w:sz w:val="20"/>
      <w:szCs w:val="20"/>
    </w:rPr>
  </w:style>
  <w:style w:type="character" w:customStyle="1" w:styleId="CommentTextChar">
    <w:name w:val="Comment Text Char"/>
    <w:basedOn w:val="DefaultParagraphFont"/>
    <w:link w:val="CommentText"/>
    <w:uiPriority w:val="99"/>
    <w:semiHidden/>
    <w:rsid w:val="0051070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1070D"/>
    <w:rPr>
      <w:b/>
      <w:bCs/>
    </w:rPr>
  </w:style>
  <w:style w:type="character" w:customStyle="1" w:styleId="CommentSubjectChar">
    <w:name w:val="Comment Subject Char"/>
    <w:basedOn w:val="CommentTextChar"/>
    <w:link w:val="CommentSubject"/>
    <w:uiPriority w:val="99"/>
    <w:semiHidden/>
    <w:rsid w:val="0051070D"/>
    <w:rPr>
      <w:rFonts w:ascii="Calibri" w:hAnsi="Calibri" w:cs="Calibri"/>
      <w:b/>
      <w:bCs/>
      <w:sz w:val="20"/>
      <w:szCs w:val="20"/>
    </w:rPr>
  </w:style>
  <w:style w:type="paragraph" w:styleId="ListParagraph">
    <w:name w:val="List Paragraph"/>
    <w:basedOn w:val="Normal"/>
    <w:uiPriority w:val="34"/>
    <w:qFormat/>
    <w:rsid w:val="001D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0905">
      <w:bodyDiv w:val="1"/>
      <w:marLeft w:val="0"/>
      <w:marRight w:val="0"/>
      <w:marTop w:val="0"/>
      <w:marBottom w:val="0"/>
      <w:divBdr>
        <w:top w:val="none" w:sz="0" w:space="0" w:color="auto"/>
        <w:left w:val="none" w:sz="0" w:space="0" w:color="auto"/>
        <w:bottom w:val="none" w:sz="0" w:space="0" w:color="auto"/>
        <w:right w:val="none" w:sz="0" w:space="0" w:color="auto"/>
      </w:divBdr>
    </w:div>
    <w:div w:id="82184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bank.org/en/topic/social-cohesion-and-resilience/brief/forced-displacement-social-cohesion" TargetMode="External"/><Relationship Id="rId13" Type="http://schemas.openxmlformats.org/officeDocument/2006/relationships/hyperlink" Target="https://mcas-proxyweb.mcas.ms/certificate-checker?login=false&amp;originalUrl=https%3A%2F%2Fblogs.worldbank.org.mcas.ms%2Fendpovertyinsouthasia%2Fpost-disaster-reconstruction-lessons-nepal-and-pakistan%3FMcasTsid%3D20893&amp;McasCSRF=2796c7958186fddff3ee732bc687ec622027ce5e460f95a2eb6c2cda5cfddc3a" TargetMode="External"/><Relationship Id="rId18" Type="http://schemas.openxmlformats.org/officeDocument/2006/relationships/hyperlink" Target="https://mcas-proxyweb.mcas.ms/certificate-checker?login=false&amp;originalUrl=https%3A%2F%2Foperationsportal.worldbank.org.mcas.ms%2Fsecure%2FP178760%2Fhome%3FMcasTsid%3D20893&amp;McasCSRF=2796c7958186fddff3ee732bc687ec622027ce5e460f95a2eb6c2cda5cfddc3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m03.safelinks.protection.outlook.com/?url=https%3A%2F%2Fworldbank.us18.list-manage.com%2Ftrack%2Fclick%3Fu%3D5294156307bdfea3787948234%26id%3D204c707bd9%26e%3Df1672ebc77&amp;data=02%7C01%7Caraina%40worldbank.org%7Ce0664b7395d04e49a7cf08d865af25d3%7C31a2fec0266b4c67b56e2796d8f59c36%7C0%7C0%7C637371150216614579&amp;sdata=rqK7a6l9xN3pkG4mDDUzC2PfXvfN%2F1UOxqlEbaOYg7M%3D&amp;reserved=0" TargetMode="External"/><Relationship Id="rId7" Type="http://schemas.openxmlformats.org/officeDocument/2006/relationships/hyperlink" Target="https://www.worldbank.org/en/topic/social-cohesion-and-resilience/brief/forced-displacement-social-cohesion" TargetMode="External"/><Relationship Id="rId12" Type="http://schemas.openxmlformats.org/officeDocument/2006/relationships/hyperlink" Target="https://mcas-proxyweb.mcas.ms/certificate-checker?login=false&amp;originalUrl=https%3A%2F%2Fdocuments.worldbank.org.mcas.ms%2Fen%2Fpublication%2Fdocuments-reports%2Fdocumentdetail%2F099224105052224937%2Fidu07f57dafb04f73041c908b2b05335b2a14ca6%3FMcasTsid%3D20893&amp;McasCSRF=2796c7958186fddff3ee732bc687ec622027ce5e460f95a2eb6c2cda5cfddc3a" TargetMode="External"/><Relationship Id="rId17" Type="http://schemas.openxmlformats.org/officeDocument/2006/relationships/hyperlink" Target="https://www.worldbank.org/en/programs/global-wildlife-program/initiativ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cas-proxyweb.mcas.ms/certificate-checker?login=false&amp;originalUrl=https%3A%2F%2Fwww.worldbank.org.mcas.ms%2Fen%2Fprograms%2Fglobal-wildlife-program%3FMcasTsid%3D20893&amp;McasCSRF=2796c7958186fddff3ee732bc687ec622027ce5e460f95a2eb6c2cda5cfddc3a" TargetMode="External"/><Relationship Id="rId20" Type="http://schemas.openxmlformats.org/officeDocument/2006/relationships/hyperlink" Target="mailto:cddgsg@worldbank.org" TargetMode="External"/><Relationship Id="rId1" Type="http://schemas.openxmlformats.org/officeDocument/2006/relationships/numbering" Target="numbering.xml"/><Relationship Id="rId6" Type="http://schemas.openxmlformats.org/officeDocument/2006/relationships/hyperlink" Target="https://www.worldbank.org/en/topic/social-cohesion-and-resilience/brief/forced-displacement-social-cohesion" TargetMode="External"/><Relationship Id="rId11" Type="http://schemas.openxmlformats.org/officeDocument/2006/relationships/hyperlink" Target="http://documents.worldbank.org/curated/en/311771643289939369/How-Do-Shared-Experiences-of-Economic-Shocks-Impact-Refugees-and-Host-Communities-Evidence-from-Afghan-Refugees-in-Iran" TargetMode="External"/><Relationship Id="rId24" Type="http://schemas.openxmlformats.org/officeDocument/2006/relationships/hyperlink" Target="mailto:cddgsg@worldbank.org" TargetMode="External"/><Relationship Id="rId5" Type="http://schemas.openxmlformats.org/officeDocument/2006/relationships/image" Target="media/image1.png"/><Relationship Id="rId15" Type="http://schemas.openxmlformats.org/officeDocument/2006/relationships/hyperlink" Target="https://mcas-proxyweb.mcas.ms/certificate-checker?login=false&amp;originalUrl=https%3A%2F%2Fwww.worldbank.org.mcas.ms%2Fen%2Fprograms%2Famazon-sustainable-landscapes-program%3FMcasTsid%3D20893&amp;McasCSRF=2796c7958186fddff3ee732bc687ec622027ce5e460f95a2eb6c2cda5cfddc3a" TargetMode="External"/><Relationship Id="rId23" Type="http://schemas.openxmlformats.org/officeDocument/2006/relationships/hyperlink" Target="https://nam03.safelinks.protection.outlook.com/?url=https%3A%2F%2Fworldbank.us18.list-manage.com%2Ftrack%2Fclick%3Fu%3D5294156307bdfea3787948234%26id%3D2fb0c53a0b%26e%3Df1672ebc77&amp;data=02%7C01%7Caraina%40worldbank.org%7Ce0664b7395d04e49a7cf08d865af25d3%7C31a2fec0266b4c67b56e2796d8f59c36%7C0%7C0%7C637371150216624571&amp;sdata=URD%2FIFoyGD%2FrInWnUEieDiJUp6gsSNDvjEYiRA0miwk%3D&amp;reserved=0" TargetMode="External"/><Relationship Id="rId10" Type="http://schemas.openxmlformats.org/officeDocument/2006/relationships/hyperlink" Target="https://documents.worldbank.org/en/publication/documents-reports/documentdetail/216361643247188116/long-term-effects-of-the-1923-mass-refugee-inflow-on-social-cohesion-in-greece" TargetMode="External"/><Relationship Id="rId19" Type="http://schemas.openxmlformats.org/officeDocument/2006/relationships/hyperlink" Target="https://mcas-proxyweb.mcas.ms/certificate-checker?login=false&amp;originalUrl=https%3A%2F%2Foperationsportal.worldbank.org.mcas.ms%2Fsecure%2FP178009%2Fhome%3FMcasTsid%3D20893&amp;McasCSRF=2796c7958186fddff3ee732bc687ec622027ce5e460f95a2eb6c2cda5cfddc3a" TargetMode="External"/><Relationship Id="rId4" Type="http://schemas.openxmlformats.org/officeDocument/2006/relationships/webSettings" Target="webSettings.xml"/><Relationship Id="rId9" Type="http://schemas.openxmlformats.org/officeDocument/2006/relationships/hyperlink" Target="https://documents.worldbank.org/en/publication/documents-reports/documentdetail/598681643291911822/social-cohesion-and-refugee-host-interactions-evidence-from-east-africa" TargetMode="External"/><Relationship Id="rId14" Type="http://schemas.openxmlformats.org/officeDocument/2006/relationships/hyperlink" Target="https://worldbankgroup.sharepoint.com.mcas.ms/sites/social/CESA/Documents/Forms/AllItems.aspx?id=%2Fsites%2Fsocial%2FCESA%2FDocuments%2FKnowledge%2FInclusive%20CE%2FTechnical%20Note%20Disability%20Inclusive%20CE%2Epdf&amp;parent=%2Fsites%2Fsocial%2FCESA%2FDocuments%2FKnowledge%2FInclusive%20CE&amp;p=true&amp;ga=1" TargetMode="External"/><Relationship Id="rId22" Type="http://schemas.openxmlformats.org/officeDocument/2006/relationships/hyperlink" Target="https://nam03.safelinks.protection.outlook.com/?url=https%3A%2F%2Fworldbank.us18.list-manage.com%2Ftrack%2Fclick%3Fu%3D5294156307bdfea3787948234%26id%3D2e676bad0b%26e%3Df1672ebc77&amp;data=02%7C01%7Caraina%40worldbank.org%7Ce0664b7395d04e49a7cf08d865af25d3%7C31a2fec0266b4c67b56e2796d8f59c36%7C0%7C0%7C637371150216614579&amp;sdata=5TTChYgQ21%2BnaPIFgMGiM3sxhTPo9EZYI3txm%2FDuMV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Linneman</dc:creator>
  <cp:keywords/>
  <dc:description/>
  <cp:lastModifiedBy>Camila Linneman</cp:lastModifiedBy>
  <cp:revision>3</cp:revision>
  <dcterms:created xsi:type="dcterms:W3CDTF">2022-05-25T15:42:00Z</dcterms:created>
  <dcterms:modified xsi:type="dcterms:W3CDTF">2022-05-25T15:44:00Z</dcterms:modified>
</cp:coreProperties>
</file>