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A1D3E" w14:textId="6286A1B0" w:rsidR="000C5498" w:rsidRPr="002E56F2" w:rsidRDefault="000C5498" w:rsidP="002E56F2">
      <w:pPr>
        <w:spacing w:after="0" w:line="240" w:lineRule="auto"/>
        <w:contextualSpacing/>
        <w:rPr>
          <w:rFonts w:ascii="Trebuchet MS" w:hAnsi="Trebuchet MS"/>
          <w:color w:val="808080" w:themeColor="background1" w:themeShade="80"/>
          <w:sz w:val="18"/>
          <w:szCs w:val="18"/>
        </w:rPr>
      </w:pPr>
      <w:r w:rsidRPr="002E56F2">
        <w:rPr>
          <w:rFonts w:ascii="Trebuchet MS" w:hAnsi="Trebuchet MS"/>
          <w:color w:val="808080" w:themeColor="background1" w:themeShade="80"/>
          <w:sz w:val="18"/>
          <w:szCs w:val="18"/>
        </w:rPr>
        <w:t>Guide pratique pour accroître l'approvisionnement local dans le secte</w:t>
      </w:r>
      <w:r w:rsidR="00575624">
        <w:rPr>
          <w:rFonts w:ascii="Trebuchet MS" w:hAnsi="Trebuchet MS"/>
          <w:color w:val="808080" w:themeColor="background1" w:themeShade="80"/>
          <w:sz w:val="18"/>
          <w:szCs w:val="18"/>
        </w:rPr>
        <w:t>ur minier en Afrique de l’Ouest</w:t>
      </w:r>
      <w:bookmarkStart w:id="0" w:name="_GoBack"/>
      <w:bookmarkEnd w:id="0"/>
    </w:p>
    <w:p w14:paraId="37C8E1F2" w14:textId="6EBEF723" w:rsidR="00916A8B" w:rsidRPr="002E56F2" w:rsidRDefault="000C5498" w:rsidP="002E56F2">
      <w:pPr>
        <w:spacing w:after="0" w:line="240" w:lineRule="auto"/>
        <w:contextualSpacing/>
        <w:rPr>
          <w:rFonts w:ascii="Trebuchet MS" w:hAnsi="Trebuchet MS"/>
          <w:caps/>
          <w:color w:val="808080" w:themeColor="background1" w:themeShade="80"/>
          <w:sz w:val="24"/>
          <w:szCs w:val="24"/>
        </w:rPr>
      </w:pPr>
      <w:r>
        <w:rPr>
          <w:rFonts w:ascii="Trebuchet MS" w:hAnsi="Trebuchet MS"/>
          <w:color w:val="808080" w:themeColor="background1" w:themeShade="80"/>
          <w:sz w:val="24"/>
        </w:rPr>
        <w:t>_______________________________________________________________________</w:t>
      </w:r>
    </w:p>
    <w:p w14:paraId="0F594FE9" w14:textId="77777777" w:rsidR="000C5498" w:rsidRPr="00AC79FB" w:rsidRDefault="000C5498" w:rsidP="000C5498">
      <w:pPr>
        <w:spacing w:before="240" w:after="100" w:afterAutospacing="1"/>
        <w:rPr>
          <w:rFonts w:ascii="Trebuchet MS" w:hAnsi="Trebuchet MS"/>
          <w:caps/>
          <w:color w:val="5B7987"/>
          <w:sz w:val="72"/>
        </w:rPr>
      </w:pPr>
      <w:r>
        <w:rPr>
          <w:rFonts w:ascii="Trebuchet MS" w:hAnsi="Trebuchet MS"/>
          <w:caps/>
          <w:color w:val="5B7987"/>
          <w:sz w:val="72"/>
        </w:rPr>
        <w:t>ANNEXE 11</w:t>
      </w:r>
    </w:p>
    <w:p w14:paraId="705B69EB" w14:textId="77777777" w:rsidR="00E7501A" w:rsidRPr="00AC79FB" w:rsidRDefault="000C5498" w:rsidP="000C5498">
      <w:pPr>
        <w:spacing w:before="100" w:beforeAutospacing="1" w:after="100" w:afterAutospacing="1"/>
        <w:rPr>
          <w:rFonts w:ascii="Trebuchet MS" w:hAnsi="Trebuchet MS"/>
          <w:color w:val="808080" w:themeColor="background1" w:themeShade="80"/>
          <w:sz w:val="72"/>
        </w:rPr>
      </w:pPr>
      <w:r>
        <w:rPr>
          <w:rFonts w:ascii="Trebuchet MS" w:hAnsi="Trebuchet MS"/>
          <w:color w:val="808080" w:themeColor="background1" w:themeShade="80"/>
          <w:sz w:val="72"/>
        </w:rPr>
        <w:t xml:space="preserve">Modèle de plan d’approvisionnement local </w:t>
      </w:r>
    </w:p>
    <w:tbl>
      <w:tblPr>
        <w:tblStyle w:val="TableGrid"/>
        <w:tblW w:w="0" w:type="auto"/>
        <w:tblLook w:val="04A0" w:firstRow="1" w:lastRow="0" w:firstColumn="1" w:lastColumn="0" w:noHBand="0" w:noVBand="1"/>
      </w:tblPr>
      <w:tblGrid>
        <w:gridCol w:w="9242"/>
      </w:tblGrid>
      <w:tr w:rsidR="000C5498" w14:paraId="2281F377" w14:textId="77777777" w:rsidTr="000C5498">
        <w:tc>
          <w:tcPr>
            <w:tcW w:w="9242" w:type="dxa"/>
            <w:tcBorders>
              <w:top w:val="single" w:sz="36" w:space="0" w:color="5B7987"/>
              <w:left w:val="single" w:sz="36" w:space="0" w:color="5B7987"/>
              <w:bottom w:val="single" w:sz="36" w:space="0" w:color="5B7987"/>
              <w:right w:val="single" w:sz="36" w:space="0" w:color="5B7987"/>
            </w:tcBorders>
          </w:tcPr>
          <w:p w14:paraId="7DFB5920" w14:textId="1BCCC047" w:rsidR="000C5498" w:rsidRPr="00916A8B" w:rsidRDefault="000C5498" w:rsidP="000C5498">
            <w:pPr>
              <w:pStyle w:val="NoSpacing"/>
              <w:rPr>
                <w:rFonts w:ascii="Trebuchet MS" w:eastAsiaTheme="minorHAnsi" w:hAnsi="Trebuchet MS" w:cs="Open Sans Light"/>
                <w:sz w:val="20"/>
                <w:szCs w:val="20"/>
              </w:rPr>
            </w:pPr>
            <w:r>
              <w:rPr>
                <w:rFonts w:ascii="Trebuchet MS" w:eastAsiaTheme="minorHAnsi" w:hAnsi="Trebuchet MS"/>
                <w:sz w:val="20"/>
              </w:rPr>
              <w:t>Cette annexe propose un modèle suggéré pour que les sociétés minières / industries minières développent un plan d'approvisionnement local adaptable en fonction des conditions ou des exigences particulières.</w:t>
            </w:r>
            <w:r w:rsidR="00CF31EC">
              <w:rPr>
                <w:rFonts w:ascii="Trebuchet MS" w:eastAsiaTheme="minorHAnsi" w:hAnsi="Trebuchet MS"/>
                <w:sz w:val="20"/>
              </w:rPr>
              <w:t xml:space="preserve"> </w:t>
            </w:r>
            <w:r>
              <w:rPr>
                <w:rFonts w:ascii="Trebuchet MS" w:eastAsiaTheme="minorHAnsi" w:hAnsi="Trebuchet MS"/>
                <w:sz w:val="20"/>
              </w:rPr>
              <w:t>Il diffère légèrement de la vue d'ensemble présentée au module 6,</w:t>
            </w:r>
            <w:r w:rsidR="00CF31EC">
              <w:rPr>
                <w:rFonts w:ascii="Trebuchet MS" w:eastAsiaTheme="minorHAnsi" w:hAnsi="Trebuchet MS"/>
                <w:sz w:val="20"/>
              </w:rPr>
              <w:t xml:space="preserve"> </w:t>
            </w:r>
            <w:r>
              <w:rPr>
                <w:rFonts w:ascii="Trebuchet MS" w:eastAsiaTheme="minorHAnsi" w:hAnsi="Trebuchet MS"/>
                <w:sz w:val="20"/>
              </w:rPr>
              <w:t>car il prend en compte les résultats de l'atelier régional de Juin 2014 à Abidjan.</w:t>
            </w:r>
          </w:p>
          <w:p w14:paraId="2E970B19" w14:textId="77777777" w:rsidR="000C5498" w:rsidRPr="00916A8B" w:rsidRDefault="000C5498" w:rsidP="000C5498">
            <w:pPr>
              <w:pStyle w:val="NoSpacing"/>
              <w:rPr>
                <w:rFonts w:ascii="Trebuchet MS" w:eastAsiaTheme="minorHAnsi" w:hAnsi="Trebuchet MS" w:cs="Open Sans Light"/>
                <w:sz w:val="20"/>
                <w:szCs w:val="20"/>
              </w:rPr>
            </w:pPr>
          </w:p>
          <w:p w14:paraId="73919C44" w14:textId="53D86A96" w:rsidR="000C5498" w:rsidRPr="00916A8B" w:rsidRDefault="000C5498" w:rsidP="000C5498">
            <w:pPr>
              <w:pStyle w:val="NoSpacing"/>
              <w:rPr>
                <w:rFonts w:ascii="Trebuchet MS" w:eastAsiaTheme="minorHAnsi" w:hAnsi="Trebuchet MS" w:cs="Open Sans Light"/>
                <w:sz w:val="20"/>
                <w:szCs w:val="20"/>
              </w:rPr>
            </w:pPr>
            <w:r>
              <w:rPr>
                <w:rFonts w:ascii="Trebuchet MS" w:eastAsiaTheme="minorHAnsi" w:hAnsi="Trebuchet MS"/>
                <w:sz w:val="20"/>
              </w:rPr>
              <w:t>Comme mentionné dans le guide</w:t>
            </w:r>
            <w:r w:rsidR="00CF31EC">
              <w:rPr>
                <w:rFonts w:ascii="Trebuchet MS" w:eastAsiaTheme="minorHAnsi" w:hAnsi="Trebuchet MS"/>
                <w:sz w:val="20"/>
              </w:rPr>
              <w:t>,</w:t>
            </w:r>
            <w:r>
              <w:rPr>
                <w:rFonts w:ascii="Trebuchet MS" w:eastAsiaTheme="minorHAnsi" w:hAnsi="Trebuchet MS"/>
                <w:sz w:val="20"/>
              </w:rPr>
              <w:t xml:space="preserve"> un plan d'approvisionnement local peut se mettre en place à différents niveaux, notamment au niveau de la mine, du bureau national de la société minière et des produits de bases ou au niveau national par ex. par le biais d'une Chambre des mines.</w:t>
            </w:r>
            <w:r w:rsidR="00CF31EC">
              <w:rPr>
                <w:rFonts w:ascii="Trebuchet MS" w:eastAsiaTheme="minorHAnsi" w:hAnsi="Trebuchet MS"/>
                <w:sz w:val="20"/>
              </w:rPr>
              <w:t xml:space="preserve"> </w:t>
            </w:r>
            <w:r>
              <w:rPr>
                <w:rFonts w:ascii="Trebuchet MS" w:eastAsiaTheme="minorHAnsi" w:hAnsi="Trebuchet MS"/>
                <w:sz w:val="20"/>
              </w:rPr>
              <w:t>Un plan d'approvisionnement local clair est un outil qui permet aux sociétés et industries minières d'identifier des cibles, fixer des objectifs, identifier des opportunités et soutiens nécessaires, et planifier et organiser les efforts pour aider à accroitre l'approvisionnement local</w:t>
            </w:r>
            <w:r w:rsidR="00AA5796">
              <w:rPr>
                <w:rFonts w:ascii="Trebuchet MS" w:eastAsiaTheme="minorHAnsi" w:hAnsi="Trebuchet MS"/>
                <w:sz w:val="20"/>
              </w:rPr>
              <w:t>.</w:t>
            </w:r>
            <w:r>
              <w:rPr>
                <w:rFonts w:ascii="Trebuchet MS" w:eastAsiaTheme="minorHAnsi" w:hAnsi="Trebuchet MS"/>
                <w:sz w:val="20"/>
              </w:rPr>
              <w:t xml:space="preserve"> Le recours à une approche commune aux différentes sociétés minières pour développer un plan d’approvisionnement local permettra non seulement d’encourager la collaboration entre les sociétés minières, mais fournira également aux pouvoirs publics et aux autres parties prenantes un outil pour soutenir la collaboration sur les efforts de soutien ainsi que </w:t>
            </w:r>
            <w:r w:rsidR="00AA5796">
              <w:rPr>
                <w:rFonts w:ascii="Trebuchet MS" w:eastAsiaTheme="minorHAnsi" w:hAnsi="Trebuchet MS"/>
                <w:sz w:val="20"/>
              </w:rPr>
              <w:t>pour contrôler et</w:t>
            </w:r>
            <w:r>
              <w:rPr>
                <w:rFonts w:ascii="Trebuchet MS" w:eastAsiaTheme="minorHAnsi" w:hAnsi="Trebuchet MS"/>
                <w:sz w:val="20"/>
              </w:rPr>
              <w:t xml:space="preserve"> suivre les progrès réalisés.</w:t>
            </w:r>
            <w:r w:rsidR="00CF31EC">
              <w:rPr>
                <w:rFonts w:ascii="Trebuchet MS" w:eastAsiaTheme="minorHAnsi" w:hAnsi="Trebuchet MS"/>
                <w:sz w:val="20"/>
              </w:rPr>
              <w:t xml:space="preserve"> </w:t>
            </w:r>
            <w:r>
              <w:rPr>
                <w:rFonts w:ascii="Trebuchet MS" w:eastAsiaTheme="minorHAnsi" w:hAnsi="Trebuchet MS"/>
                <w:sz w:val="20"/>
              </w:rPr>
              <w:t>La collaboration peut également être très bénéfique sur certains aspects du plan comme par exemple l'identification des opportunités, le</w:t>
            </w:r>
            <w:r w:rsidR="00CF31EC">
              <w:rPr>
                <w:rFonts w:ascii="Trebuchet MS" w:eastAsiaTheme="minorHAnsi" w:hAnsi="Trebuchet MS"/>
                <w:sz w:val="20"/>
              </w:rPr>
              <w:t xml:space="preserve"> </w:t>
            </w:r>
            <w:r>
              <w:rPr>
                <w:rFonts w:ascii="Trebuchet MS" w:eastAsiaTheme="minorHAnsi" w:hAnsi="Trebuchet MS"/>
                <w:sz w:val="20"/>
              </w:rPr>
              <w:t>développement des fournisseurs.</w:t>
            </w:r>
          </w:p>
          <w:p w14:paraId="3424C2E8" w14:textId="77777777" w:rsidR="000C5498" w:rsidRPr="00916A8B" w:rsidRDefault="000C5498" w:rsidP="000C5498">
            <w:pPr>
              <w:pStyle w:val="NoSpacing"/>
              <w:rPr>
                <w:rFonts w:ascii="Trebuchet MS" w:eastAsiaTheme="minorHAnsi" w:hAnsi="Trebuchet MS" w:cs="Open Sans Light"/>
                <w:sz w:val="20"/>
                <w:szCs w:val="20"/>
              </w:rPr>
            </w:pPr>
          </w:p>
          <w:p w14:paraId="01560ED5" w14:textId="51C8A17D" w:rsidR="000C5498" w:rsidRPr="00916A8B" w:rsidRDefault="000C5498" w:rsidP="000C5498">
            <w:pPr>
              <w:pStyle w:val="NoSpacing"/>
              <w:rPr>
                <w:rFonts w:ascii="Trebuchet MS" w:eastAsiaTheme="minorHAnsi" w:hAnsi="Trebuchet MS" w:cs="Open Sans Light"/>
                <w:sz w:val="20"/>
                <w:szCs w:val="20"/>
              </w:rPr>
            </w:pPr>
            <w:r>
              <w:rPr>
                <w:rFonts w:ascii="Trebuchet MS" w:eastAsiaTheme="minorHAnsi" w:hAnsi="Trebuchet MS"/>
                <w:sz w:val="20"/>
              </w:rPr>
              <w:t>L'</w:t>
            </w:r>
            <w:r w:rsidR="00AA5796">
              <w:rPr>
                <w:rFonts w:ascii="Trebuchet MS" w:eastAsiaTheme="minorHAnsi" w:hAnsi="Trebuchet MS"/>
                <w:sz w:val="20"/>
              </w:rPr>
              <w:t>expérience montre que, dans l’idéal</w:t>
            </w:r>
            <w:r>
              <w:rPr>
                <w:rFonts w:ascii="Trebuchet MS" w:eastAsiaTheme="minorHAnsi" w:hAnsi="Trebuchet MS"/>
                <w:sz w:val="20"/>
              </w:rPr>
              <w:t>, l'élaboration de plans d'approvisionnement local est du ressort des services d'approvisionnement des sociétés minières.</w:t>
            </w:r>
            <w:r w:rsidR="00CF31EC">
              <w:rPr>
                <w:rFonts w:ascii="Trebuchet MS" w:eastAsiaTheme="minorHAnsi" w:hAnsi="Trebuchet MS"/>
                <w:sz w:val="20"/>
              </w:rPr>
              <w:t xml:space="preserve"> </w:t>
            </w:r>
            <w:r>
              <w:rPr>
                <w:rFonts w:ascii="Trebuchet MS" w:eastAsiaTheme="minorHAnsi" w:hAnsi="Trebuchet MS"/>
                <w:sz w:val="20"/>
              </w:rPr>
              <w:t>Pour un alignement interne, il est important d'engager des consultations avec les membres de la direction, les services des utilisateurs finaux, services des finances, équipes de projets d'investissement, les relations gouvernementales et la responsabilité sociale, et les services de mise en conformité SSE.</w:t>
            </w:r>
            <w:r w:rsidR="00AA5796">
              <w:rPr>
                <w:rFonts w:ascii="Trebuchet MS" w:eastAsiaTheme="minorHAnsi" w:hAnsi="Trebuchet MS"/>
                <w:sz w:val="20"/>
              </w:rPr>
              <w:t xml:space="preserve"> </w:t>
            </w:r>
            <w:r>
              <w:rPr>
                <w:rFonts w:ascii="Trebuchet MS" w:eastAsiaTheme="minorHAnsi" w:hAnsi="Trebuchet MS"/>
                <w:sz w:val="20"/>
              </w:rPr>
              <w:t>Les suggestions des parties prenantes extérieures (en particulier des organismes de réglementation, entrepreneurs principaux, autres fournisseurs, parte</w:t>
            </w:r>
            <w:r w:rsidR="00BA5079">
              <w:rPr>
                <w:rFonts w:ascii="Trebuchet MS" w:eastAsiaTheme="minorHAnsi" w:hAnsi="Trebuchet MS"/>
                <w:sz w:val="20"/>
              </w:rPr>
              <w:t>naires potentiels de prestation</w:t>
            </w:r>
            <w:r>
              <w:rPr>
                <w:rFonts w:ascii="Trebuchet MS" w:eastAsiaTheme="minorHAnsi" w:hAnsi="Trebuchet MS"/>
                <w:sz w:val="20"/>
              </w:rPr>
              <w:t xml:space="preserve"> tels que les associations professionnelles et réseaux locaux, des fournisseurs de services en développement des entreprises, des donateurs et institutions multilatérales, des institutions financières, des fournisseurs d'assistance technique) permettront également de veiller à ce que le plan prenne en comptes les priorités importantes/ obligations en matière de déclaration et les capacités nécessaires.</w:t>
            </w:r>
          </w:p>
          <w:p w14:paraId="5D83BEF8" w14:textId="77777777" w:rsidR="000C5498" w:rsidRPr="00916A8B" w:rsidRDefault="000C5498" w:rsidP="000C5498">
            <w:pPr>
              <w:pStyle w:val="NoSpacing"/>
              <w:rPr>
                <w:rFonts w:ascii="Trebuchet MS" w:eastAsiaTheme="minorHAnsi" w:hAnsi="Trebuchet MS" w:cs="Open Sans Light"/>
                <w:sz w:val="20"/>
                <w:szCs w:val="20"/>
              </w:rPr>
            </w:pPr>
          </w:p>
          <w:p w14:paraId="5C4A1E86" w14:textId="69D20C28" w:rsidR="000C5498" w:rsidRPr="00AC79FB" w:rsidRDefault="004879BD" w:rsidP="00AC79FB">
            <w:pPr>
              <w:pStyle w:val="NoSpacing"/>
              <w:rPr>
                <w:rFonts w:ascii="Trebuchet MS" w:hAnsi="Trebuchet MS" w:cs="Open Sans Light"/>
                <w:b/>
              </w:rPr>
            </w:pPr>
            <w:r>
              <w:rPr>
                <w:rFonts w:ascii="Trebuchet MS" w:eastAsiaTheme="minorHAnsi" w:hAnsi="Trebuchet MS"/>
                <w:sz w:val="20"/>
              </w:rPr>
              <w:t>Ce modèle fournit des titre</w:t>
            </w:r>
            <w:r w:rsidR="00BA5079">
              <w:rPr>
                <w:rFonts w:ascii="Trebuchet MS" w:eastAsiaTheme="minorHAnsi" w:hAnsi="Trebuchet MS"/>
                <w:sz w:val="20"/>
              </w:rPr>
              <w:t>s</w:t>
            </w:r>
            <w:r>
              <w:rPr>
                <w:rFonts w:ascii="Trebuchet MS" w:eastAsiaTheme="minorHAnsi" w:hAnsi="Trebuchet MS"/>
                <w:sz w:val="20"/>
              </w:rPr>
              <w:t xml:space="preserve"> de sections ainsi que le contenu possible couvert par chaque section.</w:t>
            </w:r>
            <w:r w:rsidR="00CF31EC">
              <w:rPr>
                <w:rFonts w:ascii="Trebuchet MS" w:eastAsiaTheme="minorHAnsi" w:hAnsi="Trebuchet MS"/>
                <w:sz w:val="20"/>
              </w:rPr>
              <w:t xml:space="preserve"> </w:t>
            </w:r>
            <w:r>
              <w:rPr>
                <w:rFonts w:ascii="Trebuchet MS" w:eastAsiaTheme="minorHAnsi" w:hAnsi="Trebuchet MS"/>
                <w:sz w:val="20"/>
              </w:rPr>
              <w:t>Il propose également des éléments qui peuvent façonner le développement du contenu.</w:t>
            </w:r>
            <w:r w:rsidR="00CF31EC">
              <w:rPr>
                <w:rFonts w:ascii="Trebuchet MS" w:eastAsiaTheme="minorHAnsi" w:hAnsi="Trebuchet MS"/>
                <w:sz w:val="20"/>
              </w:rPr>
              <w:t xml:space="preserve"> </w:t>
            </w:r>
            <w:r>
              <w:rPr>
                <w:rFonts w:ascii="Trebuchet MS" w:eastAsiaTheme="minorHAnsi" w:hAnsi="Trebuchet MS"/>
                <w:sz w:val="20"/>
              </w:rPr>
              <w:t>Il est conçu pour couvrir toutes les questions à traiter pour des besoins internes ; un examen plus approfondi devra être mené pour déterminer ce qui dev</w:t>
            </w:r>
            <w:r w:rsidR="00BA5079">
              <w:rPr>
                <w:rFonts w:ascii="Trebuchet MS" w:eastAsiaTheme="minorHAnsi" w:hAnsi="Trebuchet MS"/>
                <w:sz w:val="20"/>
              </w:rPr>
              <w:t>ra être communiqué à l'extérieur</w:t>
            </w:r>
            <w:r>
              <w:rPr>
                <w:rFonts w:ascii="Trebuchet MS" w:eastAsiaTheme="minorHAnsi" w:hAnsi="Trebuchet MS"/>
                <w:sz w:val="20"/>
              </w:rPr>
              <w:t>, par exemple à l'organisme de régulation, aux fournisseurs actuels et potentiels, à la société civile et aux communautés (il est recommandé de faire ces déclarations extérieures sur ​​une base annuelle et de les aligner sur les autres cycles de déclaration ; au niveau interne, un suivi mensuel est susceptible de permettre une plus grande intégration dans les mesures et processus commerciaux).</w:t>
            </w:r>
            <w:r>
              <w:rPr>
                <w:rFonts w:ascii="Trebuchet MS" w:eastAsiaTheme="minorHAnsi" w:hAnsi="Trebuchet MS"/>
                <w:b/>
                <w:sz w:val="20"/>
              </w:rPr>
              <w:t xml:space="preserve"> </w:t>
            </w:r>
          </w:p>
        </w:tc>
      </w:tr>
    </w:tbl>
    <w:p w14:paraId="780A0199" w14:textId="77777777" w:rsidR="00B84AD8" w:rsidRDefault="00B84AD8" w:rsidP="000C5498">
      <w:pPr>
        <w:rPr>
          <w:rFonts w:ascii="Trebuchet MS" w:hAnsi="Trebuchet MS" w:cs="TimesNewRomanPS"/>
          <w:b/>
          <w:color w:val="5B7987"/>
        </w:rPr>
        <w:sectPr w:rsidR="00B84AD8">
          <w:footerReference w:type="even" r:id="rId9"/>
          <w:footerReference w:type="default" r:id="rId10"/>
          <w:footerReference w:type="first" r:id="rId11"/>
          <w:pgSz w:w="11906" w:h="16838"/>
          <w:pgMar w:top="1440" w:right="1440" w:bottom="1440" w:left="1440" w:header="708" w:footer="708" w:gutter="0"/>
          <w:cols w:space="708"/>
          <w:docGrid w:linePitch="360"/>
        </w:sectPr>
      </w:pPr>
    </w:p>
    <w:p w14:paraId="6E65EE93" w14:textId="5C4FAF6E" w:rsidR="00797CF7" w:rsidRDefault="00797CF7" w:rsidP="000C5498">
      <w:pPr>
        <w:rPr>
          <w:rFonts w:ascii="Trebuchet MS" w:hAnsi="Trebuchet MS" w:cs="TimesNewRomanPS"/>
          <w:b/>
          <w:color w:val="5B7987"/>
        </w:rPr>
      </w:pPr>
    </w:p>
    <w:p w14:paraId="577E6F24" w14:textId="77777777" w:rsidR="008553D6" w:rsidRPr="00797CF7" w:rsidRDefault="008553D6" w:rsidP="00C01620">
      <w:pPr>
        <w:autoSpaceDE w:val="0"/>
        <w:autoSpaceDN w:val="0"/>
        <w:adjustRightInd w:val="0"/>
        <w:spacing w:after="0" w:line="240" w:lineRule="auto"/>
        <w:jc w:val="center"/>
        <w:rPr>
          <w:rFonts w:ascii="Trebuchet MS" w:hAnsi="Trebuchet MS" w:cs="TimesNewRomanPS"/>
          <w:b/>
          <w:color w:val="5B7987"/>
          <w:sz w:val="36"/>
        </w:rPr>
      </w:pPr>
      <w:r>
        <w:rPr>
          <w:rFonts w:ascii="Trebuchet MS" w:hAnsi="Trebuchet MS"/>
          <w:b/>
          <w:color w:val="5B7987"/>
          <w:sz w:val="36"/>
        </w:rPr>
        <w:t>Table des matières</w:t>
      </w:r>
    </w:p>
    <w:p w14:paraId="287AAE18" w14:textId="77777777" w:rsidR="008553D6" w:rsidRPr="00854CDE" w:rsidRDefault="008553D6" w:rsidP="00C01620">
      <w:pPr>
        <w:autoSpaceDE w:val="0"/>
        <w:autoSpaceDN w:val="0"/>
        <w:adjustRightInd w:val="0"/>
        <w:spacing w:after="0" w:line="240" w:lineRule="auto"/>
        <w:jc w:val="center"/>
        <w:rPr>
          <w:rFonts w:ascii="Trebuchet MS" w:hAnsi="Trebuchet MS" w:cs="TimesNewRomanPS"/>
          <w:b/>
          <w:color w:val="5B7987"/>
        </w:rPr>
      </w:pPr>
    </w:p>
    <w:p w14:paraId="0575856C" w14:textId="77777777" w:rsidR="008553D6" w:rsidRPr="00854CDE" w:rsidRDefault="008553D6" w:rsidP="00C01620">
      <w:pPr>
        <w:autoSpaceDE w:val="0"/>
        <w:autoSpaceDN w:val="0"/>
        <w:adjustRightInd w:val="0"/>
        <w:spacing w:after="0" w:line="240" w:lineRule="auto"/>
        <w:rPr>
          <w:rFonts w:ascii="Trebuchet MS" w:hAnsi="Trebuchet MS" w:cs="TimesNewRomanPS"/>
          <w:color w:val="5B7987"/>
        </w:rPr>
      </w:pPr>
    </w:p>
    <w:p w14:paraId="62F71D2E" w14:textId="77777777" w:rsidR="00BA5079" w:rsidRDefault="008553D6">
      <w:pPr>
        <w:pStyle w:val="TOC1"/>
        <w:tabs>
          <w:tab w:val="right" w:leader="dot" w:pos="9016"/>
        </w:tabs>
        <w:rPr>
          <w:rFonts w:asciiTheme="minorHAnsi" w:eastAsiaTheme="minorEastAsia" w:hAnsiTheme="minorHAnsi"/>
          <w:noProof/>
          <w:lang w:bidi="ar-SA"/>
        </w:rPr>
      </w:pPr>
      <w:r w:rsidRPr="00DC17A0">
        <w:rPr>
          <w:rFonts w:cs="TimesNewRomanPS"/>
        </w:rPr>
        <w:fldChar w:fldCharType="begin"/>
      </w:r>
      <w:r w:rsidRPr="00DC17A0">
        <w:rPr>
          <w:rFonts w:cs="TimesNewRomanPS"/>
        </w:rPr>
        <w:instrText xml:space="preserve"> TOC \o "1-2" \u </w:instrText>
      </w:r>
      <w:r w:rsidRPr="00DC17A0">
        <w:rPr>
          <w:rFonts w:cs="TimesNewRomanPS"/>
        </w:rPr>
        <w:fldChar w:fldCharType="separate"/>
      </w:r>
      <w:r w:rsidR="00BA5079">
        <w:rPr>
          <w:noProof/>
        </w:rPr>
        <w:t>Résumé</w:t>
      </w:r>
      <w:r w:rsidR="00BA5079">
        <w:rPr>
          <w:noProof/>
        </w:rPr>
        <w:tab/>
      </w:r>
      <w:r w:rsidR="00BA5079">
        <w:rPr>
          <w:noProof/>
        </w:rPr>
        <w:fldChar w:fldCharType="begin"/>
      </w:r>
      <w:r w:rsidR="00BA5079">
        <w:rPr>
          <w:noProof/>
        </w:rPr>
        <w:instrText xml:space="preserve"> PAGEREF _Toc394344739 \h </w:instrText>
      </w:r>
      <w:r w:rsidR="00BA5079">
        <w:rPr>
          <w:noProof/>
        </w:rPr>
      </w:r>
      <w:r w:rsidR="00BA5079">
        <w:rPr>
          <w:noProof/>
        </w:rPr>
        <w:fldChar w:fldCharType="separate"/>
      </w:r>
      <w:r w:rsidR="00575624">
        <w:rPr>
          <w:noProof/>
        </w:rPr>
        <w:t>1</w:t>
      </w:r>
      <w:r w:rsidR="00BA5079">
        <w:rPr>
          <w:noProof/>
        </w:rPr>
        <w:fldChar w:fldCharType="end"/>
      </w:r>
    </w:p>
    <w:p w14:paraId="3D276080" w14:textId="77777777" w:rsidR="00BA5079" w:rsidRDefault="00BA5079">
      <w:pPr>
        <w:pStyle w:val="TOC1"/>
        <w:tabs>
          <w:tab w:val="left" w:pos="440"/>
          <w:tab w:val="right" w:leader="dot" w:pos="9016"/>
        </w:tabs>
        <w:rPr>
          <w:rFonts w:asciiTheme="minorHAnsi" w:eastAsiaTheme="minorEastAsia" w:hAnsiTheme="minorHAnsi"/>
          <w:noProof/>
          <w:lang w:bidi="ar-SA"/>
        </w:rPr>
      </w:pPr>
      <w:r>
        <w:rPr>
          <w:noProof/>
        </w:rPr>
        <w:t>1.</w:t>
      </w:r>
      <w:r>
        <w:rPr>
          <w:rFonts w:asciiTheme="minorHAnsi" w:eastAsiaTheme="minorEastAsia" w:hAnsiTheme="minorHAnsi"/>
          <w:noProof/>
          <w:lang w:bidi="ar-SA"/>
        </w:rPr>
        <w:tab/>
      </w:r>
      <w:r>
        <w:rPr>
          <w:noProof/>
        </w:rPr>
        <w:t>Introduction et contexte</w:t>
      </w:r>
      <w:r>
        <w:rPr>
          <w:noProof/>
        </w:rPr>
        <w:tab/>
      </w:r>
      <w:r>
        <w:rPr>
          <w:noProof/>
        </w:rPr>
        <w:fldChar w:fldCharType="begin"/>
      </w:r>
      <w:r>
        <w:rPr>
          <w:noProof/>
        </w:rPr>
        <w:instrText xml:space="preserve"> PAGEREF _Toc394344740 \h </w:instrText>
      </w:r>
      <w:r>
        <w:rPr>
          <w:noProof/>
        </w:rPr>
      </w:r>
      <w:r>
        <w:rPr>
          <w:noProof/>
        </w:rPr>
        <w:fldChar w:fldCharType="separate"/>
      </w:r>
      <w:r w:rsidR="00575624">
        <w:rPr>
          <w:noProof/>
        </w:rPr>
        <w:t>2</w:t>
      </w:r>
      <w:r>
        <w:rPr>
          <w:noProof/>
        </w:rPr>
        <w:fldChar w:fldCharType="end"/>
      </w:r>
    </w:p>
    <w:p w14:paraId="2AADF2D5" w14:textId="77777777" w:rsidR="00BA5079" w:rsidRDefault="00BA5079">
      <w:pPr>
        <w:pStyle w:val="TOC1"/>
        <w:tabs>
          <w:tab w:val="left" w:pos="440"/>
          <w:tab w:val="right" w:leader="dot" w:pos="9016"/>
        </w:tabs>
        <w:rPr>
          <w:rFonts w:asciiTheme="minorHAnsi" w:eastAsiaTheme="minorEastAsia" w:hAnsiTheme="minorHAnsi"/>
          <w:noProof/>
          <w:lang w:bidi="ar-SA"/>
        </w:rPr>
      </w:pPr>
      <w:r>
        <w:rPr>
          <w:noProof/>
        </w:rPr>
        <w:t>2.</w:t>
      </w:r>
      <w:r>
        <w:rPr>
          <w:rFonts w:asciiTheme="minorHAnsi" w:eastAsiaTheme="minorEastAsia" w:hAnsiTheme="minorHAnsi"/>
          <w:noProof/>
          <w:lang w:bidi="ar-SA"/>
        </w:rPr>
        <w:tab/>
      </w:r>
      <w:r>
        <w:rPr>
          <w:noProof/>
        </w:rPr>
        <w:t>Déclaration/ vision d'ensemble pour l'approvisionnement local</w:t>
      </w:r>
      <w:r>
        <w:rPr>
          <w:noProof/>
        </w:rPr>
        <w:tab/>
      </w:r>
      <w:r>
        <w:rPr>
          <w:noProof/>
        </w:rPr>
        <w:fldChar w:fldCharType="begin"/>
      </w:r>
      <w:r>
        <w:rPr>
          <w:noProof/>
        </w:rPr>
        <w:instrText xml:space="preserve"> PAGEREF _Toc394344741 \h </w:instrText>
      </w:r>
      <w:r>
        <w:rPr>
          <w:noProof/>
        </w:rPr>
      </w:r>
      <w:r>
        <w:rPr>
          <w:noProof/>
        </w:rPr>
        <w:fldChar w:fldCharType="separate"/>
      </w:r>
      <w:r w:rsidR="00575624">
        <w:rPr>
          <w:noProof/>
        </w:rPr>
        <w:t>3</w:t>
      </w:r>
      <w:r>
        <w:rPr>
          <w:noProof/>
        </w:rPr>
        <w:fldChar w:fldCharType="end"/>
      </w:r>
    </w:p>
    <w:p w14:paraId="6E49912B" w14:textId="77777777" w:rsidR="00BA5079" w:rsidRDefault="00BA5079">
      <w:pPr>
        <w:pStyle w:val="TOC1"/>
        <w:tabs>
          <w:tab w:val="left" w:pos="440"/>
          <w:tab w:val="right" w:leader="dot" w:pos="9016"/>
        </w:tabs>
        <w:rPr>
          <w:rFonts w:asciiTheme="minorHAnsi" w:eastAsiaTheme="minorEastAsia" w:hAnsiTheme="minorHAnsi"/>
          <w:noProof/>
          <w:lang w:bidi="ar-SA"/>
        </w:rPr>
      </w:pPr>
      <w:r>
        <w:rPr>
          <w:noProof/>
        </w:rPr>
        <w:t>3.</w:t>
      </w:r>
      <w:r>
        <w:rPr>
          <w:rFonts w:asciiTheme="minorHAnsi" w:eastAsiaTheme="minorEastAsia" w:hAnsiTheme="minorHAnsi"/>
          <w:noProof/>
          <w:lang w:bidi="ar-SA"/>
        </w:rPr>
        <w:tab/>
      </w:r>
      <w:r>
        <w:rPr>
          <w:noProof/>
        </w:rPr>
        <w:t>Définitions / glossaire des termes et des indicateurs</w:t>
      </w:r>
      <w:r>
        <w:rPr>
          <w:noProof/>
        </w:rPr>
        <w:tab/>
      </w:r>
      <w:r>
        <w:rPr>
          <w:noProof/>
        </w:rPr>
        <w:fldChar w:fldCharType="begin"/>
      </w:r>
      <w:r>
        <w:rPr>
          <w:noProof/>
        </w:rPr>
        <w:instrText xml:space="preserve"> PAGEREF _Toc394344742 \h </w:instrText>
      </w:r>
      <w:r>
        <w:rPr>
          <w:noProof/>
        </w:rPr>
      </w:r>
      <w:r>
        <w:rPr>
          <w:noProof/>
        </w:rPr>
        <w:fldChar w:fldCharType="separate"/>
      </w:r>
      <w:r w:rsidR="00575624">
        <w:rPr>
          <w:noProof/>
        </w:rPr>
        <w:t>4</w:t>
      </w:r>
      <w:r>
        <w:rPr>
          <w:noProof/>
        </w:rPr>
        <w:fldChar w:fldCharType="end"/>
      </w:r>
    </w:p>
    <w:p w14:paraId="17531CE1" w14:textId="1B5BAE88" w:rsidR="00BA5079" w:rsidRDefault="00BA5079">
      <w:pPr>
        <w:pStyle w:val="TOC1"/>
        <w:tabs>
          <w:tab w:val="left" w:pos="440"/>
          <w:tab w:val="right" w:leader="dot" w:pos="9016"/>
        </w:tabs>
        <w:rPr>
          <w:rFonts w:asciiTheme="minorHAnsi" w:eastAsiaTheme="minorEastAsia" w:hAnsiTheme="minorHAnsi"/>
          <w:noProof/>
          <w:lang w:bidi="ar-SA"/>
        </w:rPr>
      </w:pPr>
      <w:r>
        <w:rPr>
          <w:noProof/>
        </w:rPr>
        <w:t>4.</w:t>
      </w:r>
      <w:r>
        <w:rPr>
          <w:rFonts w:asciiTheme="minorHAnsi" w:eastAsiaTheme="minorEastAsia" w:hAnsiTheme="minorHAnsi"/>
          <w:noProof/>
          <w:lang w:bidi="ar-SA"/>
        </w:rPr>
        <w:tab/>
      </w:r>
      <w:r>
        <w:rPr>
          <w:noProof/>
        </w:rPr>
        <w:t>Performances actuelles par rapport aux indicateurs</w:t>
      </w:r>
      <w:r>
        <w:rPr>
          <w:noProof/>
        </w:rPr>
        <w:tab/>
      </w:r>
      <w:r>
        <w:rPr>
          <w:noProof/>
        </w:rPr>
        <w:fldChar w:fldCharType="begin"/>
      </w:r>
      <w:r>
        <w:rPr>
          <w:noProof/>
        </w:rPr>
        <w:instrText xml:space="preserve"> PAGEREF _Toc394344743 \h </w:instrText>
      </w:r>
      <w:r>
        <w:rPr>
          <w:noProof/>
        </w:rPr>
      </w:r>
      <w:r>
        <w:rPr>
          <w:noProof/>
        </w:rPr>
        <w:fldChar w:fldCharType="separate"/>
      </w:r>
      <w:r w:rsidR="00575624">
        <w:rPr>
          <w:noProof/>
        </w:rPr>
        <w:t>5</w:t>
      </w:r>
      <w:r>
        <w:rPr>
          <w:noProof/>
        </w:rPr>
        <w:fldChar w:fldCharType="end"/>
      </w:r>
    </w:p>
    <w:p w14:paraId="6A8799C2" w14:textId="77777777" w:rsidR="00BA5079" w:rsidRDefault="00BA5079">
      <w:pPr>
        <w:pStyle w:val="TOC1"/>
        <w:tabs>
          <w:tab w:val="left" w:pos="440"/>
          <w:tab w:val="right" w:leader="dot" w:pos="9016"/>
        </w:tabs>
        <w:rPr>
          <w:rFonts w:asciiTheme="minorHAnsi" w:eastAsiaTheme="minorEastAsia" w:hAnsiTheme="minorHAnsi"/>
          <w:noProof/>
          <w:lang w:bidi="ar-SA"/>
        </w:rPr>
      </w:pPr>
      <w:r>
        <w:rPr>
          <w:noProof/>
        </w:rPr>
        <w:t>5.</w:t>
      </w:r>
      <w:r>
        <w:rPr>
          <w:rFonts w:asciiTheme="minorHAnsi" w:eastAsiaTheme="minorEastAsia" w:hAnsiTheme="minorHAnsi"/>
          <w:noProof/>
          <w:lang w:bidi="ar-SA"/>
        </w:rPr>
        <w:tab/>
      </w:r>
      <w:r>
        <w:rPr>
          <w:noProof/>
        </w:rPr>
        <w:t>Principales opportunités pour l'approvisionnement local de produits et services</w:t>
      </w:r>
      <w:r>
        <w:rPr>
          <w:noProof/>
        </w:rPr>
        <w:tab/>
      </w:r>
      <w:r>
        <w:rPr>
          <w:noProof/>
        </w:rPr>
        <w:fldChar w:fldCharType="begin"/>
      </w:r>
      <w:r>
        <w:rPr>
          <w:noProof/>
        </w:rPr>
        <w:instrText xml:space="preserve"> PAGEREF _Toc394344744 \h </w:instrText>
      </w:r>
      <w:r>
        <w:rPr>
          <w:noProof/>
        </w:rPr>
      </w:r>
      <w:r>
        <w:rPr>
          <w:noProof/>
        </w:rPr>
        <w:fldChar w:fldCharType="separate"/>
      </w:r>
      <w:r w:rsidR="00575624">
        <w:rPr>
          <w:noProof/>
        </w:rPr>
        <w:t>6</w:t>
      </w:r>
      <w:r>
        <w:rPr>
          <w:noProof/>
        </w:rPr>
        <w:fldChar w:fldCharType="end"/>
      </w:r>
    </w:p>
    <w:p w14:paraId="6F22A641" w14:textId="77777777" w:rsidR="00BA5079" w:rsidRDefault="00BA5079">
      <w:pPr>
        <w:pStyle w:val="TOC1"/>
        <w:tabs>
          <w:tab w:val="left" w:pos="440"/>
          <w:tab w:val="right" w:leader="dot" w:pos="9016"/>
        </w:tabs>
        <w:rPr>
          <w:rFonts w:asciiTheme="minorHAnsi" w:eastAsiaTheme="minorEastAsia" w:hAnsiTheme="minorHAnsi"/>
          <w:noProof/>
          <w:lang w:bidi="ar-SA"/>
        </w:rPr>
      </w:pPr>
      <w:r>
        <w:rPr>
          <w:noProof/>
        </w:rPr>
        <w:t>6.</w:t>
      </w:r>
      <w:r>
        <w:rPr>
          <w:rFonts w:asciiTheme="minorHAnsi" w:eastAsiaTheme="minorEastAsia" w:hAnsiTheme="minorHAnsi"/>
          <w:noProof/>
          <w:lang w:bidi="ar-SA"/>
        </w:rPr>
        <w:tab/>
      </w:r>
      <w:r>
        <w:rPr>
          <w:noProof/>
        </w:rPr>
        <w:t>Objectifs (court, moyen et long terme)</w:t>
      </w:r>
      <w:r>
        <w:rPr>
          <w:noProof/>
        </w:rPr>
        <w:tab/>
      </w:r>
      <w:r>
        <w:rPr>
          <w:noProof/>
        </w:rPr>
        <w:fldChar w:fldCharType="begin"/>
      </w:r>
      <w:r>
        <w:rPr>
          <w:noProof/>
        </w:rPr>
        <w:instrText xml:space="preserve"> PAGEREF _Toc394344745 \h </w:instrText>
      </w:r>
      <w:r>
        <w:rPr>
          <w:noProof/>
        </w:rPr>
      </w:r>
      <w:r>
        <w:rPr>
          <w:noProof/>
        </w:rPr>
        <w:fldChar w:fldCharType="separate"/>
      </w:r>
      <w:r w:rsidR="00575624">
        <w:rPr>
          <w:noProof/>
        </w:rPr>
        <w:t>7</w:t>
      </w:r>
      <w:r>
        <w:rPr>
          <w:noProof/>
        </w:rPr>
        <w:fldChar w:fldCharType="end"/>
      </w:r>
    </w:p>
    <w:p w14:paraId="1F50F258" w14:textId="77777777" w:rsidR="00BA5079" w:rsidRDefault="00BA5079">
      <w:pPr>
        <w:pStyle w:val="TOC1"/>
        <w:tabs>
          <w:tab w:val="left" w:pos="440"/>
          <w:tab w:val="right" w:leader="dot" w:pos="9016"/>
        </w:tabs>
        <w:rPr>
          <w:rFonts w:asciiTheme="minorHAnsi" w:eastAsiaTheme="minorEastAsia" w:hAnsiTheme="minorHAnsi"/>
          <w:noProof/>
          <w:lang w:bidi="ar-SA"/>
        </w:rPr>
      </w:pPr>
      <w:r>
        <w:rPr>
          <w:noProof/>
        </w:rPr>
        <w:t>7.</w:t>
      </w:r>
      <w:r>
        <w:rPr>
          <w:rFonts w:asciiTheme="minorHAnsi" w:eastAsiaTheme="minorEastAsia" w:hAnsiTheme="minorHAnsi"/>
          <w:noProof/>
          <w:lang w:bidi="ar-SA"/>
        </w:rPr>
        <w:tab/>
      </w:r>
      <w:r>
        <w:rPr>
          <w:noProof/>
        </w:rPr>
        <w:t>Stratégies et tactiques pour atteindre les résultats souhaités</w:t>
      </w:r>
      <w:r>
        <w:rPr>
          <w:noProof/>
        </w:rPr>
        <w:tab/>
      </w:r>
      <w:r>
        <w:rPr>
          <w:noProof/>
        </w:rPr>
        <w:fldChar w:fldCharType="begin"/>
      </w:r>
      <w:r>
        <w:rPr>
          <w:noProof/>
        </w:rPr>
        <w:instrText xml:space="preserve"> PAGEREF _Toc394344746 \h </w:instrText>
      </w:r>
      <w:r>
        <w:rPr>
          <w:noProof/>
        </w:rPr>
      </w:r>
      <w:r>
        <w:rPr>
          <w:noProof/>
        </w:rPr>
        <w:fldChar w:fldCharType="separate"/>
      </w:r>
      <w:r w:rsidR="00575624">
        <w:rPr>
          <w:noProof/>
        </w:rPr>
        <w:t>8</w:t>
      </w:r>
      <w:r>
        <w:rPr>
          <w:noProof/>
        </w:rPr>
        <w:fldChar w:fldCharType="end"/>
      </w:r>
    </w:p>
    <w:p w14:paraId="7F6DCEA4" w14:textId="5B65F43B" w:rsidR="00BA5079" w:rsidRDefault="00BA5079">
      <w:pPr>
        <w:pStyle w:val="TOC1"/>
        <w:tabs>
          <w:tab w:val="left" w:pos="440"/>
          <w:tab w:val="right" w:leader="dot" w:pos="9016"/>
        </w:tabs>
        <w:rPr>
          <w:rFonts w:asciiTheme="minorHAnsi" w:eastAsiaTheme="minorEastAsia" w:hAnsiTheme="minorHAnsi"/>
          <w:noProof/>
          <w:lang w:bidi="ar-SA"/>
        </w:rPr>
      </w:pPr>
      <w:r>
        <w:rPr>
          <w:noProof/>
        </w:rPr>
        <w:t>8.</w:t>
      </w:r>
      <w:r>
        <w:rPr>
          <w:rFonts w:asciiTheme="minorHAnsi" w:eastAsiaTheme="minorEastAsia" w:hAnsiTheme="minorHAnsi"/>
          <w:noProof/>
          <w:lang w:bidi="ar-SA"/>
        </w:rPr>
        <w:tab/>
      </w:r>
      <w:r>
        <w:rPr>
          <w:noProof/>
        </w:rPr>
        <w:t>Systèmes de mesure, suivi et évaluation</w:t>
      </w:r>
      <w:r>
        <w:rPr>
          <w:noProof/>
        </w:rPr>
        <w:tab/>
      </w:r>
      <w:r>
        <w:rPr>
          <w:noProof/>
        </w:rPr>
        <w:fldChar w:fldCharType="begin"/>
      </w:r>
      <w:r>
        <w:rPr>
          <w:noProof/>
        </w:rPr>
        <w:instrText xml:space="preserve"> PAGEREF _Toc394344747 \h </w:instrText>
      </w:r>
      <w:r>
        <w:rPr>
          <w:noProof/>
        </w:rPr>
      </w:r>
      <w:r>
        <w:rPr>
          <w:noProof/>
        </w:rPr>
        <w:fldChar w:fldCharType="separate"/>
      </w:r>
      <w:r w:rsidR="00575624">
        <w:rPr>
          <w:noProof/>
        </w:rPr>
        <w:t>10</w:t>
      </w:r>
      <w:r>
        <w:rPr>
          <w:noProof/>
        </w:rPr>
        <w:fldChar w:fldCharType="end"/>
      </w:r>
    </w:p>
    <w:p w14:paraId="329D5E05" w14:textId="77777777" w:rsidR="00BA5079" w:rsidRDefault="00BA5079">
      <w:pPr>
        <w:pStyle w:val="TOC1"/>
        <w:tabs>
          <w:tab w:val="left" w:pos="440"/>
          <w:tab w:val="right" w:leader="dot" w:pos="9016"/>
        </w:tabs>
        <w:rPr>
          <w:rFonts w:asciiTheme="minorHAnsi" w:eastAsiaTheme="minorEastAsia" w:hAnsiTheme="minorHAnsi"/>
          <w:noProof/>
          <w:lang w:bidi="ar-SA"/>
        </w:rPr>
      </w:pPr>
      <w:r>
        <w:rPr>
          <w:noProof/>
        </w:rPr>
        <w:t>9.</w:t>
      </w:r>
      <w:r>
        <w:rPr>
          <w:rFonts w:asciiTheme="minorHAnsi" w:eastAsiaTheme="minorEastAsia" w:hAnsiTheme="minorHAnsi"/>
          <w:noProof/>
          <w:lang w:bidi="ar-SA"/>
        </w:rPr>
        <w:tab/>
      </w:r>
      <w:r>
        <w:rPr>
          <w:noProof/>
        </w:rPr>
        <w:t>Construire des capacités internes et externes pour mettre le plan en place</w:t>
      </w:r>
      <w:r>
        <w:rPr>
          <w:noProof/>
        </w:rPr>
        <w:tab/>
      </w:r>
      <w:r>
        <w:rPr>
          <w:noProof/>
        </w:rPr>
        <w:fldChar w:fldCharType="begin"/>
      </w:r>
      <w:r>
        <w:rPr>
          <w:noProof/>
        </w:rPr>
        <w:instrText xml:space="preserve"> PAGEREF _Toc394344748 \h </w:instrText>
      </w:r>
      <w:r>
        <w:rPr>
          <w:noProof/>
        </w:rPr>
      </w:r>
      <w:r>
        <w:rPr>
          <w:noProof/>
        </w:rPr>
        <w:fldChar w:fldCharType="separate"/>
      </w:r>
      <w:r w:rsidR="00575624">
        <w:rPr>
          <w:noProof/>
        </w:rPr>
        <w:t>11</w:t>
      </w:r>
      <w:r>
        <w:rPr>
          <w:noProof/>
        </w:rPr>
        <w:fldChar w:fldCharType="end"/>
      </w:r>
    </w:p>
    <w:p w14:paraId="5A2CA3C8" w14:textId="77777777" w:rsidR="00BA5079" w:rsidRDefault="00BA5079">
      <w:pPr>
        <w:pStyle w:val="TOC1"/>
        <w:tabs>
          <w:tab w:val="left" w:pos="660"/>
          <w:tab w:val="right" w:leader="dot" w:pos="9016"/>
        </w:tabs>
        <w:rPr>
          <w:rFonts w:asciiTheme="minorHAnsi" w:eastAsiaTheme="minorEastAsia" w:hAnsiTheme="minorHAnsi"/>
          <w:noProof/>
          <w:lang w:bidi="ar-SA"/>
        </w:rPr>
      </w:pPr>
      <w:r>
        <w:rPr>
          <w:noProof/>
        </w:rPr>
        <w:t>10.</w:t>
      </w:r>
      <w:r>
        <w:rPr>
          <w:rFonts w:asciiTheme="minorHAnsi" w:eastAsiaTheme="minorEastAsia" w:hAnsiTheme="minorHAnsi"/>
          <w:noProof/>
          <w:lang w:bidi="ar-SA"/>
        </w:rPr>
        <w:tab/>
      </w:r>
      <w:r>
        <w:rPr>
          <w:noProof/>
        </w:rPr>
        <w:t>Risques et mesures de réduction possibles</w:t>
      </w:r>
      <w:r>
        <w:rPr>
          <w:noProof/>
        </w:rPr>
        <w:tab/>
      </w:r>
      <w:r>
        <w:rPr>
          <w:noProof/>
        </w:rPr>
        <w:fldChar w:fldCharType="begin"/>
      </w:r>
      <w:r>
        <w:rPr>
          <w:noProof/>
        </w:rPr>
        <w:instrText xml:space="preserve"> PAGEREF _Toc394344749 \h </w:instrText>
      </w:r>
      <w:r>
        <w:rPr>
          <w:noProof/>
        </w:rPr>
      </w:r>
      <w:r>
        <w:rPr>
          <w:noProof/>
        </w:rPr>
        <w:fldChar w:fldCharType="separate"/>
      </w:r>
      <w:r w:rsidR="00575624">
        <w:rPr>
          <w:noProof/>
        </w:rPr>
        <w:t>12</w:t>
      </w:r>
      <w:r>
        <w:rPr>
          <w:noProof/>
        </w:rPr>
        <w:fldChar w:fldCharType="end"/>
      </w:r>
    </w:p>
    <w:p w14:paraId="7D9411CF" w14:textId="77777777" w:rsidR="00BA5079" w:rsidRDefault="00BA5079">
      <w:pPr>
        <w:pStyle w:val="TOC1"/>
        <w:tabs>
          <w:tab w:val="left" w:pos="660"/>
          <w:tab w:val="right" w:leader="dot" w:pos="9016"/>
        </w:tabs>
        <w:rPr>
          <w:rFonts w:asciiTheme="minorHAnsi" w:eastAsiaTheme="minorEastAsia" w:hAnsiTheme="minorHAnsi"/>
          <w:noProof/>
          <w:lang w:bidi="ar-SA"/>
        </w:rPr>
      </w:pPr>
      <w:r>
        <w:rPr>
          <w:noProof/>
        </w:rPr>
        <w:t>11.</w:t>
      </w:r>
      <w:r>
        <w:rPr>
          <w:rFonts w:asciiTheme="minorHAnsi" w:eastAsiaTheme="minorEastAsia" w:hAnsiTheme="minorHAnsi"/>
          <w:noProof/>
          <w:lang w:bidi="ar-SA"/>
        </w:rPr>
        <w:tab/>
      </w:r>
      <w:r>
        <w:rPr>
          <w:noProof/>
        </w:rPr>
        <w:t>Plan d'action</w:t>
      </w:r>
      <w:r>
        <w:rPr>
          <w:noProof/>
        </w:rPr>
        <w:tab/>
      </w:r>
      <w:r>
        <w:rPr>
          <w:noProof/>
        </w:rPr>
        <w:fldChar w:fldCharType="begin"/>
      </w:r>
      <w:r>
        <w:rPr>
          <w:noProof/>
        </w:rPr>
        <w:instrText xml:space="preserve"> PAGEREF _Toc394344750 \h </w:instrText>
      </w:r>
      <w:r>
        <w:rPr>
          <w:noProof/>
        </w:rPr>
      </w:r>
      <w:r>
        <w:rPr>
          <w:noProof/>
        </w:rPr>
        <w:fldChar w:fldCharType="separate"/>
      </w:r>
      <w:r w:rsidR="00575624">
        <w:rPr>
          <w:noProof/>
        </w:rPr>
        <w:t>13</w:t>
      </w:r>
      <w:r>
        <w:rPr>
          <w:noProof/>
        </w:rPr>
        <w:fldChar w:fldCharType="end"/>
      </w:r>
    </w:p>
    <w:p w14:paraId="5B557788" w14:textId="77777777" w:rsidR="00916A8B" w:rsidRDefault="008553D6">
      <w:pPr>
        <w:pStyle w:val="TOC1"/>
        <w:tabs>
          <w:tab w:val="right" w:leader="dot" w:pos="9016"/>
        </w:tabs>
        <w:rPr>
          <w:rFonts w:asciiTheme="minorHAnsi" w:eastAsiaTheme="minorEastAsia" w:hAnsiTheme="minorHAnsi"/>
          <w:noProof/>
          <w:sz w:val="24"/>
          <w:szCs w:val="24"/>
        </w:rPr>
      </w:pPr>
      <w:r w:rsidRPr="00DC17A0">
        <w:rPr>
          <w:rFonts w:cs="TimesNewRomanPS"/>
        </w:rPr>
        <w:fldChar w:fldCharType="end"/>
      </w:r>
    </w:p>
    <w:p w14:paraId="34298956" w14:textId="77777777" w:rsidR="008553D6" w:rsidRPr="00DC17A0" w:rsidRDefault="008553D6" w:rsidP="00C01620">
      <w:pPr>
        <w:autoSpaceDE w:val="0"/>
        <w:autoSpaceDN w:val="0"/>
        <w:adjustRightInd w:val="0"/>
        <w:spacing w:after="0" w:line="240" w:lineRule="auto"/>
        <w:rPr>
          <w:rFonts w:ascii="Trebuchet MS" w:hAnsi="Trebuchet MS" w:cs="TimesNewRomanPS"/>
        </w:rPr>
      </w:pPr>
    </w:p>
    <w:p w14:paraId="38867DD0" w14:textId="77777777" w:rsidR="008553D6" w:rsidRPr="00DC17A0" w:rsidRDefault="008553D6" w:rsidP="00C01620">
      <w:pPr>
        <w:autoSpaceDE w:val="0"/>
        <w:autoSpaceDN w:val="0"/>
        <w:adjustRightInd w:val="0"/>
        <w:spacing w:after="0" w:line="240" w:lineRule="auto"/>
        <w:rPr>
          <w:rFonts w:ascii="Trebuchet MS" w:hAnsi="Trebuchet MS" w:cs="TimesNewRomanPS"/>
        </w:rPr>
      </w:pPr>
    </w:p>
    <w:p w14:paraId="1A9558AD" w14:textId="77777777" w:rsidR="008553D6" w:rsidRPr="00DC17A0" w:rsidRDefault="008553D6" w:rsidP="00C01620">
      <w:pPr>
        <w:autoSpaceDE w:val="0"/>
        <w:autoSpaceDN w:val="0"/>
        <w:adjustRightInd w:val="0"/>
        <w:spacing w:after="0" w:line="240" w:lineRule="auto"/>
        <w:rPr>
          <w:rFonts w:ascii="Trebuchet MS" w:hAnsi="Trebuchet MS" w:cs="TimesNewRomanPS"/>
        </w:rPr>
      </w:pPr>
    </w:p>
    <w:p w14:paraId="6E779C98" w14:textId="5F41E5EB" w:rsidR="00B84AD8" w:rsidRDefault="00B84AD8" w:rsidP="00C01620">
      <w:pPr>
        <w:autoSpaceDE w:val="0"/>
        <w:autoSpaceDN w:val="0"/>
        <w:adjustRightInd w:val="0"/>
        <w:spacing w:after="0" w:line="240" w:lineRule="auto"/>
        <w:rPr>
          <w:rFonts w:ascii="Trebuchet MS" w:hAnsi="Trebuchet MS" w:cs="TimesNewRomanPS"/>
          <w:color w:val="2D2D2D"/>
        </w:rPr>
      </w:pPr>
    </w:p>
    <w:p w14:paraId="1C470A40" w14:textId="77777777" w:rsidR="00B84AD8" w:rsidRPr="00B84AD8" w:rsidRDefault="00B84AD8" w:rsidP="00B84AD8">
      <w:pPr>
        <w:rPr>
          <w:rFonts w:ascii="Trebuchet MS" w:hAnsi="Trebuchet MS" w:cs="TimesNewRomanPS"/>
        </w:rPr>
      </w:pPr>
    </w:p>
    <w:p w14:paraId="5F99D3E5" w14:textId="77777777" w:rsidR="00B84AD8" w:rsidRPr="00B84AD8" w:rsidRDefault="00B84AD8" w:rsidP="00B84AD8">
      <w:pPr>
        <w:rPr>
          <w:rFonts w:ascii="Trebuchet MS" w:hAnsi="Trebuchet MS" w:cs="TimesNewRomanPS"/>
        </w:rPr>
      </w:pPr>
    </w:p>
    <w:p w14:paraId="08C452B8" w14:textId="77777777" w:rsidR="00B84AD8" w:rsidRPr="00B84AD8" w:rsidRDefault="00B84AD8" w:rsidP="00B84AD8">
      <w:pPr>
        <w:rPr>
          <w:rFonts w:ascii="Trebuchet MS" w:hAnsi="Trebuchet MS" w:cs="TimesNewRomanPS"/>
        </w:rPr>
      </w:pPr>
    </w:p>
    <w:p w14:paraId="763F8F44" w14:textId="77777777" w:rsidR="00B84AD8" w:rsidRPr="00B84AD8" w:rsidRDefault="00B84AD8" w:rsidP="00B84AD8">
      <w:pPr>
        <w:rPr>
          <w:rFonts w:ascii="Trebuchet MS" w:hAnsi="Trebuchet MS" w:cs="TimesNewRomanPS"/>
        </w:rPr>
      </w:pPr>
    </w:p>
    <w:p w14:paraId="56BDE97B" w14:textId="77777777" w:rsidR="00B84AD8" w:rsidRPr="00B84AD8" w:rsidRDefault="00B84AD8" w:rsidP="00B84AD8">
      <w:pPr>
        <w:rPr>
          <w:rFonts w:ascii="Trebuchet MS" w:hAnsi="Trebuchet MS" w:cs="TimesNewRomanPS"/>
        </w:rPr>
      </w:pPr>
    </w:p>
    <w:p w14:paraId="402F8C49" w14:textId="77777777" w:rsidR="00B84AD8" w:rsidRPr="00B84AD8" w:rsidRDefault="00B84AD8" w:rsidP="00B84AD8">
      <w:pPr>
        <w:rPr>
          <w:rFonts w:ascii="Trebuchet MS" w:hAnsi="Trebuchet MS" w:cs="TimesNewRomanPS"/>
        </w:rPr>
      </w:pPr>
    </w:p>
    <w:p w14:paraId="6CDF3AF0" w14:textId="77777777" w:rsidR="00B84AD8" w:rsidRPr="00B84AD8" w:rsidRDefault="00B84AD8" w:rsidP="00B84AD8">
      <w:pPr>
        <w:rPr>
          <w:rFonts w:ascii="Trebuchet MS" w:hAnsi="Trebuchet MS" w:cs="TimesNewRomanPS"/>
        </w:rPr>
      </w:pPr>
    </w:p>
    <w:p w14:paraId="4E921F7D" w14:textId="77777777" w:rsidR="00B84AD8" w:rsidRPr="00B84AD8" w:rsidRDefault="00B84AD8" w:rsidP="00B84AD8">
      <w:pPr>
        <w:rPr>
          <w:rFonts w:ascii="Trebuchet MS" w:hAnsi="Trebuchet MS" w:cs="TimesNewRomanPS"/>
        </w:rPr>
      </w:pPr>
    </w:p>
    <w:p w14:paraId="7E1E5BAF" w14:textId="56CEEAC1" w:rsidR="00B84AD8" w:rsidRDefault="00B84AD8" w:rsidP="00B84AD8">
      <w:pPr>
        <w:jc w:val="center"/>
        <w:rPr>
          <w:rFonts w:ascii="Trebuchet MS" w:hAnsi="Trebuchet MS" w:cs="TimesNewRomanPS"/>
        </w:rPr>
      </w:pPr>
    </w:p>
    <w:p w14:paraId="5B10E0FA" w14:textId="3193C21E" w:rsidR="00B84AD8" w:rsidRDefault="00B84AD8" w:rsidP="00B84AD8">
      <w:pPr>
        <w:rPr>
          <w:rFonts w:ascii="Trebuchet MS" w:hAnsi="Trebuchet MS" w:cs="TimesNewRomanPS"/>
        </w:rPr>
      </w:pPr>
    </w:p>
    <w:p w14:paraId="0C8AD6F0" w14:textId="77777777" w:rsidR="008553D6" w:rsidRPr="00B84AD8" w:rsidRDefault="008553D6" w:rsidP="00B84AD8">
      <w:pPr>
        <w:rPr>
          <w:rFonts w:ascii="Trebuchet MS" w:hAnsi="Trebuchet MS" w:cs="TimesNewRomanPS"/>
        </w:rPr>
        <w:sectPr w:rsidR="008553D6" w:rsidRPr="00B84AD8" w:rsidSect="00B84AD8">
          <w:pgSz w:w="11906" w:h="16838"/>
          <w:pgMar w:top="1440" w:right="1440" w:bottom="1440" w:left="1440" w:header="708" w:footer="708" w:gutter="0"/>
          <w:pgNumType w:start="0"/>
          <w:cols w:space="708"/>
          <w:titlePg/>
          <w:docGrid w:linePitch="360"/>
        </w:sectPr>
      </w:pPr>
    </w:p>
    <w:p w14:paraId="523A4D41" w14:textId="77777777" w:rsidR="00242FF7" w:rsidRPr="00854CDE" w:rsidRDefault="00242FF7" w:rsidP="00C01620">
      <w:pPr>
        <w:autoSpaceDE w:val="0"/>
        <w:autoSpaceDN w:val="0"/>
        <w:adjustRightInd w:val="0"/>
        <w:spacing w:after="0" w:line="240" w:lineRule="auto"/>
        <w:rPr>
          <w:rFonts w:ascii="Trebuchet MS" w:hAnsi="Trebuchet MS" w:cs="TimesNewRomanPS"/>
          <w:color w:val="2D2D2D"/>
        </w:rPr>
      </w:pPr>
    </w:p>
    <w:p w14:paraId="21B28D9B" w14:textId="77777777" w:rsidR="00242FF7" w:rsidRPr="00854CDE" w:rsidRDefault="00242FF7" w:rsidP="00B6776D">
      <w:pPr>
        <w:pStyle w:val="Heading1"/>
        <w:numPr>
          <w:ilvl w:val="0"/>
          <w:numId w:val="0"/>
        </w:numPr>
        <w:ind w:left="357" w:hanging="357"/>
      </w:pPr>
      <w:bookmarkStart w:id="1" w:name="_Toc267921284"/>
      <w:bookmarkStart w:id="2" w:name="_Toc394344739"/>
      <w:r>
        <w:t>Résumé</w:t>
      </w:r>
      <w:bookmarkEnd w:id="1"/>
      <w:bookmarkEnd w:id="2"/>
    </w:p>
    <w:p w14:paraId="59EF48BA"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971383" w:rsidRPr="00854CDE" w14:paraId="2861BA57" w14:textId="77777777" w:rsidTr="00971383">
        <w:tc>
          <w:tcPr>
            <w:tcW w:w="9242" w:type="dxa"/>
            <w:shd w:val="clear" w:color="auto" w:fill="auto"/>
          </w:tcPr>
          <w:p w14:paraId="4BC5E41B" w14:textId="77777777" w:rsidR="00971383" w:rsidRPr="00854CDE" w:rsidRDefault="00971383" w:rsidP="00C01620">
            <w:pPr>
              <w:pStyle w:val="NoSpacing"/>
              <w:rPr>
                <w:rFonts w:ascii="Trebuchet MS" w:eastAsiaTheme="minorHAnsi" w:hAnsi="Trebuchet MS" w:cs="Open Sans Light"/>
              </w:rPr>
            </w:pPr>
          </w:p>
          <w:p w14:paraId="01CCC62A" w14:textId="77777777" w:rsidR="00971383" w:rsidRPr="00854CDE" w:rsidRDefault="00971383" w:rsidP="00C01620">
            <w:pPr>
              <w:pStyle w:val="NoSpacing"/>
              <w:rPr>
                <w:rFonts w:ascii="Trebuchet MS" w:eastAsiaTheme="minorHAnsi" w:hAnsi="Trebuchet MS" w:cs="Open Sans Light"/>
                <w:b/>
              </w:rPr>
            </w:pPr>
            <w:r>
              <w:rPr>
                <w:rFonts w:ascii="Trebuchet MS" w:eastAsiaTheme="minorHAnsi" w:hAnsi="Trebuchet MS"/>
                <w:b/>
              </w:rPr>
              <w:t>Domaines clés :</w:t>
            </w:r>
          </w:p>
          <w:p w14:paraId="27DAF162" w14:textId="3E9A4E29" w:rsidR="00971383" w:rsidRPr="00854CDE" w:rsidRDefault="00971383" w:rsidP="00C01620">
            <w:pPr>
              <w:pStyle w:val="NoSpacing"/>
              <w:rPr>
                <w:rFonts w:ascii="Trebuchet MS" w:eastAsiaTheme="minorHAnsi" w:hAnsi="Trebuchet MS" w:cs="Open Sans Light"/>
              </w:rPr>
            </w:pPr>
            <w:r>
              <w:rPr>
                <w:rFonts w:ascii="Trebuchet MS" w:eastAsiaTheme="minorHAnsi" w:hAnsi="Trebuchet MS"/>
              </w:rPr>
              <w:t>Vue d'ensemble du plan d'app</w:t>
            </w:r>
            <w:r w:rsidR="00BA5079">
              <w:rPr>
                <w:rFonts w:ascii="Trebuchet MS" w:eastAsiaTheme="minorHAnsi" w:hAnsi="Trebuchet MS"/>
              </w:rPr>
              <w:t>rovisionnement local, notamment</w:t>
            </w:r>
            <w:r>
              <w:rPr>
                <w:rFonts w:ascii="Trebuchet MS" w:eastAsiaTheme="minorHAnsi" w:hAnsi="Trebuchet MS"/>
              </w:rPr>
              <w:t xml:space="preserve"> les objectifs, les cibles générales, opportunités identifiées, éléments de soutien, horizons et indicateurs de mise en œuvre et de suivi.</w:t>
            </w:r>
          </w:p>
          <w:p w14:paraId="156AF1F5" w14:textId="77777777" w:rsidR="008553D6" w:rsidRPr="00854CDE" w:rsidRDefault="008553D6" w:rsidP="00C01620">
            <w:pPr>
              <w:pStyle w:val="NoSpacing"/>
              <w:rPr>
                <w:rFonts w:ascii="Trebuchet MS" w:eastAsiaTheme="minorHAnsi" w:hAnsi="Trebuchet MS" w:cs="Open Sans Light"/>
              </w:rPr>
            </w:pPr>
          </w:p>
          <w:p w14:paraId="42D0F4B5" w14:textId="77777777" w:rsidR="008553D6" w:rsidRDefault="008553D6"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6548A023" w14:textId="77777777" w:rsidR="00A46D93" w:rsidRDefault="00A46D93" w:rsidP="00C01620">
            <w:pPr>
              <w:pStyle w:val="NoSpacing"/>
              <w:rPr>
                <w:rFonts w:ascii="Trebuchet MS" w:eastAsiaTheme="minorHAnsi" w:hAnsi="Trebuchet MS" w:cs="Open Sans Light"/>
              </w:rPr>
            </w:pPr>
            <w:r>
              <w:rPr>
                <w:rFonts w:ascii="Trebuchet MS" w:eastAsiaTheme="minorHAnsi" w:hAnsi="Trebuchet MS"/>
              </w:rPr>
              <w:t xml:space="preserve">La structure pourrait devoir se conformer aux directives de la société contenues dans le résumé. </w:t>
            </w:r>
          </w:p>
          <w:p w14:paraId="2E345D7F" w14:textId="77777777" w:rsidR="00A46D93" w:rsidRDefault="00A46D93" w:rsidP="00C01620">
            <w:pPr>
              <w:pStyle w:val="NoSpacing"/>
              <w:rPr>
                <w:rFonts w:ascii="Trebuchet MS" w:eastAsiaTheme="minorHAnsi" w:hAnsi="Trebuchet MS" w:cs="Open Sans Light"/>
              </w:rPr>
            </w:pPr>
          </w:p>
          <w:p w14:paraId="29F39180"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1 à 2 pages</w:t>
            </w:r>
          </w:p>
          <w:p w14:paraId="0021B678" w14:textId="77777777" w:rsidR="00A46D93" w:rsidRPr="00A46D93" w:rsidRDefault="00A46D93" w:rsidP="00C01620">
            <w:pPr>
              <w:pStyle w:val="NoSpacing"/>
              <w:rPr>
                <w:rFonts w:ascii="Trebuchet MS" w:eastAsiaTheme="minorHAnsi" w:hAnsi="Trebuchet MS" w:cs="Open Sans Light"/>
              </w:rPr>
            </w:pPr>
          </w:p>
        </w:tc>
      </w:tr>
    </w:tbl>
    <w:p w14:paraId="48365D8B"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p w14:paraId="68AF7FBA"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2FC3E16E" w14:textId="77777777" w:rsidR="008553D6" w:rsidRPr="00854CDE" w:rsidRDefault="008553D6" w:rsidP="00B6776D">
      <w:pPr>
        <w:pStyle w:val="Heading1"/>
      </w:pPr>
      <w:bookmarkStart w:id="3" w:name="_Toc267921285"/>
      <w:bookmarkStart w:id="4" w:name="_Toc394344740"/>
      <w:r>
        <w:lastRenderedPageBreak/>
        <w:t>Introduction et contexte</w:t>
      </w:r>
      <w:bookmarkEnd w:id="3"/>
      <w:bookmarkEnd w:id="4"/>
    </w:p>
    <w:p w14:paraId="08AC1128" w14:textId="77777777" w:rsidR="008553D6" w:rsidRPr="00854CDE" w:rsidRDefault="008553D6"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8553D6" w:rsidRPr="00854CDE" w14:paraId="21360B1C" w14:textId="77777777" w:rsidTr="007C1D4D">
        <w:tc>
          <w:tcPr>
            <w:tcW w:w="9242" w:type="dxa"/>
            <w:shd w:val="clear" w:color="auto" w:fill="auto"/>
          </w:tcPr>
          <w:p w14:paraId="4C1AD6FD" w14:textId="77777777" w:rsidR="00C01620" w:rsidRPr="00DC17A0" w:rsidRDefault="00C01620" w:rsidP="00C01620">
            <w:pPr>
              <w:pStyle w:val="NoSpacing"/>
              <w:rPr>
                <w:rFonts w:ascii="Trebuchet MS" w:eastAsiaTheme="minorHAnsi" w:hAnsi="Trebuchet MS" w:cs="Open Sans Light"/>
                <w:b/>
              </w:rPr>
            </w:pPr>
          </w:p>
          <w:p w14:paraId="3CB68F3D" w14:textId="77777777" w:rsidR="008553D6" w:rsidRPr="00DC17A0" w:rsidRDefault="008553D6" w:rsidP="00C01620">
            <w:pPr>
              <w:pStyle w:val="NoSpacing"/>
              <w:rPr>
                <w:rFonts w:ascii="Trebuchet MS" w:eastAsiaTheme="minorHAnsi" w:hAnsi="Trebuchet MS" w:cs="Open Sans Light"/>
                <w:b/>
              </w:rPr>
            </w:pPr>
            <w:r>
              <w:rPr>
                <w:rFonts w:ascii="Trebuchet MS" w:eastAsiaTheme="minorHAnsi" w:hAnsi="Trebuchet MS"/>
                <w:b/>
              </w:rPr>
              <w:t>Domaines clés :</w:t>
            </w:r>
          </w:p>
          <w:p w14:paraId="42A1DD25" w14:textId="77777777" w:rsidR="008553D6" w:rsidRPr="00DC17A0" w:rsidRDefault="008553D6" w:rsidP="00C01620">
            <w:pPr>
              <w:pStyle w:val="NoSpacing"/>
              <w:rPr>
                <w:rFonts w:ascii="Trebuchet MS" w:eastAsiaTheme="minorHAnsi" w:hAnsi="Trebuchet MS" w:cs="Open Sans Light"/>
              </w:rPr>
            </w:pPr>
            <w:r>
              <w:rPr>
                <w:rFonts w:ascii="Trebuchet MS" w:eastAsiaTheme="minorHAnsi" w:hAnsi="Trebuchet MS"/>
              </w:rPr>
              <w:t>Portée du plan d'approvisionnement en termes d'opérations couvertes par le plan (par ex. site/ projet de la mine, groupe de marchandises, pays)</w:t>
            </w:r>
          </w:p>
          <w:p w14:paraId="56ADA0F1" w14:textId="77777777" w:rsidR="008553D6" w:rsidRPr="00DC17A0" w:rsidRDefault="008553D6" w:rsidP="00C01620">
            <w:pPr>
              <w:pStyle w:val="NoSpacing"/>
              <w:numPr>
                <w:ilvl w:val="0"/>
                <w:numId w:val="2"/>
              </w:numPr>
              <w:rPr>
                <w:rFonts w:ascii="Trebuchet MS" w:eastAsiaTheme="minorHAnsi" w:hAnsi="Trebuchet MS" w:cs="Open Sans Light"/>
              </w:rPr>
            </w:pPr>
            <w:r>
              <w:rPr>
                <w:rFonts w:ascii="Trebuchet MS" w:eastAsiaTheme="minorHAnsi" w:hAnsi="Trebuchet MS"/>
              </w:rPr>
              <w:t>Nature de l'activité liée au secteur minier, notamment :</w:t>
            </w:r>
          </w:p>
          <w:p w14:paraId="5E0428D9" w14:textId="09AE28E2" w:rsidR="008553D6" w:rsidRPr="00DC17A0" w:rsidRDefault="008553D6" w:rsidP="00C01620">
            <w:pPr>
              <w:pStyle w:val="NoSpacing"/>
              <w:numPr>
                <w:ilvl w:val="0"/>
                <w:numId w:val="2"/>
              </w:numPr>
              <w:ind w:left="1080"/>
              <w:rPr>
                <w:rFonts w:ascii="Trebuchet MS" w:eastAsiaTheme="minorHAnsi" w:hAnsi="Trebuchet MS" w:cs="Open Sans Light"/>
              </w:rPr>
            </w:pPr>
            <w:r>
              <w:rPr>
                <w:rFonts w:ascii="Trebuchet MS" w:eastAsiaTheme="minorHAnsi" w:hAnsi="Trebuchet MS"/>
              </w:rPr>
              <w:t>Bref aperçu des activités actuelles grâce à l'évaluation et l'exploration des ressources minérales, le développement</w:t>
            </w:r>
            <w:r w:rsidR="00CF31EC">
              <w:rPr>
                <w:rFonts w:ascii="Trebuchet MS" w:eastAsiaTheme="minorHAnsi" w:hAnsi="Trebuchet MS"/>
              </w:rPr>
              <w:t xml:space="preserve"> </w:t>
            </w:r>
            <w:r>
              <w:rPr>
                <w:rFonts w:ascii="Trebuchet MS" w:eastAsiaTheme="minorHAnsi" w:hAnsi="Trebuchet MS"/>
              </w:rPr>
              <w:t>de la mine et des infrastructures connexes, l'exploitation minière, le traitement, le</w:t>
            </w:r>
            <w:r w:rsidR="00BA5079">
              <w:rPr>
                <w:rFonts w:ascii="Trebuchet MS" w:eastAsiaTheme="minorHAnsi" w:hAnsi="Trebuchet MS"/>
              </w:rPr>
              <w:t xml:space="preserve"> transport aval, afin d'inclure</w:t>
            </w:r>
            <w:r>
              <w:rPr>
                <w:rFonts w:ascii="Trebuchet MS" w:eastAsiaTheme="minorHAnsi" w:hAnsi="Trebuchet MS"/>
              </w:rPr>
              <w:t>:</w:t>
            </w:r>
          </w:p>
          <w:p w14:paraId="609FEADE" w14:textId="77777777" w:rsidR="008553D6" w:rsidRPr="00DC17A0" w:rsidRDefault="008553D6" w:rsidP="00C01620">
            <w:pPr>
              <w:pStyle w:val="NoSpacing"/>
              <w:numPr>
                <w:ilvl w:val="1"/>
                <w:numId w:val="3"/>
              </w:numPr>
              <w:ind w:left="1800"/>
              <w:rPr>
                <w:rFonts w:ascii="Trebuchet MS" w:eastAsiaTheme="minorHAnsi" w:hAnsi="Trebuchet MS" w:cs="Open Sans Light"/>
              </w:rPr>
            </w:pPr>
            <w:r>
              <w:rPr>
                <w:rFonts w:ascii="Trebuchet MS" w:eastAsiaTheme="minorHAnsi" w:hAnsi="Trebuchet MS"/>
              </w:rPr>
              <w:t>Les marchandises</w:t>
            </w:r>
          </w:p>
          <w:p w14:paraId="72021EE9" w14:textId="77777777" w:rsidR="008553D6" w:rsidRPr="00DC17A0" w:rsidRDefault="008553D6" w:rsidP="00C01620">
            <w:pPr>
              <w:pStyle w:val="NoSpacing"/>
              <w:numPr>
                <w:ilvl w:val="1"/>
                <w:numId w:val="3"/>
              </w:numPr>
              <w:ind w:left="1800"/>
              <w:rPr>
                <w:rFonts w:ascii="Trebuchet MS" w:eastAsiaTheme="minorHAnsi" w:hAnsi="Trebuchet MS" w:cs="Open Sans Light"/>
              </w:rPr>
            </w:pPr>
            <w:r>
              <w:rPr>
                <w:rFonts w:ascii="Trebuchet MS" w:eastAsiaTheme="minorHAnsi" w:hAnsi="Trebuchet MS"/>
              </w:rPr>
              <w:t>La nature de l'exploitation minière, le traitement et le transport</w:t>
            </w:r>
          </w:p>
          <w:p w14:paraId="5668CFCC" w14:textId="6AB38A9B" w:rsidR="008553D6" w:rsidRPr="00DC17A0" w:rsidRDefault="00BA5079" w:rsidP="00C01620">
            <w:pPr>
              <w:pStyle w:val="NoSpacing"/>
              <w:numPr>
                <w:ilvl w:val="1"/>
                <w:numId w:val="3"/>
              </w:numPr>
              <w:ind w:left="1800"/>
              <w:rPr>
                <w:rFonts w:ascii="Trebuchet MS" w:eastAsiaTheme="minorHAnsi" w:hAnsi="Trebuchet MS" w:cs="Open Sans Light"/>
              </w:rPr>
            </w:pPr>
            <w:r>
              <w:rPr>
                <w:rFonts w:ascii="Trebuchet MS" w:eastAsiaTheme="minorHAnsi" w:hAnsi="Trebuchet MS"/>
              </w:rPr>
              <w:t>La</w:t>
            </w:r>
            <w:r w:rsidR="008553D6">
              <w:rPr>
                <w:rFonts w:ascii="Trebuchet MS" w:eastAsiaTheme="minorHAnsi" w:hAnsi="Trebuchet MS"/>
              </w:rPr>
              <w:t xml:space="preserve"> durée de vie de la mine</w:t>
            </w:r>
            <w:r w:rsidR="00CF31EC">
              <w:rPr>
                <w:rFonts w:ascii="Trebuchet MS" w:eastAsiaTheme="minorHAnsi" w:hAnsi="Trebuchet MS"/>
              </w:rPr>
              <w:t xml:space="preserve"> </w:t>
            </w:r>
            <w:r w:rsidR="008553D6">
              <w:rPr>
                <w:rFonts w:ascii="Trebuchet MS" w:eastAsiaTheme="minorHAnsi" w:hAnsi="Trebuchet MS"/>
              </w:rPr>
              <w:t>et les prolongations potentielles étant donné les ressources et les réserves.</w:t>
            </w:r>
          </w:p>
          <w:p w14:paraId="0DF8A865" w14:textId="77777777" w:rsidR="008553D6" w:rsidRPr="00DC17A0" w:rsidRDefault="008553D6" w:rsidP="00C01620">
            <w:pPr>
              <w:pStyle w:val="NoSpacing"/>
              <w:numPr>
                <w:ilvl w:val="1"/>
                <w:numId w:val="2"/>
              </w:numPr>
              <w:ind w:left="1134" w:hanging="425"/>
              <w:rPr>
                <w:rFonts w:ascii="Trebuchet MS" w:eastAsiaTheme="minorHAnsi" w:hAnsi="Trebuchet MS" w:cs="Open Sans Light"/>
              </w:rPr>
            </w:pPr>
            <w:r>
              <w:rPr>
                <w:rFonts w:ascii="Trebuchet MS" w:eastAsiaTheme="minorHAnsi" w:hAnsi="Trebuchet MS"/>
              </w:rPr>
              <w:t>Aperçu des projets d'immobilisations prévus, y compris les calendriers prévus</w:t>
            </w:r>
          </w:p>
          <w:p w14:paraId="1760D1A8" w14:textId="77777777" w:rsidR="008553D6" w:rsidRPr="00DC17A0" w:rsidRDefault="008553D6" w:rsidP="00C01620">
            <w:pPr>
              <w:pStyle w:val="NoSpacing"/>
              <w:numPr>
                <w:ilvl w:val="0"/>
                <w:numId w:val="2"/>
              </w:numPr>
              <w:rPr>
                <w:rFonts w:ascii="Trebuchet MS" w:eastAsiaTheme="minorHAnsi" w:hAnsi="Trebuchet MS" w:cs="Open Sans Light"/>
              </w:rPr>
            </w:pPr>
            <w:r>
              <w:rPr>
                <w:rFonts w:ascii="Trebuchet MS" w:eastAsiaTheme="minorHAnsi" w:hAnsi="Trebuchet MS"/>
              </w:rPr>
              <w:t>Les efforts entrepris pour soutenir l'approvisionnement local, les réussites et leçons</w:t>
            </w:r>
          </w:p>
          <w:p w14:paraId="7857DEE3" w14:textId="60B57C4F" w:rsidR="00C92C92" w:rsidRPr="00DC17A0" w:rsidRDefault="00C92C92" w:rsidP="00C01620">
            <w:pPr>
              <w:pStyle w:val="NoSpacing"/>
              <w:numPr>
                <w:ilvl w:val="0"/>
                <w:numId w:val="2"/>
              </w:numPr>
              <w:rPr>
                <w:rFonts w:ascii="Trebuchet MS" w:eastAsiaTheme="minorHAnsi" w:hAnsi="Trebuchet MS" w:cs="Open Sans Light"/>
              </w:rPr>
            </w:pPr>
            <w:r>
              <w:rPr>
                <w:rFonts w:ascii="Trebuchet MS" w:eastAsiaTheme="minorHAnsi" w:hAnsi="Trebuchet MS"/>
              </w:rPr>
              <w:t>Le contexte socio-économique local et national, notamment la taille de la population et la démographie,</w:t>
            </w:r>
            <w:r w:rsidR="00CF31EC">
              <w:rPr>
                <w:rFonts w:ascii="Trebuchet MS" w:eastAsiaTheme="minorHAnsi" w:hAnsi="Trebuchet MS"/>
              </w:rPr>
              <w:t xml:space="preserve"> </w:t>
            </w:r>
            <w:r>
              <w:rPr>
                <w:rFonts w:ascii="Trebuchet MS" w:eastAsiaTheme="minorHAnsi" w:hAnsi="Trebuchet MS"/>
              </w:rPr>
              <w:t>le taux d'emploi et la pauvreté, les principaux secteurs et</w:t>
            </w:r>
            <w:r w:rsidR="00CF31EC">
              <w:rPr>
                <w:rFonts w:ascii="Trebuchet MS" w:eastAsiaTheme="minorHAnsi" w:hAnsi="Trebuchet MS"/>
              </w:rPr>
              <w:t xml:space="preserve"> </w:t>
            </w:r>
            <w:r>
              <w:rPr>
                <w:rFonts w:ascii="Trebuchet MS" w:eastAsiaTheme="minorHAnsi" w:hAnsi="Trebuchet MS"/>
              </w:rPr>
              <w:t>autres grands acheteurs, le nombre d'entreprises et le niveau de sophistication, les zones de croissance prioritaires</w:t>
            </w:r>
          </w:p>
          <w:p w14:paraId="5E0EA7E5" w14:textId="04D955EC" w:rsidR="00C92C92" w:rsidRPr="00DC17A0" w:rsidRDefault="00C92C92" w:rsidP="00C01620">
            <w:pPr>
              <w:pStyle w:val="NoSpacing"/>
              <w:numPr>
                <w:ilvl w:val="0"/>
                <w:numId w:val="2"/>
              </w:numPr>
              <w:rPr>
                <w:rFonts w:ascii="Trebuchet MS" w:eastAsiaTheme="minorHAnsi" w:hAnsi="Trebuchet MS" w:cs="Open Sans Light"/>
              </w:rPr>
            </w:pPr>
            <w:r>
              <w:rPr>
                <w:rFonts w:ascii="Trebuchet MS" w:eastAsiaTheme="minorHAnsi" w:hAnsi="Trebuchet MS"/>
              </w:rPr>
              <w:t>Contexte réglementaire / obligations e</w:t>
            </w:r>
            <w:r w:rsidR="00BA5079">
              <w:rPr>
                <w:rFonts w:ascii="Trebuchet MS" w:eastAsiaTheme="minorHAnsi" w:hAnsi="Trebuchet MS"/>
              </w:rPr>
              <w:t>n</w:t>
            </w:r>
            <w:r>
              <w:rPr>
                <w:rFonts w:ascii="Trebuchet MS" w:eastAsiaTheme="minorHAnsi" w:hAnsi="Trebuchet MS"/>
              </w:rPr>
              <w:t xml:space="preserve"> termes de code minier/ convention de développement</w:t>
            </w:r>
            <w:r w:rsidR="00CF31EC">
              <w:rPr>
                <w:rFonts w:ascii="Trebuchet MS" w:eastAsiaTheme="minorHAnsi" w:hAnsi="Trebuchet MS"/>
              </w:rPr>
              <w:t xml:space="preserve"> </w:t>
            </w:r>
            <w:r>
              <w:rPr>
                <w:rFonts w:ascii="Trebuchet MS" w:eastAsiaTheme="minorHAnsi" w:hAnsi="Trebuchet MS"/>
              </w:rPr>
              <w:t xml:space="preserve">minéral et/ou processus d'octroi de permis et les évolutions attendues </w:t>
            </w:r>
          </w:p>
          <w:p w14:paraId="734BD8BA" w14:textId="7FA7C758" w:rsidR="00C92C92" w:rsidRPr="00DC17A0" w:rsidRDefault="00C92C92" w:rsidP="00C01620">
            <w:pPr>
              <w:pStyle w:val="NoSpacing"/>
              <w:numPr>
                <w:ilvl w:val="0"/>
                <w:numId w:val="2"/>
              </w:numPr>
              <w:rPr>
                <w:rFonts w:ascii="Trebuchet MS" w:eastAsiaTheme="minorHAnsi" w:hAnsi="Trebuchet MS" w:cs="Open Sans Light"/>
              </w:rPr>
            </w:pPr>
            <w:r>
              <w:rPr>
                <w:rFonts w:ascii="Trebuchet MS" w:eastAsiaTheme="minorHAnsi" w:hAnsi="Trebuchet MS"/>
              </w:rPr>
              <w:t>Contexte institutionnel,</w:t>
            </w:r>
            <w:r w:rsidR="00CF31EC">
              <w:rPr>
                <w:rFonts w:ascii="Trebuchet MS" w:eastAsiaTheme="minorHAnsi" w:hAnsi="Trebuchet MS"/>
              </w:rPr>
              <w:t xml:space="preserve"> </w:t>
            </w:r>
            <w:r>
              <w:rPr>
                <w:rFonts w:ascii="Trebuchet MS" w:eastAsiaTheme="minorHAnsi" w:hAnsi="Trebuchet MS"/>
              </w:rPr>
              <w:t xml:space="preserve">y compris les défis relatifs au développement et à la mise en place du plan </w:t>
            </w:r>
          </w:p>
          <w:p w14:paraId="3FC63DEC" w14:textId="77777777" w:rsidR="00C92C92" w:rsidRPr="00DC17A0" w:rsidRDefault="00C92C92" w:rsidP="00C01620">
            <w:pPr>
              <w:pStyle w:val="NoSpacing"/>
              <w:ind w:left="720"/>
              <w:rPr>
                <w:rFonts w:ascii="Trebuchet MS" w:eastAsiaTheme="minorHAnsi" w:hAnsi="Trebuchet MS" w:cs="Open Sans Light"/>
              </w:rPr>
            </w:pPr>
          </w:p>
          <w:p w14:paraId="3342655F" w14:textId="77777777" w:rsidR="008553D6" w:rsidRPr="00DC17A0" w:rsidRDefault="008553D6"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1537B0CD" w14:textId="66ED2948" w:rsidR="008553D6" w:rsidRPr="00DC17A0" w:rsidRDefault="004601B1" w:rsidP="00C01620">
            <w:pPr>
              <w:pStyle w:val="NoSpacing"/>
              <w:rPr>
                <w:rFonts w:ascii="Trebuchet MS" w:eastAsiaTheme="minorHAnsi" w:hAnsi="Trebuchet MS" w:cs="Open Sans Light"/>
              </w:rPr>
            </w:pPr>
            <w:r>
              <w:rPr>
                <w:rFonts w:ascii="Trebuchet MS" w:eastAsiaTheme="minorHAnsi" w:hAnsi="Trebuchet MS"/>
              </w:rPr>
              <w:t>Lorsque la société minière a une approche normalisée pour l'évaluation socio- économique, celle-ci qui peut être utilisée pour remplir cette section.</w:t>
            </w:r>
            <w:r w:rsidR="00CF31EC">
              <w:rPr>
                <w:rFonts w:ascii="Trebuchet MS" w:eastAsiaTheme="minorHAnsi" w:hAnsi="Trebuchet MS"/>
              </w:rPr>
              <w:t xml:space="preserve"> </w:t>
            </w:r>
            <w:r>
              <w:rPr>
                <w:rFonts w:ascii="Trebuchet MS" w:eastAsiaTheme="minorHAnsi" w:hAnsi="Trebuchet MS"/>
              </w:rPr>
              <w:t xml:space="preserve">Le rédacteur peut aussi s'appuyer sur les rapports de faisabilité, EIE et d'impact sur la communauté, ainsi que sur les statistiques nationales et les rapports et stratégies économiques. </w:t>
            </w:r>
          </w:p>
          <w:p w14:paraId="1486604C" w14:textId="77777777" w:rsidR="00A46D93" w:rsidRPr="00DC17A0" w:rsidRDefault="00A46D93" w:rsidP="00C01620">
            <w:pPr>
              <w:pStyle w:val="NoSpacing"/>
              <w:rPr>
                <w:rFonts w:ascii="Trebuchet MS" w:eastAsiaTheme="minorHAnsi" w:hAnsi="Trebuchet MS" w:cs="Open Sans Light"/>
              </w:rPr>
            </w:pPr>
          </w:p>
          <w:p w14:paraId="02290374" w14:textId="77777777" w:rsidR="00A46D93" w:rsidRPr="00DC17A0"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2 à 5 pages</w:t>
            </w:r>
          </w:p>
          <w:p w14:paraId="7A762352" w14:textId="77777777" w:rsidR="00A46D93" w:rsidRPr="00854CDE" w:rsidRDefault="00A46D93" w:rsidP="00C01620">
            <w:pPr>
              <w:pStyle w:val="NoSpacing"/>
              <w:rPr>
                <w:rFonts w:ascii="Trebuchet MS" w:hAnsi="Trebuchet MS" w:cs="Open Sans Light"/>
                <w:b/>
              </w:rPr>
            </w:pPr>
          </w:p>
        </w:tc>
      </w:tr>
    </w:tbl>
    <w:p w14:paraId="31550791" w14:textId="77777777" w:rsidR="008553D6" w:rsidRPr="00854CDE" w:rsidRDefault="008553D6" w:rsidP="00C01620">
      <w:pPr>
        <w:autoSpaceDE w:val="0"/>
        <w:autoSpaceDN w:val="0"/>
        <w:adjustRightInd w:val="0"/>
        <w:spacing w:after="0" w:line="240" w:lineRule="auto"/>
        <w:rPr>
          <w:rFonts w:ascii="Trebuchet MS" w:hAnsi="Trebuchet MS" w:cs="Open Sans Light"/>
          <w:b/>
          <w:bCs/>
          <w:color w:val="2D2D2D"/>
        </w:rPr>
      </w:pPr>
    </w:p>
    <w:p w14:paraId="261009B6" w14:textId="77777777" w:rsidR="00242FF7" w:rsidRPr="00854CDE" w:rsidRDefault="00242FF7" w:rsidP="00C01620">
      <w:pPr>
        <w:autoSpaceDE w:val="0"/>
        <w:autoSpaceDN w:val="0"/>
        <w:adjustRightInd w:val="0"/>
        <w:spacing w:after="0" w:line="240" w:lineRule="auto"/>
        <w:rPr>
          <w:rFonts w:ascii="Trebuchet MS" w:hAnsi="Trebuchet MS" w:cs="TimesNewRomanPS"/>
          <w:i/>
          <w:color w:val="2D2D2D"/>
        </w:rPr>
      </w:pPr>
    </w:p>
    <w:p w14:paraId="50516242"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5D336154" w14:textId="6B2D23EB" w:rsidR="00971383" w:rsidRPr="00854CDE" w:rsidRDefault="00242FF7" w:rsidP="00B6776D">
      <w:pPr>
        <w:pStyle w:val="Heading1"/>
      </w:pPr>
      <w:bookmarkStart w:id="5" w:name="_Toc267921286"/>
      <w:bookmarkStart w:id="6" w:name="_Toc394344741"/>
      <w:r>
        <w:lastRenderedPageBreak/>
        <w:t>Déclaration/ vision d'ensemble pour l'approvisionnement local</w:t>
      </w:r>
      <w:bookmarkEnd w:id="5"/>
      <w:bookmarkEnd w:id="6"/>
    </w:p>
    <w:p w14:paraId="1729CE2D" w14:textId="77777777" w:rsidR="00817760" w:rsidRPr="00854CDE" w:rsidRDefault="00817760" w:rsidP="00C01620">
      <w:pPr>
        <w:spacing w:after="0" w:line="240" w:lineRule="auto"/>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971383" w:rsidRPr="00854CDE" w14:paraId="0B6B457B" w14:textId="77777777" w:rsidTr="00651C2A">
        <w:trPr>
          <w:trHeight w:val="4012"/>
        </w:trPr>
        <w:tc>
          <w:tcPr>
            <w:tcW w:w="9242" w:type="dxa"/>
            <w:shd w:val="clear" w:color="auto" w:fill="auto"/>
          </w:tcPr>
          <w:p w14:paraId="39D75516" w14:textId="77777777" w:rsidR="00971383" w:rsidRPr="00854CDE" w:rsidRDefault="00971383" w:rsidP="00C01620">
            <w:pPr>
              <w:pStyle w:val="NoSpacing"/>
              <w:rPr>
                <w:rFonts w:ascii="Trebuchet MS" w:eastAsiaTheme="minorHAnsi" w:hAnsi="Trebuchet MS" w:cs="Open Sans Light"/>
              </w:rPr>
            </w:pPr>
          </w:p>
          <w:p w14:paraId="14E80470" w14:textId="77777777" w:rsidR="00971383" w:rsidRPr="00854CDE" w:rsidRDefault="00971383" w:rsidP="00C01620">
            <w:pPr>
              <w:pStyle w:val="NoSpacing"/>
              <w:rPr>
                <w:rFonts w:ascii="Trebuchet MS" w:eastAsiaTheme="minorHAnsi" w:hAnsi="Trebuchet MS" w:cs="Open Sans Light"/>
                <w:b/>
              </w:rPr>
            </w:pPr>
            <w:r>
              <w:rPr>
                <w:rFonts w:ascii="Trebuchet MS" w:eastAsiaTheme="minorHAnsi" w:hAnsi="Trebuchet MS"/>
                <w:b/>
              </w:rPr>
              <w:t>Domaines clés :</w:t>
            </w:r>
          </w:p>
          <w:p w14:paraId="23FEEF31" w14:textId="1974B016" w:rsidR="008553D6" w:rsidRPr="00854CDE" w:rsidRDefault="008553D6" w:rsidP="00C01620">
            <w:pPr>
              <w:pStyle w:val="NoSpacing"/>
              <w:rPr>
                <w:rFonts w:ascii="Trebuchet MS" w:eastAsiaTheme="minorHAnsi" w:hAnsi="Trebuchet MS" w:cs="Open Sans Light"/>
              </w:rPr>
            </w:pPr>
            <w:r>
              <w:rPr>
                <w:rFonts w:ascii="Trebuchet MS" w:eastAsiaTheme="minorHAnsi" w:hAnsi="Trebuchet MS"/>
              </w:rPr>
              <w:t>Déclaration générale sur la vision pour l'approvisionnement local alignée sur les principes</w:t>
            </w:r>
            <w:r w:rsidR="00CF31EC">
              <w:rPr>
                <w:rFonts w:ascii="Trebuchet MS" w:eastAsiaTheme="minorHAnsi" w:hAnsi="Trebuchet MS"/>
              </w:rPr>
              <w:t xml:space="preserve"> </w:t>
            </w:r>
            <w:r>
              <w:rPr>
                <w:rFonts w:ascii="Trebuchet MS" w:eastAsiaTheme="minorHAnsi" w:hAnsi="Trebuchet MS"/>
              </w:rPr>
              <w:t>commerciaux plus larges relatifs à la citoyenneté d'entreprise, la pérennité</w:t>
            </w:r>
            <w:r w:rsidR="00CF31EC">
              <w:rPr>
                <w:rFonts w:ascii="Trebuchet MS" w:eastAsiaTheme="minorHAnsi" w:hAnsi="Trebuchet MS"/>
              </w:rPr>
              <w:t xml:space="preserve"> </w:t>
            </w:r>
            <w:r>
              <w:rPr>
                <w:rFonts w:ascii="Trebuchet MS" w:eastAsiaTheme="minorHAnsi" w:hAnsi="Trebuchet MS"/>
              </w:rPr>
              <w:t xml:space="preserve">et les objectifs commerciaux. </w:t>
            </w:r>
          </w:p>
          <w:p w14:paraId="1E566F75" w14:textId="77777777" w:rsidR="004879BD" w:rsidRDefault="004879BD" w:rsidP="00C01620">
            <w:pPr>
              <w:pStyle w:val="NoSpacing"/>
              <w:rPr>
                <w:rFonts w:ascii="Trebuchet MS" w:eastAsiaTheme="minorHAnsi" w:hAnsi="Trebuchet MS" w:cs="Open Sans Light"/>
              </w:rPr>
            </w:pPr>
          </w:p>
          <w:p w14:paraId="062AEE9D" w14:textId="449E2603" w:rsidR="008553D6" w:rsidRPr="00854CDE" w:rsidRDefault="008553D6" w:rsidP="00C01620">
            <w:pPr>
              <w:pStyle w:val="NoSpacing"/>
              <w:rPr>
                <w:rFonts w:ascii="Trebuchet MS" w:eastAsiaTheme="minorHAnsi" w:hAnsi="Trebuchet MS" w:cs="Open Sans Light"/>
              </w:rPr>
            </w:pPr>
            <w:r>
              <w:rPr>
                <w:rFonts w:ascii="Trebuchet MS" w:eastAsiaTheme="minorHAnsi" w:hAnsi="Trebuchet MS"/>
              </w:rPr>
              <w:t>Les objectifs stratégiques pour accroitre l'approvisionnement local</w:t>
            </w:r>
            <w:r w:rsidR="00CF31EC">
              <w:rPr>
                <w:rFonts w:ascii="Trebuchet MS" w:eastAsiaTheme="minorHAnsi" w:hAnsi="Trebuchet MS"/>
              </w:rPr>
              <w:t xml:space="preserve"> </w:t>
            </w:r>
            <w:r>
              <w:rPr>
                <w:rFonts w:ascii="Trebuchet MS" w:eastAsiaTheme="minorHAnsi" w:hAnsi="Trebuchet MS"/>
              </w:rPr>
              <w:t>peuvent inclure :</w:t>
            </w:r>
          </w:p>
          <w:p w14:paraId="3810BF46" w14:textId="6AD3EC1B" w:rsidR="00AF7F35" w:rsidRPr="00854CDE" w:rsidRDefault="00AF7F35" w:rsidP="00C01620">
            <w:pPr>
              <w:pStyle w:val="NoSpacing"/>
              <w:numPr>
                <w:ilvl w:val="0"/>
                <w:numId w:val="10"/>
              </w:numPr>
              <w:rPr>
                <w:rFonts w:ascii="Trebuchet MS" w:eastAsiaTheme="minorHAnsi" w:hAnsi="Trebuchet MS" w:cs="Open Sans Light"/>
              </w:rPr>
            </w:pPr>
            <w:r>
              <w:rPr>
                <w:rFonts w:ascii="Trebuchet MS" w:eastAsiaTheme="minorHAnsi" w:hAnsi="Trebuchet MS"/>
              </w:rPr>
              <w:t>Une amélioration de la fiabilité de l'approvisionnement,</w:t>
            </w:r>
            <w:r w:rsidR="00CF31EC">
              <w:rPr>
                <w:rFonts w:ascii="Trebuchet MS" w:eastAsiaTheme="minorHAnsi" w:hAnsi="Trebuchet MS"/>
              </w:rPr>
              <w:t xml:space="preserve"> </w:t>
            </w:r>
            <w:r>
              <w:rPr>
                <w:rFonts w:ascii="Trebuchet MS" w:eastAsiaTheme="minorHAnsi" w:hAnsi="Trebuchet MS"/>
              </w:rPr>
              <w:t>une réduction des coûts logistiques</w:t>
            </w:r>
            <w:r w:rsidR="00CF31EC">
              <w:rPr>
                <w:rFonts w:ascii="Trebuchet MS" w:eastAsiaTheme="minorHAnsi" w:hAnsi="Trebuchet MS"/>
              </w:rPr>
              <w:t xml:space="preserve"> </w:t>
            </w:r>
            <w:r>
              <w:rPr>
                <w:rFonts w:ascii="Trebuchet MS" w:eastAsiaTheme="minorHAnsi" w:hAnsi="Trebuchet MS"/>
              </w:rPr>
              <w:t xml:space="preserve">et des niveaux de stocks (en particulier pour les produits) </w:t>
            </w:r>
          </w:p>
          <w:p w14:paraId="7586A9C8" w14:textId="77777777" w:rsidR="00AF7F35" w:rsidRPr="00854CDE" w:rsidRDefault="00AF7F35" w:rsidP="00C01620">
            <w:pPr>
              <w:pStyle w:val="NoSpacing"/>
              <w:numPr>
                <w:ilvl w:val="0"/>
                <w:numId w:val="10"/>
              </w:numPr>
              <w:rPr>
                <w:rFonts w:ascii="Trebuchet MS" w:eastAsiaTheme="minorHAnsi" w:hAnsi="Trebuchet MS" w:cs="Open Sans Light"/>
              </w:rPr>
            </w:pPr>
            <w:r>
              <w:rPr>
                <w:rFonts w:ascii="Trebuchet MS" w:eastAsiaTheme="minorHAnsi" w:hAnsi="Trebuchet MS"/>
              </w:rPr>
              <w:t xml:space="preserve">Une amélioration dans les temps de réponse et le suivi (en particulier pour les services) </w:t>
            </w:r>
          </w:p>
          <w:p w14:paraId="4A2C5731" w14:textId="77777777" w:rsidR="00AF7F35" w:rsidRPr="00854CDE" w:rsidRDefault="00AF7F35" w:rsidP="00C01620">
            <w:pPr>
              <w:pStyle w:val="NoSpacing"/>
              <w:numPr>
                <w:ilvl w:val="0"/>
                <w:numId w:val="10"/>
              </w:numPr>
              <w:rPr>
                <w:rFonts w:ascii="Trebuchet MS" w:eastAsiaTheme="minorHAnsi" w:hAnsi="Trebuchet MS" w:cs="Open Sans Light"/>
              </w:rPr>
            </w:pPr>
            <w:r>
              <w:rPr>
                <w:rFonts w:ascii="Trebuchet MS" w:eastAsiaTheme="minorHAnsi" w:hAnsi="Trebuchet MS"/>
              </w:rPr>
              <w:t>Un approvisionnement et une résolution de problème adaptés aux besoins du clients pour répondre aux conditions locales</w:t>
            </w:r>
          </w:p>
          <w:p w14:paraId="2219BE41" w14:textId="65247EE9" w:rsidR="00AF7F35" w:rsidRDefault="00196B31" w:rsidP="00C01620">
            <w:pPr>
              <w:pStyle w:val="NoSpacing"/>
              <w:numPr>
                <w:ilvl w:val="0"/>
                <w:numId w:val="10"/>
              </w:numPr>
              <w:rPr>
                <w:rFonts w:ascii="Trebuchet MS" w:eastAsiaTheme="minorHAnsi" w:hAnsi="Trebuchet MS" w:cs="Open Sans Light"/>
              </w:rPr>
            </w:pPr>
            <w:r>
              <w:rPr>
                <w:rFonts w:ascii="Trebuchet MS" w:eastAsiaTheme="minorHAnsi" w:hAnsi="Trebuchet MS"/>
              </w:rPr>
              <w:t xml:space="preserve">Un soutien pour accroitre la légitimité sociale, notamment la réputation de la mine, les perceptions au niveau de la communauté et du pays de l'héritage socio-économique durable de l'exploitation minière et les </w:t>
            </w:r>
            <w:r w:rsidR="00BA5079">
              <w:rPr>
                <w:rFonts w:ascii="Trebuchet MS" w:eastAsiaTheme="minorHAnsi" w:hAnsi="Trebuchet MS"/>
              </w:rPr>
              <w:t>contributions pour le développement</w:t>
            </w:r>
            <w:r>
              <w:rPr>
                <w:rFonts w:ascii="Trebuchet MS" w:eastAsiaTheme="minorHAnsi" w:hAnsi="Trebuchet MS"/>
              </w:rPr>
              <w:t xml:space="preserve"> en termes de création d'emploi, de création d'entreprises et d'amélioration des capacités économiques. </w:t>
            </w:r>
          </w:p>
          <w:p w14:paraId="74FEA142" w14:textId="77777777" w:rsidR="004879BD" w:rsidRDefault="00196B31" w:rsidP="00C01620">
            <w:pPr>
              <w:pStyle w:val="NoSpacing"/>
              <w:numPr>
                <w:ilvl w:val="0"/>
                <w:numId w:val="10"/>
              </w:numPr>
              <w:rPr>
                <w:rFonts w:ascii="Trebuchet MS" w:eastAsiaTheme="minorHAnsi" w:hAnsi="Trebuchet MS" w:cs="Open Sans Light"/>
              </w:rPr>
            </w:pPr>
            <w:r>
              <w:rPr>
                <w:rFonts w:ascii="Trebuchet MS" w:eastAsiaTheme="minorHAnsi" w:hAnsi="Trebuchet MS"/>
              </w:rPr>
              <w:t xml:space="preserve">Une contribution pour donner à l'entreprise l'image de marque d'une entreprise citoyenne. </w:t>
            </w:r>
          </w:p>
          <w:p w14:paraId="50A49A14" w14:textId="6F7DC5DF" w:rsidR="00196B31" w:rsidRPr="00854CDE" w:rsidRDefault="00BA5079" w:rsidP="00C01620">
            <w:pPr>
              <w:pStyle w:val="NoSpacing"/>
              <w:numPr>
                <w:ilvl w:val="0"/>
                <w:numId w:val="10"/>
              </w:numPr>
              <w:rPr>
                <w:rFonts w:ascii="Trebuchet MS" w:eastAsiaTheme="minorHAnsi" w:hAnsi="Trebuchet MS" w:cs="Open Sans Light"/>
              </w:rPr>
            </w:pPr>
            <w:r>
              <w:rPr>
                <w:rFonts w:ascii="Trebuchet MS" w:eastAsiaTheme="minorHAnsi" w:hAnsi="Trebuchet MS"/>
              </w:rPr>
              <w:t>Un</w:t>
            </w:r>
            <w:r w:rsidR="00196B31">
              <w:rPr>
                <w:rFonts w:ascii="Trebuchet MS" w:eastAsiaTheme="minorHAnsi" w:hAnsi="Trebuchet MS"/>
              </w:rPr>
              <w:t xml:space="preserve"> soutien pour</w:t>
            </w:r>
            <w:r w:rsidR="00CF31EC">
              <w:rPr>
                <w:rFonts w:ascii="Trebuchet MS" w:eastAsiaTheme="minorHAnsi" w:hAnsi="Trebuchet MS"/>
              </w:rPr>
              <w:t xml:space="preserve"> </w:t>
            </w:r>
            <w:r w:rsidR="00196B31">
              <w:rPr>
                <w:rFonts w:ascii="Trebuchet MS" w:eastAsiaTheme="minorHAnsi" w:hAnsi="Trebuchet MS"/>
              </w:rPr>
              <w:t xml:space="preserve">le respect de réglementations "souples" ou "strictes", notamment tous les accords nationaux et internationaux signés par l'entreprise, ainsi que la législation et réglementation nationales. </w:t>
            </w:r>
          </w:p>
          <w:p w14:paraId="55B7E2A2" w14:textId="77777777" w:rsidR="00651C2A" w:rsidRPr="00854CDE" w:rsidRDefault="00651C2A" w:rsidP="00C01620">
            <w:pPr>
              <w:pStyle w:val="NoSpacing"/>
              <w:rPr>
                <w:rFonts w:ascii="Trebuchet MS" w:eastAsiaTheme="minorHAnsi" w:hAnsi="Trebuchet MS" w:cs="Open Sans Light"/>
                <w:b/>
              </w:rPr>
            </w:pPr>
          </w:p>
          <w:p w14:paraId="0A7E33E0"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2698D5BE" w14:textId="352556F4" w:rsidR="008553D6" w:rsidRDefault="00196B31" w:rsidP="00C01620">
            <w:pPr>
              <w:pStyle w:val="NoSpacing"/>
              <w:rPr>
                <w:rFonts w:ascii="Trebuchet MS" w:eastAsiaTheme="minorHAnsi" w:hAnsi="Trebuchet MS" w:cs="Open Sans Light"/>
              </w:rPr>
            </w:pPr>
            <w:r>
              <w:rPr>
                <w:rFonts w:ascii="Trebuchet MS" w:eastAsiaTheme="minorHAnsi" w:hAnsi="Trebuchet MS"/>
              </w:rPr>
              <w:t>Cette section pourrait également traiter la contribution de la vision d'approvisionnement local pour l'ensemble de la mine/ du projet, la vision de la société ou de la chambre des mines, et éventuellement la vision du pays (en fonction du niveau auqeul le plan est mis en place).</w:t>
            </w:r>
            <w:r w:rsidR="00CF31EC">
              <w:rPr>
                <w:rFonts w:ascii="Trebuchet MS" w:eastAsiaTheme="minorHAnsi" w:hAnsi="Trebuchet MS"/>
              </w:rPr>
              <w:t xml:space="preserve"> </w:t>
            </w:r>
            <w:r>
              <w:rPr>
                <w:rFonts w:ascii="Trebuchet MS" w:eastAsiaTheme="minorHAnsi" w:hAnsi="Trebuchet MS"/>
              </w:rPr>
              <w:t xml:space="preserve"> </w:t>
            </w:r>
          </w:p>
          <w:p w14:paraId="504CAACC" w14:textId="77777777" w:rsidR="00A46D93" w:rsidRDefault="00A46D93" w:rsidP="00C01620">
            <w:pPr>
              <w:pStyle w:val="NoSpacing"/>
              <w:rPr>
                <w:rFonts w:ascii="Trebuchet MS" w:eastAsiaTheme="minorHAnsi" w:hAnsi="Trebuchet MS" w:cs="Open Sans Light"/>
              </w:rPr>
            </w:pPr>
          </w:p>
          <w:p w14:paraId="2841269B"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1 page</w:t>
            </w:r>
          </w:p>
          <w:p w14:paraId="6672E19F" w14:textId="77777777" w:rsidR="00A46D93" w:rsidRPr="00854CDE" w:rsidRDefault="00A46D93" w:rsidP="00C01620">
            <w:pPr>
              <w:pStyle w:val="NoSpacing"/>
              <w:rPr>
                <w:rFonts w:ascii="Trebuchet MS" w:eastAsiaTheme="minorHAnsi" w:hAnsi="Trebuchet MS" w:cs="Open Sans Light"/>
              </w:rPr>
            </w:pPr>
          </w:p>
          <w:p w14:paraId="60467E61" w14:textId="77777777" w:rsidR="00B0337F" w:rsidRPr="00854CDE" w:rsidRDefault="00B0337F" w:rsidP="00C01620">
            <w:pPr>
              <w:pStyle w:val="NoSpacing"/>
              <w:rPr>
                <w:rFonts w:ascii="Trebuchet MS" w:hAnsi="Trebuchet MS" w:cs="Open Sans Light"/>
              </w:rPr>
            </w:pPr>
          </w:p>
        </w:tc>
      </w:tr>
    </w:tbl>
    <w:p w14:paraId="2D5524ED"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p w14:paraId="36765624" w14:textId="77777777" w:rsidR="00971383" w:rsidRPr="00854CDE" w:rsidRDefault="00971383" w:rsidP="00C01620">
      <w:pPr>
        <w:spacing w:after="0" w:line="240" w:lineRule="auto"/>
        <w:rPr>
          <w:rFonts w:ascii="Trebuchet MS" w:hAnsi="Trebuchet MS"/>
        </w:rPr>
      </w:pPr>
    </w:p>
    <w:p w14:paraId="74D365D6"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6CF6BCDF" w14:textId="77777777" w:rsidR="00B0337F" w:rsidRPr="00854CDE" w:rsidRDefault="00B0337F" w:rsidP="00B6776D">
      <w:pPr>
        <w:pStyle w:val="Heading1"/>
      </w:pPr>
      <w:bookmarkStart w:id="7" w:name="_Toc267921287"/>
      <w:bookmarkStart w:id="8" w:name="_Toc394344742"/>
      <w:r>
        <w:lastRenderedPageBreak/>
        <w:t>Définitions / glossaire des termes et des indicateurs</w:t>
      </w:r>
      <w:bookmarkEnd w:id="7"/>
      <w:bookmarkEnd w:id="8"/>
    </w:p>
    <w:p w14:paraId="50B8BA36" w14:textId="77777777" w:rsidR="00B0337F" w:rsidRPr="00854CDE" w:rsidRDefault="00B0337F" w:rsidP="00C01620">
      <w:pPr>
        <w:spacing w:after="0" w:line="240" w:lineRule="auto"/>
      </w:pPr>
    </w:p>
    <w:p w14:paraId="59CC858E" w14:textId="77777777" w:rsidR="00B0337F" w:rsidRPr="00854CDE" w:rsidRDefault="00B0337F"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B0337F" w:rsidRPr="00854CDE" w14:paraId="63426415" w14:textId="77777777" w:rsidTr="007C1D4D">
        <w:tc>
          <w:tcPr>
            <w:tcW w:w="9242" w:type="dxa"/>
            <w:shd w:val="clear" w:color="auto" w:fill="auto"/>
          </w:tcPr>
          <w:p w14:paraId="162C6D8F" w14:textId="1EB1150D" w:rsidR="00B0337F" w:rsidRPr="00DC17A0" w:rsidRDefault="00B0337F" w:rsidP="00C01620">
            <w:pPr>
              <w:pStyle w:val="NoSpacing"/>
              <w:rPr>
                <w:rFonts w:ascii="Trebuchet MS" w:eastAsiaTheme="minorHAnsi" w:hAnsi="Trebuchet MS" w:cs="Open Sans Light"/>
              </w:rPr>
            </w:pPr>
          </w:p>
          <w:p w14:paraId="4173B9AD" w14:textId="77777777" w:rsidR="00B0337F" w:rsidRPr="00DC17A0" w:rsidRDefault="00B0337F" w:rsidP="00C01620">
            <w:pPr>
              <w:pStyle w:val="NoSpacing"/>
              <w:rPr>
                <w:rFonts w:ascii="Trebuchet MS" w:eastAsiaTheme="minorHAnsi" w:hAnsi="Trebuchet MS" w:cs="Open Sans Light"/>
                <w:b/>
              </w:rPr>
            </w:pPr>
            <w:r>
              <w:rPr>
                <w:rFonts w:ascii="Trebuchet MS" w:eastAsiaTheme="minorHAnsi" w:hAnsi="Trebuchet MS"/>
                <w:b/>
              </w:rPr>
              <w:t>Domaines clés :</w:t>
            </w:r>
          </w:p>
          <w:p w14:paraId="0FA6FA91" w14:textId="09091473" w:rsidR="00A70E8A" w:rsidRPr="00DC17A0" w:rsidRDefault="00A70E8A" w:rsidP="00C01620">
            <w:pPr>
              <w:pStyle w:val="NoSpacing"/>
              <w:rPr>
                <w:rFonts w:ascii="Trebuchet MS" w:eastAsiaTheme="minorHAnsi" w:hAnsi="Trebuchet MS" w:cs="Open Sans Light"/>
                <w:i/>
              </w:rPr>
            </w:pPr>
            <w:r>
              <w:rPr>
                <w:rFonts w:ascii="Trebuchet MS" w:eastAsiaTheme="minorHAnsi" w:hAnsi="Trebuchet MS"/>
                <w:i/>
              </w:rPr>
              <w:t>Voir également les module 2 et 8 du guide</w:t>
            </w:r>
          </w:p>
          <w:p w14:paraId="2786D9CE" w14:textId="77777777" w:rsidR="00DD15A8" w:rsidRDefault="00DD15A8" w:rsidP="00C01620">
            <w:pPr>
              <w:pStyle w:val="NoSpacing"/>
              <w:rPr>
                <w:rFonts w:ascii="Trebuchet MS" w:eastAsiaTheme="minorHAnsi" w:hAnsi="Trebuchet MS" w:cs="Open Sans Light"/>
              </w:rPr>
            </w:pPr>
          </w:p>
          <w:p w14:paraId="13E7428D" w14:textId="7BA7A02B" w:rsidR="00B0337F" w:rsidRPr="00DC17A0" w:rsidRDefault="007468C1" w:rsidP="00C01620">
            <w:pPr>
              <w:pStyle w:val="NoSpacing"/>
              <w:rPr>
                <w:rFonts w:ascii="Trebuchet MS" w:eastAsiaTheme="minorHAnsi" w:hAnsi="Trebuchet MS" w:cs="Open Sans Light"/>
              </w:rPr>
            </w:pPr>
            <w:r>
              <w:rPr>
                <w:rFonts w:ascii="Trebuchet MS" w:eastAsiaTheme="minorHAnsi" w:hAnsi="Trebuchet MS"/>
              </w:rPr>
              <w:t xml:space="preserve">Cette section pourrait couvrir les définitions de termes tels que : </w:t>
            </w:r>
          </w:p>
          <w:p w14:paraId="29F0E5B4" w14:textId="77777777" w:rsidR="00A70E8A" w:rsidRPr="00DC17A0" w:rsidRDefault="007468C1" w:rsidP="00C01620">
            <w:pPr>
              <w:pStyle w:val="NoSpacing"/>
              <w:numPr>
                <w:ilvl w:val="0"/>
                <w:numId w:val="11"/>
              </w:numPr>
              <w:rPr>
                <w:rFonts w:ascii="Trebuchet MS" w:eastAsiaTheme="minorHAnsi" w:hAnsi="Trebuchet MS" w:cs="Open Sans Light"/>
              </w:rPr>
            </w:pPr>
            <w:r>
              <w:rPr>
                <w:rFonts w:ascii="Trebuchet MS" w:eastAsiaTheme="minorHAnsi" w:hAnsi="Trebuchet MS"/>
              </w:rPr>
              <w:t>Fournisseur</w:t>
            </w:r>
          </w:p>
          <w:p w14:paraId="19A8F300" w14:textId="77777777" w:rsidR="007468C1" w:rsidRPr="00DC17A0" w:rsidRDefault="007468C1" w:rsidP="00C01620">
            <w:pPr>
              <w:pStyle w:val="NoSpacing"/>
              <w:numPr>
                <w:ilvl w:val="0"/>
                <w:numId w:val="11"/>
              </w:numPr>
              <w:rPr>
                <w:rFonts w:ascii="Trebuchet MS" w:eastAsiaTheme="minorHAnsi" w:hAnsi="Trebuchet MS" w:cs="Open Sans Light"/>
              </w:rPr>
            </w:pPr>
            <w:r>
              <w:rPr>
                <w:rFonts w:ascii="Trebuchet MS" w:eastAsiaTheme="minorHAnsi" w:hAnsi="Trebuchet MS"/>
              </w:rPr>
              <w:t xml:space="preserve">Entrepreneur / entrepreneur principal / fournisseur de premier rang </w:t>
            </w:r>
          </w:p>
          <w:p w14:paraId="017EFADB" w14:textId="77777777" w:rsidR="00437540" w:rsidRPr="00DC17A0" w:rsidRDefault="00437540" w:rsidP="00C01620">
            <w:pPr>
              <w:pStyle w:val="NoSpacing"/>
              <w:numPr>
                <w:ilvl w:val="0"/>
                <w:numId w:val="11"/>
              </w:numPr>
              <w:rPr>
                <w:rFonts w:ascii="Trebuchet MS" w:eastAsiaTheme="minorHAnsi" w:hAnsi="Trebuchet MS" w:cs="Open Sans Light"/>
              </w:rPr>
            </w:pPr>
            <w:r>
              <w:rPr>
                <w:rFonts w:ascii="Trebuchet MS" w:eastAsiaTheme="minorHAnsi" w:hAnsi="Trebuchet MS"/>
              </w:rPr>
              <w:t xml:space="preserve">Contenu local </w:t>
            </w:r>
          </w:p>
          <w:p w14:paraId="7F6A4B58" w14:textId="2CD3B2D8" w:rsidR="007468C1" w:rsidRPr="00DC17A0" w:rsidRDefault="004879BD" w:rsidP="00C01620">
            <w:pPr>
              <w:pStyle w:val="NoSpacing"/>
              <w:numPr>
                <w:ilvl w:val="0"/>
                <w:numId w:val="11"/>
              </w:numPr>
              <w:rPr>
                <w:rFonts w:ascii="Trebuchet MS" w:eastAsiaTheme="minorHAnsi" w:hAnsi="Trebuchet MS" w:cs="Open Sans Light"/>
              </w:rPr>
            </w:pPr>
            <w:r>
              <w:rPr>
                <w:rFonts w:ascii="Trebuchet MS" w:eastAsiaTheme="minorHAnsi" w:hAnsi="Trebuchet MS"/>
              </w:rPr>
              <w:t>Localisé, local-local, communauté affectée</w:t>
            </w:r>
          </w:p>
          <w:p w14:paraId="2BD95A1E" w14:textId="77777777" w:rsidR="007468C1" w:rsidRPr="00DC17A0" w:rsidRDefault="007468C1" w:rsidP="00C01620">
            <w:pPr>
              <w:pStyle w:val="NoSpacing"/>
              <w:numPr>
                <w:ilvl w:val="0"/>
                <w:numId w:val="11"/>
              </w:numPr>
              <w:rPr>
                <w:rFonts w:ascii="Trebuchet MS" w:eastAsiaTheme="minorHAnsi" w:hAnsi="Trebuchet MS" w:cs="Open Sans Light"/>
              </w:rPr>
            </w:pPr>
            <w:r>
              <w:rPr>
                <w:rFonts w:ascii="Trebuchet MS" w:eastAsiaTheme="minorHAnsi" w:hAnsi="Trebuchet MS"/>
              </w:rPr>
              <w:t>Propriété locale</w:t>
            </w:r>
          </w:p>
          <w:p w14:paraId="4C630C89" w14:textId="77777777" w:rsidR="00437540" w:rsidRPr="00DC17A0" w:rsidRDefault="00437540" w:rsidP="00C01620">
            <w:pPr>
              <w:pStyle w:val="NoSpacing"/>
              <w:numPr>
                <w:ilvl w:val="0"/>
                <w:numId w:val="11"/>
              </w:numPr>
              <w:rPr>
                <w:rFonts w:ascii="Trebuchet MS" w:eastAsiaTheme="minorHAnsi" w:hAnsi="Trebuchet MS" w:cs="Open Sans Light"/>
              </w:rPr>
            </w:pPr>
            <w:r>
              <w:rPr>
                <w:rFonts w:ascii="Trebuchet MS" w:eastAsiaTheme="minorHAnsi" w:hAnsi="Trebuchet MS"/>
              </w:rPr>
              <w:t>Gestion locale</w:t>
            </w:r>
          </w:p>
          <w:p w14:paraId="0EE4C33B" w14:textId="77777777" w:rsidR="00437540" w:rsidRPr="00DC17A0" w:rsidRDefault="00437540" w:rsidP="00C01620">
            <w:pPr>
              <w:pStyle w:val="NoSpacing"/>
              <w:numPr>
                <w:ilvl w:val="0"/>
                <w:numId w:val="11"/>
              </w:numPr>
              <w:rPr>
                <w:rFonts w:ascii="Trebuchet MS" w:eastAsiaTheme="minorHAnsi" w:hAnsi="Trebuchet MS" w:cs="Open Sans Light"/>
              </w:rPr>
            </w:pPr>
            <w:r>
              <w:rPr>
                <w:rFonts w:ascii="Trebuchet MS" w:eastAsiaTheme="minorHAnsi" w:hAnsi="Trebuchet MS"/>
              </w:rPr>
              <w:t xml:space="preserve">Emploi local </w:t>
            </w:r>
          </w:p>
          <w:p w14:paraId="792271A4" w14:textId="77777777" w:rsidR="007468C1" w:rsidRPr="00DC17A0" w:rsidRDefault="007468C1" w:rsidP="00C01620">
            <w:pPr>
              <w:pStyle w:val="NoSpacing"/>
              <w:numPr>
                <w:ilvl w:val="0"/>
                <w:numId w:val="11"/>
              </w:numPr>
              <w:rPr>
                <w:rFonts w:ascii="Trebuchet MS" w:eastAsiaTheme="minorHAnsi" w:hAnsi="Trebuchet MS" w:cs="Open Sans Light"/>
              </w:rPr>
            </w:pPr>
            <w:r>
              <w:rPr>
                <w:rFonts w:ascii="Trebuchet MS" w:eastAsiaTheme="minorHAnsi" w:hAnsi="Trebuchet MS"/>
              </w:rPr>
              <w:t xml:space="preserve">Création de valeur ajoutée locale </w:t>
            </w:r>
          </w:p>
          <w:p w14:paraId="396E9E29" w14:textId="77777777" w:rsidR="00437540" w:rsidRPr="00DC17A0" w:rsidRDefault="00437540" w:rsidP="00C01620">
            <w:pPr>
              <w:pStyle w:val="NoSpacing"/>
              <w:numPr>
                <w:ilvl w:val="0"/>
                <w:numId w:val="11"/>
              </w:numPr>
              <w:rPr>
                <w:rFonts w:ascii="Trebuchet MS" w:eastAsiaTheme="minorHAnsi" w:hAnsi="Trebuchet MS" w:cs="Open Sans Light"/>
              </w:rPr>
            </w:pPr>
            <w:r>
              <w:rPr>
                <w:rFonts w:ascii="Trebuchet MS" w:eastAsiaTheme="minorHAnsi" w:hAnsi="Trebuchet MS"/>
              </w:rPr>
              <w:t xml:space="preserve">Entreprise locale </w:t>
            </w:r>
          </w:p>
          <w:p w14:paraId="63B64EDA" w14:textId="7EA92777" w:rsidR="00437540" w:rsidRPr="00DC17A0" w:rsidRDefault="004879BD" w:rsidP="00C01620">
            <w:pPr>
              <w:pStyle w:val="NoSpacing"/>
              <w:numPr>
                <w:ilvl w:val="0"/>
                <w:numId w:val="11"/>
              </w:numPr>
              <w:rPr>
                <w:rFonts w:ascii="Trebuchet MS" w:eastAsiaTheme="minorHAnsi" w:hAnsi="Trebuchet MS" w:cs="Open Sans Light"/>
              </w:rPr>
            </w:pPr>
            <w:r>
              <w:rPr>
                <w:rFonts w:ascii="Trebuchet MS" w:eastAsiaTheme="minorHAnsi" w:hAnsi="Trebuchet MS"/>
              </w:rPr>
              <w:t>Petite entreprise/PME</w:t>
            </w:r>
          </w:p>
          <w:p w14:paraId="63FBF7BB" w14:textId="112C6394" w:rsidR="00B31A68" w:rsidRPr="00DC17A0" w:rsidRDefault="004879BD" w:rsidP="00C01620">
            <w:pPr>
              <w:pStyle w:val="NoSpacing"/>
              <w:numPr>
                <w:ilvl w:val="0"/>
                <w:numId w:val="11"/>
              </w:numPr>
              <w:rPr>
                <w:rFonts w:ascii="Trebuchet MS" w:eastAsiaTheme="minorHAnsi" w:hAnsi="Trebuchet MS" w:cs="Open Sans Light"/>
              </w:rPr>
            </w:pPr>
            <w:r>
              <w:rPr>
                <w:rFonts w:ascii="Trebuchet MS" w:eastAsiaTheme="minorHAnsi" w:hAnsi="Trebuchet MS"/>
              </w:rPr>
              <w:t>Des termes liés tels que</w:t>
            </w:r>
            <w:r w:rsidR="00CF31EC">
              <w:rPr>
                <w:rFonts w:ascii="Trebuchet MS" w:eastAsiaTheme="minorHAnsi" w:hAnsi="Trebuchet MS"/>
              </w:rPr>
              <w:t xml:space="preserve"> </w:t>
            </w:r>
            <w:r>
              <w:rPr>
                <w:rFonts w:ascii="Trebuchet MS" w:eastAsiaTheme="minorHAnsi" w:hAnsi="Trebuchet MS"/>
              </w:rPr>
              <w:t>«accès</w:t>
            </w:r>
            <w:r w:rsidR="00CF31EC">
              <w:rPr>
                <w:rFonts w:ascii="Trebuchet MS" w:eastAsiaTheme="minorHAnsi" w:hAnsi="Trebuchet MS"/>
              </w:rPr>
              <w:t xml:space="preserve"> </w:t>
            </w:r>
            <w:r>
              <w:rPr>
                <w:rFonts w:ascii="Trebuchet MS" w:eastAsiaTheme="minorHAnsi" w:hAnsi="Trebuchet MS"/>
              </w:rPr>
              <w:t>complet, équitable et raisonnable</w:t>
            </w:r>
            <w:r w:rsidR="00CF31EC">
              <w:rPr>
                <w:rFonts w:ascii="Trebuchet MS" w:eastAsiaTheme="minorHAnsi" w:hAnsi="Trebuchet MS"/>
              </w:rPr>
              <w:t xml:space="preserve"> </w:t>
            </w:r>
            <w:r>
              <w:rPr>
                <w:rFonts w:ascii="Trebuchet MS" w:eastAsiaTheme="minorHAnsi" w:hAnsi="Trebuchet MS"/>
              </w:rPr>
              <w:t>aux opportunités», « respect</w:t>
            </w:r>
            <w:r w:rsidR="00CF31EC">
              <w:rPr>
                <w:rFonts w:ascii="Trebuchet MS" w:eastAsiaTheme="minorHAnsi" w:hAnsi="Trebuchet MS"/>
              </w:rPr>
              <w:t xml:space="preserve"> </w:t>
            </w:r>
            <w:r>
              <w:rPr>
                <w:rFonts w:ascii="Trebuchet MS" w:eastAsiaTheme="minorHAnsi" w:hAnsi="Trebuchet MS"/>
              </w:rPr>
              <w:t>des normes», « coûts », « qualité », « fiabilité », « catégorie de demande », « conditions de paiement », « dégroupage », « partenaire de</w:t>
            </w:r>
            <w:r w:rsidR="00CF31EC">
              <w:rPr>
                <w:rFonts w:ascii="Trebuchet MS" w:eastAsiaTheme="minorHAnsi" w:hAnsi="Trebuchet MS"/>
              </w:rPr>
              <w:t xml:space="preserve"> </w:t>
            </w:r>
            <w:r>
              <w:rPr>
                <w:rFonts w:ascii="Trebuchet MS" w:eastAsiaTheme="minorHAnsi" w:hAnsi="Trebuchet MS"/>
              </w:rPr>
              <w:t>prestation», « services de développement des entreprises " »</w:t>
            </w:r>
          </w:p>
          <w:p w14:paraId="545BA869" w14:textId="77777777" w:rsidR="00B0337F" w:rsidRPr="00DC17A0" w:rsidRDefault="00B0337F" w:rsidP="00C01620">
            <w:pPr>
              <w:pStyle w:val="NoSpacing"/>
              <w:rPr>
                <w:rFonts w:ascii="Trebuchet MS" w:eastAsiaTheme="minorHAnsi" w:hAnsi="Trebuchet MS" w:cs="Open Sans Light"/>
              </w:rPr>
            </w:pPr>
          </w:p>
          <w:p w14:paraId="5B589810" w14:textId="7E0F5B69" w:rsidR="00B31A68" w:rsidRPr="004879BD" w:rsidRDefault="00B31A68" w:rsidP="00C01620">
            <w:pPr>
              <w:pStyle w:val="NoSpacing"/>
              <w:rPr>
                <w:rFonts w:ascii="Trebuchet MS" w:eastAsiaTheme="minorHAnsi" w:hAnsi="Trebuchet MS" w:cs="Open Sans Light"/>
              </w:rPr>
            </w:pPr>
            <w:r>
              <w:rPr>
                <w:rFonts w:ascii="Trebuchet MS" w:eastAsiaTheme="minorHAnsi" w:hAnsi="Trebuchet MS"/>
              </w:rPr>
              <w:t>Cette section devrait également couvrir les principaux indicateurs ou mesures de performance en termes d'approvisionnement local, par exemple :</w:t>
            </w:r>
          </w:p>
          <w:p w14:paraId="70CE886F" w14:textId="77777777" w:rsidR="00B31A68" w:rsidRPr="004879BD" w:rsidRDefault="00B31A68" w:rsidP="00C01620">
            <w:pPr>
              <w:pStyle w:val="NoSpacing"/>
              <w:numPr>
                <w:ilvl w:val="0"/>
                <w:numId w:val="11"/>
              </w:numPr>
              <w:rPr>
                <w:rFonts w:ascii="Trebuchet MS" w:eastAsiaTheme="minorHAnsi" w:hAnsi="Trebuchet MS" w:cs="Open Sans Light"/>
              </w:rPr>
            </w:pPr>
            <w:r>
              <w:rPr>
                <w:rFonts w:ascii="Trebuchet MS" w:eastAsiaTheme="minorHAnsi" w:hAnsi="Trebuchet MS"/>
              </w:rPr>
              <w:t>% et valeur absolue de dépenses pour les différentes catégories de fournisseurs locaux</w:t>
            </w:r>
          </w:p>
          <w:p w14:paraId="3E54F65F" w14:textId="77777777" w:rsidR="00B31A68" w:rsidRPr="004879BD" w:rsidRDefault="00B31A68" w:rsidP="00C01620">
            <w:pPr>
              <w:pStyle w:val="NoSpacing"/>
              <w:numPr>
                <w:ilvl w:val="0"/>
                <w:numId w:val="11"/>
              </w:numPr>
              <w:rPr>
                <w:rFonts w:ascii="Trebuchet MS" w:eastAsiaTheme="minorHAnsi" w:hAnsi="Trebuchet MS" w:cs="Open Sans Light"/>
              </w:rPr>
            </w:pPr>
            <w:r>
              <w:rPr>
                <w:rFonts w:ascii="Trebuchet MS" w:eastAsiaTheme="minorHAnsi" w:hAnsi="Trebuchet MS"/>
              </w:rPr>
              <w:t xml:space="preserve">Croissance des dépenses pour les différentes catégories de fournisseurs locaux </w:t>
            </w:r>
          </w:p>
          <w:p w14:paraId="5C7C71A7" w14:textId="77777777" w:rsidR="00B31A68" w:rsidRPr="004879BD" w:rsidRDefault="00B31A68" w:rsidP="00C01620">
            <w:pPr>
              <w:pStyle w:val="NoSpacing"/>
              <w:numPr>
                <w:ilvl w:val="0"/>
                <w:numId w:val="11"/>
              </w:numPr>
              <w:rPr>
                <w:rFonts w:ascii="Trebuchet MS" w:eastAsiaTheme="minorHAnsi" w:hAnsi="Trebuchet MS" w:cs="Open Sans Light"/>
              </w:rPr>
            </w:pPr>
            <w:r>
              <w:rPr>
                <w:rFonts w:ascii="Trebuchet MS" w:eastAsiaTheme="minorHAnsi" w:hAnsi="Trebuchet MS"/>
              </w:rPr>
              <w:t>% de dépenses locales dans les zones d'opportunité prioritaires</w:t>
            </w:r>
          </w:p>
          <w:p w14:paraId="2D20F706" w14:textId="3BDCB48F" w:rsidR="00C01620" w:rsidRPr="004879BD" w:rsidRDefault="00C01620" w:rsidP="00C01620">
            <w:pPr>
              <w:pStyle w:val="NoSpacing"/>
              <w:numPr>
                <w:ilvl w:val="0"/>
                <w:numId w:val="11"/>
              </w:numPr>
              <w:rPr>
                <w:rFonts w:ascii="Trebuchet MS" w:eastAsiaTheme="minorHAnsi" w:hAnsi="Trebuchet MS" w:cs="Open Sans Light"/>
              </w:rPr>
            </w:pPr>
            <w:r>
              <w:rPr>
                <w:rFonts w:ascii="Trebuchet MS" w:eastAsiaTheme="minorHAnsi" w:hAnsi="Trebuchet MS"/>
              </w:rPr>
              <w:t>Croissances des entreprises des fournisseur</w:t>
            </w:r>
            <w:r w:rsidR="00BA5079">
              <w:rPr>
                <w:rFonts w:ascii="Trebuchet MS" w:eastAsiaTheme="minorHAnsi" w:hAnsi="Trebuchet MS"/>
              </w:rPr>
              <w:t>s, par ex. en termes</w:t>
            </w:r>
            <w:r>
              <w:rPr>
                <w:rFonts w:ascii="Trebuchet MS" w:eastAsiaTheme="minorHAnsi" w:hAnsi="Trebuchet MS"/>
              </w:rPr>
              <w:t xml:space="preserve"> d'emplois / de chiffre d'affaires </w:t>
            </w:r>
          </w:p>
          <w:p w14:paraId="64B17579" w14:textId="1ABA8142" w:rsidR="00C01620" w:rsidRDefault="00C01620" w:rsidP="00C01620">
            <w:pPr>
              <w:pStyle w:val="NoSpacing"/>
              <w:numPr>
                <w:ilvl w:val="0"/>
                <w:numId w:val="11"/>
              </w:numPr>
              <w:rPr>
                <w:rFonts w:ascii="Trebuchet MS" w:eastAsiaTheme="minorHAnsi" w:hAnsi="Trebuchet MS" w:cs="Open Sans Light"/>
              </w:rPr>
            </w:pPr>
            <w:r>
              <w:rPr>
                <w:rFonts w:ascii="Trebuchet MS" w:eastAsiaTheme="minorHAnsi" w:hAnsi="Trebuchet MS"/>
              </w:rPr>
              <w:t>%</w:t>
            </w:r>
            <w:r w:rsidR="00BA5079">
              <w:rPr>
                <w:rFonts w:ascii="Trebuchet MS" w:eastAsiaTheme="minorHAnsi" w:hAnsi="Trebuchet MS"/>
              </w:rPr>
              <w:t xml:space="preserve"> </w:t>
            </w:r>
            <w:r>
              <w:rPr>
                <w:rFonts w:ascii="Trebuchet MS" w:eastAsiaTheme="minorHAnsi" w:hAnsi="Trebuchet MS"/>
              </w:rPr>
              <w:t xml:space="preserve">de l'activité des fournisseurs qui </w:t>
            </w:r>
            <w:r w:rsidR="00BA5079">
              <w:rPr>
                <w:rFonts w:ascii="Trebuchet MS" w:eastAsiaTheme="minorHAnsi" w:hAnsi="Trebuchet MS"/>
              </w:rPr>
              <w:t>est liée à la société minière (</w:t>
            </w:r>
            <w:r>
              <w:rPr>
                <w:rFonts w:ascii="Trebuchet MS" w:eastAsiaTheme="minorHAnsi" w:hAnsi="Trebuchet MS"/>
              </w:rPr>
              <w:t>dans le but de diversifier la clientèle pour accroitre les chance</w:t>
            </w:r>
            <w:r w:rsidR="00BA5079">
              <w:rPr>
                <w:rFonts w:ascii="Trebuchet MS" w:eastAsiaTheme="minorHAnsi" w:hAnsi="Trebuchet MS"/>
              </w:rPr>
              <w:t>s</w:t>
            </w:r>
            <w:r>
              <w:rPr>
                <w:rFonts w:ascii="Trebuchet MS" w:eastAsiaTheme="minorHAnsi" w:hAnsi="Trebuchet MS"/>
              </w:rPr>
              <w:t xml:space="preserve"> de pérennité) </w:t>
            </w:r>
          </w:p>
          <w:p w14:paraId="7C24BEFB" w14:textId="6957C0B6" w:rsidR="00D545D0" w:rsidRPr="004879BD" w:rsidRDefault="00D545D0" w:rsidP="00C01620">
            <w:pPr>
              <w:pStyle w:val="NoSpacing"/>
              <w:numPr>
                <w:ilvl w:val="0"/>
                <w:numId w:val="11"/>
              </w:numPr>
              <w:rPr>
                <w:rFonts w:ascii="Trebuchet MS" w:eastAsiaTheme="minorHAnsi" w:hAnsi="Trebuchet MS" w:cs="Open Sans Light"/>
              </w:rPr>
            </w:pPr>
            <w:r>
              <w:rPr>
                <w:rFonts w:ascii="Trebuchet MS" w:eastAsiaTheme="minorHAnsi" w:hAnsi="Trebuchet MS"/>
              </w:rPr>
              <w:t>Les bénéfices pour la société minière, par ex. les économies de coûts générées, les solutions développées pour répondre aux défis opérationnels</w:t>
            </w:r>
          </w:p>
          <w:p w14:paraId="06F48A10" w14:textId="77777777" w:rsidR="00B31A68" w:rsidRPr="00DC17A0" w:rsidRDefault="00B31A68" w:rsidP="00C01620">
            <w:pPr>
              <w:pStyle w:val="NoSpacing"/>
              <w:ind w:left="360"/>
              <w:rPr>
                <w:rFonts w:ascii="Trebuchet MS" w:eastAsiaTheme="minorHAnsi" w:hAnsi="Trebuchet MS" w:cs="Open Sans Light"/>
              </w:rPr>
            </w:pPr>
          </w:p>
          <w:p w14:paraId="6E6138E3" w14:textId="77777777" w:rsidR="00B0337F" w:rsidRPr="00DC17A0" w:rsidRDefault="00B0337F"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04CF45B0" w14:textId="0A97533C" w:rsidR="004879BD" w:rsidRDefault="00437540" w:rsidP="00C01620">
            <w:pPr>
              <w:pStyle w:val="NoSpacing"/>
              <w:rPr>
                <w:rFonts w:ascii="Trebuchet MS" w:eastAsiaTheme="minorHAnsi" w:hAnsi="Trebuchet MS" w:cs="Open Sans Light"/>
              </w:rPr>
            </w:pPr>
            <w:r>
              <w:rPr>
                <w:rFonts w:ascii="Trebuchet MS" w:eastAsiaTheme="minorHAnsi" w:hAnsi="Trebuchet MS"/>
              </w:rPr>
              <w:t>Comme indiqué dans les modules 2 et 8 du guide, il faut tenir compte de la façon dont ces définitions se rapportent aux priorités (puisque ce qui est défini est susceptible de devenir l'objet d'efforts)</w:t>
            </w:r>
            <w:r w:rsidR="00CF31EC">
              <w:rPr>
                <w:rFonts w:ascii="Trebuchet MS" w:eastAsiaTheme="minorHAnsi" w:hAnsi="Trebuchet MS"/>
              </w:rPr>
              <w:t>,</w:t>
            </w:r>
            <w:r>
              <w:rPr>
                <w:rFonts w:ascii="Trebuchet MS" w:eastAsiaTheme="minorHAnsi" w:hAnsi="Trebuchet MS"/>
              </w:rPr>
              <w:t xml:space="preserve"> ainsi que la façon dont ces définitions peuvent être mesurées (des définitions peu claires ou difficilement mesurables risquent de créer des difficultés de mise en œuvre).</w:t>
            </w:r>
          </w:p>
          <w:p w14:paraId="0A8154B4" w14:textId="77777777" w:rsidR="004879BD" w:rsidRDefault="004879BD" w:rsidP="00C01620">
            <w:pPr>
              <w:pStyle w:val="NoSpacing"/>
              <w:rPr>
                <w:rFonts w:ascii="Trebuchet MS" w:eastAsiaTheme="minorHAnsi" w:hAnsi="Trebuchet MS" w:cs="Open Sans Light"/>
              </w:rPr>
            </w:pPr>
          </w:p>
          <w:p w14:paraId="22D05BB2" w14:textId="43AB0217" w:rsidR="00B0337F" w:rsidRPr="00DC17A0" w:rsidRDefault="004879BD" w:rsidP="00C01620">
            <w:pPr>
              <w:pStyle w:val="NoSpacing"/>
              <w:rPr>
                <w:rFonts w:ascii="Trebuchet MS" w:eastAsiaTheme="minorHAnsi" w:hAnsi="Trebuchet MS" w:cs="Open Sans Light"/>
              </w:rPr>
            </w:pPr>
            <w:r>
              <w:rPr>
                <w:rFonts w:ascii="Trebuchet MS" w:eastAsiaTheme="minorHAnsi" w:hAnsi="Trebuchet MS"/>
              </w:rPr>
              <w:t>Il faudra également tenir compte de la façon dont ces définitions interagissent avec celles qui peuvent être utilisées dans l'ensemble de l'entreprise (par ex. au sein</w:t>
            </w:r>
            <w:r w:rsidR="00CF31EC">
              <w:rPr>
                <w:rFonts w:ascii="Trebuchet MS" w:eastAsiaTheme="minorHAnsi" w:hAnsi="Trebuchet MS"/>
              </w:rPr>
              <w:t xml:space="preserve"> </w:t>
            </w:r>
            <w:r>
              <w:rPr>
                <w:rFonts w:ascii="Trebuchet MS" w:eastAsiaTheme="minorHAnsi" w:hAnsi="Trebuchet MS"/>
              </w:rPr>
              <w:t>de la chaine d'approvisionnement/ divisions des achats et contrats, politique générale de la société sur l'approvisionnement local) dans le pays (par ex. définitions de la propriété locale, des PME).</w:t>
            </w:r>
          </w:p>
          <w:p w14:paraId="2E5A7FA0" w14:textId="77777777" w:rsidR="00C01620" w:rsidRDefault="00C01620" w:rsidP="00C01620">
            <w:pPr>
              <w:pStyle w:val="NoSpacing"/>
              <w:rPr>
                <w:rFonts w:ascii="Trebuchet MS" w:eastAsiaTheme="minorHAnsi" w:hAnsi="Trebuchet MS" w:cs="Open Sans Light"/>
                <w:b/>
              </w:rPr>
            </w:pPr>
          </w:p>
          <w:p w14:paraId="6CCD5F24" w14:textId="77777777" w:rsid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2 à 4 pages</w:t>
            </w:r>
          </w:p>
          <w:p w14:paraId="60DEED4C" w14:textId="77777777" w:rsidR="004879BD" w:rsidRPr="00854CDE" w:rsidRDefault="004879BD" w:rsidP="00C01620">
            <w:pPr>
              <w:pStyle w:val="NoSpacing"/>
              <w:rPr>
                <w:rFonts w:ascii="Trebuchet MS" w:hAnsi="Trebuchet MS" w:cs="Open Sans Light"/>
                <w:b/>
              </w:rPr>
            </w:pPr>
          </w:p>
        </w:tc>
      </w:tr>
    </w:tbl>
    <w:p w14:paraId="050673EA" w14:textId="77777777" w:rsidR="00B0337F" w:rsidRPr="00854CDE" w:rsidRDefault="00B0337F" w:rsidP="00C01620">
      <w:pPr>
        <w:autoSpaceDE w:val="0"/>
        <w:autoSpaceDN w:val="0"/>
        <w:adjustRightInd w:val="0"/>
        <w:spacing w:after="0" w:line="240" w:lineRule="auto"/>
        <w:rPr>
          <w:rFonts w:ascii="Trebuchet MS" w:hAnsi="Trebuchet MS" w:cs="Open Sans Light"/>
          <w:b/>
          <w:bCs/>
          <w:color w:val="2D2D2D"/>
        </w:rPr>
      </w:pPr>
    </w:p>
    <w:p w14:paraId="607E44BD" w14:textId="2218002B" w:rsidR="00C92C92" w:rsidRPr="00854CDE" w:rsidRDefault="00C92C92" w:rsidP="00C01620">
      <w:pPr>
        <w:spacing w:after="0" w:line="240" w:lineRule="auto"/>
        <w:rPr>
          <w:rFonts w:ascii="Trebuchet MS" w:eastAsiaTheme="majorEastAsia" w:hAnsi="Trebuchet MS" w:cstheme="majorBidi"/>
          <w:b/>
          <w:bCs/>
          <w:color w:val="5B7987"/>
        </w:rPr>
      </w:pPr>
    </w:p>
    <w:p w14:paraId="67200271" w14:textId="6BCE7DBF" w:rsidR="00242FF7" w:rsidRPr="00B6776D" w:rsidRDefault="00242FF7" w:rsidP="00B6776D">
      <w:pPr>
        <w:pStyle w:val="Heading1"/>
      </w:pPr>
      <w:bookmarkStart w:id="9" w:name="_Toc267921288"/>
      <w:bookmarkStart w:id="10" w:name="_Toc394344743"/>
      <w:r>
        <w:lastRenderedPageBreak/>
        <w:t>Performance actuelle par rapport aux indicateurs</w:t>
      </w:r>
      <w:bookmarkEnd w:id="9"/>
      <w:bookmarkEnd w:id="10"/>
    </w:p>
    <w:p w14:paraId="520A8596" w14:textId="77777777" w:rsidR="00971383" w:rsidRPr="00854CDE" w:rsidRDefault="00971383" w:rsidP="00C01620">
      <w:pPr>
        <w:spacing w:after="0" w:line="240" w:lineRule="auto"/>
        <w:rPr>
          <w:rFonts w:ascii="Trebuchet MS" w:hAnsi="Trebuchet MS"/>
        </w:rPr>
      </w:pPr>
    </w:p>
    <w:p w14:paraId="78B3B1D7"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971383" w:rsidRPr="00854CDE" w14:paraId="205F0FF8" w14:textId="77777777" w:rsidTr="007C1D4D">
        <w:tc>
          <w:tcPr>
            <w:tcW w:w="9242" w:type="dxa"/>
            <w:shd w:val="clear" w:color="auto" w:fill="auto"/>
          </w:tcPr>
          <w:p w14:paraId="20BA89F5" w14:textId="77777777" w:rsidR="00971383" w:rsidRPr="00854CDE" w:rsidRDefault="00971383" w:rsidP="00C01620">
            <w:pPr>
              <w:pStyle w:val="NoSpacing"/>
              <w:rPr>
                <w:rFonts w:ascii="Trebuchet MS" w:eastAsiaTheme="minorHAnsi" w:hAnsi="Trebuchet MS" w:cs="Open Sans Light"/>
              </w:rPr>
            </w:pPr>
          </w:p>
          <w:p w14:paraId="2F4B316E"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Domaines clés :</w:t>
            </w:r>
          </w:p>
          <w:p w14:paraId="72B40FFD" w14:textId="77777777" w:rsidR="00817760" w:rsidRPr="00DC17A0" w:rsidRDefault="00817760" w:rsidP="00C01620">
            <w:pPr>
              <w:pStyle w:val="ListParagraph"/>
              <w:numPr>
                <w:ilvl w:val="0"/>
                <w:numId w:val="5"/>
              </w:numPr>
              <w:autoSpaceDE w:val="0"/>
              <w:autoSpaceDN w:val="0"/>
              <w:adjustRightInd w:val="0"/>
              <w:contextualSpacing w:val="0"/>
              <w:rPr>
                <w:rFonts w:ascii="Trebuchet MS" w:hAnsi="Trebuchet MS" w:cs="TimesNewRomanPS"/>
              </w:rPr>
            </w:pPr>
            <w:r>
              <w:rPr>
                <w:rFonts w:ascii="Trebuchet MS" w:hAnsi="Trebuchet MS"/>
              </w:rPr>
              <w:t>Cadre et indicateurs retenus pour mesurer et faire le suivi de l'approvisionnement local (voir section 3)</w:t>
            </w:r>
          </w:p>
          <w:p w14:paraId="00D6649C" w14:textId="0D4AFB82" w:rsidR="00817760" w:rsidRPr="00DC17A0" w:rsidRDefault="00861664" w:rsidP="00C01620">
            <w:pPr>
              <w:pStyle w:val="ListParagraph"/>
              <w:numPr>
                <w:ilvl w:val="0"/>
                <w:numId w:val="5"/>
              </w:numPr>
              <w:autoSpaceDE w:val="0"/>
              <w:autoSpaceDN w:val="0"/>
              <w:adjustRightInd w:val="0"/>
              <w:contextualSpacing w:val="0"/>
              <w:rPr>
                <w:rFonts w:ascii="Trebuchet MS" w:hAnsi="Trebuchet MS" w:cs="TimesNewRomanPS"/>
              </w:rPr>
            </w:pPr>
            <w:r>
              <w:rPr>
                <w:rFonts w:ascii="Trebuchet MS" w:hAnsi="Trebuchet MS"/>
              </w:rPr>
              <w:t>État de l'approvisionnement local actuel en utilisant les définitions et indicateurs identifiés, en fonction des informations disponibles, par exemple les dépenses actuelles classées par produit et service et le volume d'approvisionnement local</w:t>
            </w:r>
          </w:p>
          <w:p w14:paraId="6D8FB822" w14:textId="77777777" w:rsidR="008553D6" w:rsidRPr="00854CDE" w:rsidRDefault="008553D6" w:rsidP="00C01620">
            <w:pPr>
              <w:pStyle w:val="NoSpacing"/>
              <w:rPr>
                <w:rFonts w:ascii="Trebuchet MS" w:eastAsiaTheme="minorHAnsi" w:hAnsi="Trebuchet MS" w:cs="Open Sans Light"/>
              </w:rPr>
            </w:pPr>
          </w:p>
          <w:p w14:paraId="0916C7C9"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49FB18ED" w14:textId="3AC180F1" w:rsidR="00971383" w:rsidRDefault="00C01620" w:rsidP="00C01620">
            <w:pPr>
              <w:pStyle w:val="NoSpacing"/>
              <w:rPr>
                <w:rFonts w:ascii="Trebuchet MS" w:eastAsiaTheme="minorHAnsi" w:hAnsi="Trebuchet MS" w:cs="Open Sans Light"/>
              </w:rPr>
            </w:pPr>
            <w:r>
              <w:rPr>
                <w:rFonts w:ascii="Trebuchet MS" w:eastAsiaTheme="minorHAnsi" w:hAnsi="Trebuchet MS"/>
              </w:rPr>
              <w:t>Des systèmes devront être mis en place pour recueillir les informations nécessaires (voir module 8). Cela peut inclure des changements dans les systèmes d'immatriculation des vendeurs et des bases de données, un alignement de la base de données fournisseur et des systèmes de paiement/ facturation, des enquêtes de fournisseurs (éventuellement en partenariat avec des agences de mise en relation des entreprises ou de soutien aux entreprises).</w:t>
            </w:r>
            <w:r w:rsidR="00CF31EC">
              <w:rPr>
                <w:rFonts w:ascii="Trebuchet MS" w:eastAsiaTheme="minorHAnsi" w:hAnsi="Trebuchet MS"/>
              </w:rPr>
              <w:t xml:space="preserve"> </w:t>
            </w:r>
          </w:p>
          <w:p w14:paraId="40F80AB3" w14:textId="77777777" w:rsidR="002D592D" w:rsidRDefault="002D592D" w:rsidP="00C01620">
            <w:pPr>
              <w:pStyle w:val="NoSpacing"/>
              <w:rPr>
                <w:rFonts w:ascii="Trebuchet MS" w:eastAsiaTheme="minorHAnsi" w:hAnsi="Trebuchet MS" w:cs="Open Sans Light"/>
              </w:rPr>
            </w:pPr>
          </w:p>
          <w:p w14:paraId="06BF3D43" w14:textId="64B3A984" w:rsidR="002D592D" w:rsidRDefault="002D592D" w:rsidP="00C01620">
            <w:pPr>
              <w:pStyle w:val="NoSpacing"/>
              <w:rPr>
                <w:rFonts w:ascii="Trebuchet MS" w:eastAsiaTheme="minorHAnsi" w:hAnsi="Trebuchet MS" w:cs="Open Sans Light"/>
              </w:rPr>
            </w:pPr>
            <w:r>
              <w:rPr>
                <w:rFonts w:ascii="Trebuchet MS" w:eastAsiaTheme="minorHAnsi" w:hAnsi="Trebuchet MS"/>
              </w:rPr>
              <w:t>Pour la mise à jour des rapports, cette section devra inclure des comparaison</w:t>
            </w:r>
            <w:r w:rsidR="003B7305">
              <w:rPr>
                <w:rFonts w:ascii="Trebuchet MS" w:eastAsiaTheme="minorHAnsi" w:hAnsi="Trebuchet MS"/>
              </w:rPr>
              <w:t>s</w:t>
            </w:r>
            <w:r>
              <w:rPr>
                <w:rFonts w:ascii="Trebuchet MS" w:eastAsiaTheme="minorHAnsi" w:hAnsi="Trebuchet MS"/>
              </w:rPr>
              <w:t xml:space="preserve"> entre les performances actuelles et passées.</w:t>
            </w:r>
            <w:r w:rsidR="00CF31EC">
              <w:rPr>
                <w:rFonts w:ascii="Trebuchet MS" w:eastAsiaTheme="minorHAnsi" w:hAnsi="Trebuchet MS"/>
              </w:rPr>
              <w:t xml:space="preserve"> </w:t>
            </w:r>
          </w:p>
          <w:p w14:paraId="719DEAB6" w14:textId="77777777" w:rsidR="00A46D93" w:rsidRDefault="00A46D93" w:rsidP="00C01620">
            <w:pPr>
              <w:pStyle w:val="NoSpacing"/>
              <w:rPr>
                <w:rFonts w:ascii="Trebuchet MS" w:eastAsiaTheme="minorHAnsi" w:hAnsi="Trebuchet MS" w:cs="Open Sans Light"/>
              </w:rPr>
            </w:pPr>
          </w:p>
          <w:p w14:paraId="52422ADF"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2 à 5 pages</w:t>
            </w:r>
          </w:p>
          <w:p w14:paraId="4F73966F" w14:textId="77777777" w:rsidR="00A46D93" w:rsidRPr="00854CDE" w:rsidRDefault="00A46D93" w:rsidP="00C01620">
            <w:pPr>
              <w:pStyle w:val="NoSpacing"/>
              <w:rPr>
                <w:rFonts w:ascii="Trebuchet MS" w:hAnsi="Trebuchet MS" w:cs="Open Sans Light"/>
                <w:b/>
              </w:rPr>
            </w:pPr>
          </w:p>
        </w:tc>
      </w:tr>
    </w:tbl>
    <w:p w14:paraId="79F4694B"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p w14:paraId="30785809"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13D6196E" w14:textId="77777777" w:rsidR="00B0337F" w:rsidRPr="00854CDE" w:rsidRDefault="00B0337F" w:rsidP="00B6776D">
      <w:pPr>
        <w:pStyle w:val="Heading1"/>
      </w:pPr>
      <w:bookmarkStart w:id="11" w:name="_Toc267921289"/>
      <w:bookmarkStart w:id="12" w:name="_Toc394344744"/>
      <w:r>
        <w:lastRenderedPageBreak/>
        <w:t>Principales opportunités pour l'approvisionnement local de produits et services</w:t>
      </w:r>
      <w:bookmarkEnd w:id="11"/>
      <w:bookmarkEnd w:id="12"/>
    </w:p>
    <w:p w14:paraId="179A415E" w14:textId="77777777" w:rsidR="00B0337F" w:rsidRPr="00854CDE" w:rsidRDefault="00B0337F" w:rsidP="00C01620">
      <w:pPr>
        <w:autoSpaceDE w:val="0"/>
        <w:autoSpaceDN w:val="0"/>
        <w:adjustRightInd w:val="0"/>
        <w:spacing w:after="0" w:line="240" w:lineRule="auto"/>
        <w:rPr>
          <w:rFonts w:ascii="Trebuchet MS" w:hAnsi="Trebuchet MS" w:cs="Helvetica"/>
          <w:color w:val="2D2D2D"/>
        </w:rPr>
      </w:pPr>
    </w:p>
    <w:p w14:paraId="13CA73AA" w14:textId="77777777" w:rsidR="00B0337F" w:rsidRPr="00854CDE" w:rsidRDefault="00B0337F"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B0337F" w:rsidRPr="00854CDE" w14:paraId="3C8DEE0D" w14:textId="77777777" w:rsidTr="007C1D4D">
        <w:tc>
          <w:tcPr>
            <w:tcW w:w="9242" w:type="dxa"/>
            <w:shd w:val="clear" w:color="auto" w:fill="auto"/>
          </w:tcPr>
          <w:p w14:paraId="58C4034B" w14:textId="77777777" w:rsidR="00B0337F" w:rsidRPr="00854CDE" w:rsidRDefault="00B0337F" w:rsidP="00C01620">
            <w:pPr>
              <w:pStyle w:val="NoSpacing"/>
              <w:rPr>
                <w:rFonts w:ascii="Trebuchet MS" w:eastAsiaTheme="minorHAnsi" w:hAnsi="Trebuchet MS" w:cs="Open Sans Light"/>
              </w:rPr>
            </w:pPr>
          </w:p>
          <w:p w14:paraId="2D0CC002" w14:textId="77777777" w:rsidR="00B0337F" w:rsidRDefault="00B0337F" w:rsidP="00C01620">
            <w:pPr>
              <w:pStyle w:val="NoSpacing"/>
              <w:rPr>
                <w:rFonts w:ascii="Trebuchet MS" w:eastAsiaTheme="minorHAnsi" w:hAnsi="Trebuchet MS" w:cs="Open Sans Light"/>
                <w:b/>
              </w:rPr>
            </w:pPr>
            <w:r>
              <w:rPr>
                <w:rFonts w:ascii="Trebuchet MS" w:eastAsiaTheme="minorHAnsi" w:hAnsi="Trebuchet MS"/>
                <w:b/>
              </w:rPr>
              <w:t>Domaines clés :</w:t>
            </w:r>
          </w:p>
          <w:p w14:paraId="5D2ED9AD" w14:textId="73127E5E" w:rsidR="00DC17A0" w:rsidRDefault="00DD15A8" w:rsidP="00C01620">
            <w:pPr>
              <w:pStyle w:val="NoSpacing"/>
              <w:rPr>
                <w:rFonts w:ascii="Trebuchet MS" w:eastAsiaTheme="minorHAnsi" w:hAnsi="Trebuchet MS" w:cs="Open Sans Light"/>
                <w:i/>
              </w:rPr>
            </w:pPr>
            <w:r>
              <w:rPr>
                <w:rFonts w:ascii="Trebuchet MS" w:eastAsiaTheme="minorHAnsi" w:hAnsi="Trebuchet MS"/>
                <w:i/>
              </w:rPr>
              <w:t>Voir le module 3 du Guide</w:t>
            </w:r>
          </w:p>
          <w:p w14:paraId="7B5E7ED6" w14:textId="77777777" w:rsidR="00DD15A8" w:rsidRDefault="00DD15A8" w:rsidP="00C01620">
            <w:pPr>
              <w:pStyle w:val="NoSpacing"/>
              <w:rPr>
                <w:rFonts w:ascii="Trebuchet MS" w:eastAsiaTheme="minorHAnsi" w:hAnsi="Trebuchet MS" w:cs="Open Sans Light"/>
                <w:i/>
              </w:rPr>
            </w:pPr>
          </w:p>
          <w:p w14:paraId="7334D120" w14:textId="4C479C5B" w:rsidR="00DD15A8" w:rsidRPr="00DD15A8" w:rsidRDefault="00DD15A8" w:rsidP="00C01620">
            <w:pPr>
              <w:pStyle w:val="NoSpacing"/>
              <w:rPr>
                <w:rFonts w:ascii="Trebuchet MS" w:eastAsiaTheme="minorHAnsi" w:hAnsi="Trebuchet MS" w:cs="Open Sans Light"/>
              </w:rPr>
            </w:pPr>
            <w:r>
              <w:rPr>
                <w:rFonts w:ascii="Trebuchet MS" w:eastAsiaTheme="minorHAnsi" w:hAnsi="Trebuchet MS"/>
              </w:rPr>
              <w:t>Cela pourrait couvrir :</w:t>
            </w:r>
          </w:p>
          <w:p w14:paraId="11114992" w14:textId="446991A1" w:rsidR="004B31D6" w:rsidRDefault="004B31D6" w:rsidP="00C01620">
            <w:pPr>
              <w:pStyle w:val="ListParagraph"/>
              <w:numPr>
                <w:ilvl w:val="0"/>
                <w:numId w:val="5"/>
              </w:numPr>
              <w:autoSpaceDE w:val="0"/>
              <w:autoSpaceDN w:val="0"/>
              <w:adjustRightInd w:val="0"/>
              <w:contextualSpacing w:val="0"/>
              <w:rPr>
                <w:rFonts w:ascii="Trebuchet MS" w:hAnsi="Trebuchet MS" w:cs="TimesNewRomanPS"/>
              </w:rPr>
            </w:pPr>
            <w:r>
              <w:rPr>
                <w:rFonts w:ascii="Trebuchet MS" w:hAnsi="Trebuchet MS"/>
              </w:rPr>
              <w:t>La méthodologie utilisée pour évaluer les opportunités</w:t>
            </w:r>
          </w:p>
          <w:p w14:paraId="6961B097" w14:textId="77777777" w:rsidR="00C90D72" w:rsidRPr="00DC17A0" w:rsidRDefault="00C90D72" w:rsidP="00C01620">
            <w:pPr>
              <w:pStyle w:val="ListParagraph"/>
              <w:numPr>
                <w:ilvl w:val="0"/>
                <w:numId w:val="5"/>
              </w:numPr>
              <w:autoSpaceDE w:val="0"/>
              <w:autoSpaceDN w:val="0"/>
              <w:adjustRightInd w:val="0"/>
              <w:contextualSpacing w:val="0"/>
              <w:rPr>
                <w:rFonts w:ascii="Trebuchet MS" w:hAnsi="Trebuchet MS" w:cs="TimesNewRomanPS"/>
              </w:rPr>
            </w:pPr>
            <w:r>
              <w:rPr>
                <w:rFonts w:ascii="Trebuchet MS" w:hAnsi="Trebuchet MS"/>
              </w:rPr>
              <w:t>La hiérarchisation et l'évaluation des opportunités, notamment :</w:t>
            </w:r>
          </w:p>
          <w:p w14:paraId="63C07C87" w14:textId="77777777" w:rsidR="00C90D72" w:rsidRDefault="00C90D72" w:rsidP="00517DB1">
            <w:pPr>
              <w:pStyle w:val="ListParagraph"/>
              <w:numPr>
                <w:ilvl w:val="1"/>
                <w:numId w:val="5"/>
              </w:numPr>
              <w:autoSpaceDE w:val="0"/>
              <w:autoSpaceDN w:val="0"/>
              <w:adjustRightInd w:val="0"/>
              <w:contextualSpacing w:val="0"/>
              <w:rPr>
                <w:rFonts w:ascii="Trebuchet MS" w:hAnsi="Trebuchet MS" w:cs="TimesNewRomanPS"/>
              </w:rPr>
            </w:pPr>
            <w:r>
              <w:rPr>
                <w:rFonts w:ascii="Trebuchet MS" w:hAnsi="Trebuchet MS"/>
              </w:rPr>
              <w:t>Les opportunités hiérarchisées, en fonction de l'attractivité de l'opportunité et les répercussions de développement potentielles (en fonction des priorités locales et nationales, comme la création d'emploi, la création d'entreprise, l'accroissement de la compétitivité, la diversification économique)</w:t>
            </w:r>
          </w:p>
          <w:p w14:paraId="111787B1" w14:textId="4EBD4A65" w:rsidR="00421F81" w:rsidRDefault="00421F81" w:rsidP="00421F81">
            <w:pPr>
              <w:pStyle w:val="ListParagraph"/>
              <w:numPr>
                <w:ilvl w:val="0"/>
                <w:numId w:val="5"/>
              </w:numPr>
              <w:autoSpaceDE w:val="0"/>
              <w:autoSpaceDN w:val="0"/>
              <w:adjustRightInd w:val="0"/>
              <w:contextualSpacing w:val="0"/>
              <w:rPr>
                <w:rFonts w:ascii="Trebuchet MS" w:hAnsi="Trebuchet MS" w:cs="TimesNewRomanPS"/>
              </w:rPr>
            </w:pPr>
            <w:r>
              <w:rPr>
                <w:rFonts w:ascii="Trebuchet MS" w:hAnsi="Trebuchet MS"/>
              </w:rPr>
              <w:t>Pour chaque opportunité</w:t>
            </w:r>
          </w:p>
          <w:p w14:paraId="41AFB59D" w14:textId="77777777" w:rsidR="003B48D5" w:rsidRDefault="00421F81" w:rsidP="00517DB1">
            <w:pPr>
              <w:pStyle w:val="ListParagraph"/>
              <w:numPr>
                <w:ilvl w:val="1"/>
                <w:numId w:val="5"/>
              </w:numPr>
              <w:autoSpaceDE w:val="0"/>
              <w:autoSpaceDN w:val="0"/>
              <w:adjustRightInd w:val="0"/>
              <w:contextualSpacing w:val="0"/>
              <w:rPr>
                <w:rFonts w:ascii="Trebuchet MS" w:hAnsi="Trebuchet MS" w:cs="TimesNewRomanPS"/>
              </w:rPr>
            </w:pPr>
            <w:r>
              <w:rPr>
                <w:rFonts w:ascii="Trebuchet MS" w:hAnsi="Trebuchet MS"/>
              </w:rPr>
              <w:t>Détails sur la valeur et le volume requis, les spécifications techniques, la structure et le modèle d'approvisionnement en place actuellement (par ex. si un bureau local est responsable de l'approvisionnement dans cette catégorie, approvisionnement autonome ou intégration à l'intérieur d'unités de travail plus grandes, de fournisseurs actuels)</w:t>
            </w:r>
          </w:p>
          <w:p w14:paraId="3B1987AE" w14:textId="77777777" w:rsidR="00585776" w:rsidRDefault="003B48D5" w:rsidP="00585776">
            <w:pPr>
              <w:pStyle w:val="ListParagraph"/>
              <w:numPr>
                <w:ilvl w:val="1"/>
                <w:numId w:val="5"/>
              </w:numPr>
              <w:autoSpaceDE w:val="0"/>
              <w:autoSpaceDN w:val="0"/>
              <w:adjustRightInd w:val="0"/>
              <w:contextualSpacing w:val="0"/>
              <w:rPr>
                <w:rFonts w:ascii="Trebuchet MS" w:hAnsi="Trebuchet MS" w:cs="TimesNewRomanPS"/>
              </w:rPr>
            </w:pPr>
            <w:r>
              <w:rPr>
                <w:rFonts w:ascii="Trebuchet MS" w:hAnsi="Trebuchet MS"/>
              </w:rPr>
              <w:t>Économies/bénéfices potentiels liés à l'approvisionnement local</w:t>
            </w:r>
          </w:p>
          <w:p w14:paraId="54A40F02" w14:textId="35005FF6" w:rsidR="00421F81" w:rsidRPr="00585776" w:rsidRDefault="00585776" w:rsidP="00585776">
            <w:pPr>
              <w:pStyle w:val="ListParagraph"/>
              <w:numPr>
                <w:ilvl w:val="1"/>
                <w:numId w:val="5"/>
              </w:numPr>
              <w:autoSpaceDE w:val="0"/>
              <w:autoSpaceDN w:val="0"/>
              <w:adjustRightInd w:val="0"/>
              <w:contextualSpacing w:val="0"/>
              <w:rPr>
                <w:rFonts w:ascii="Trebuchet MS" w:hAnsi="Trebuchet MS" w:cs="TimesNewRomanPS"/>
              </w:rPr>
            </w:pPr>
            <w:r>
              <w:rPr>
                <w:rFonts w:ascii="Trebuchet MS" w:hAnsi="Trebuchet MS"/>
              </w:rPr>
              <w:t>Capacités actuelles des fournisseurs locaux</w:t>
            </w:r>
          </w:p>
          <w:p w14:paraId="6A76218E" w14:textId="77777777" w:rsidR="00C90D72" w:rsidRDefault="00C90D72" w:rsidP="00517DB1">
            <w:pPr>
              <w:pStyle w:val="ListParagraph"/>
              <w:numPr>
                <w:ilvl w:val="1"/>
                <w:numId w:val="5"/>
              </w:numPr>
              <w:autoSpaceDE w:val="0"/>
              <w:autoSpaceDN w:val="0"/>
              <w:adjustRightInd w:val="0"/>
              <w:contextualSpacing w:val="0"/>
              <w:rPr>
                <w:rFonts w:ascii="Trebuchet MS" w:hAnsi="Trebuchet MS" w:cs="TimesNewRomanPS"/>
              </w:rPr>
            </w:pPr>
            <w:r>
              <w:rPr>
                <w:rFonts w:ascii="Trebuchet MS" w:hAnsi="Trebuchet MS"/>
              </w:rPr>
              <w:t>Principaux défis à relever pour réaliser les opportunités, notamment les risques</w:t>
            </w:r>
          </w:p>
          <w:p w14:paraId="5471648A" w14:textId="1D2AE172" w:rsidR="00421F81" w:rsidRPr="00DC17A0" w:rsidRDefault="00421F81" w:rsidP="00517DB1">
            <w:pPr>
              <w:pStyle w:val="ListParagraph"/>
              <w:numPr>
                <w:ilvl w:val="1"/>
                <w:numId w:val="5"/>
              </w:numPr>
              <w:autoSpaceDE w:val="0"/>
              <w:autoSpaceDN w:val="0"/>
              <w:adjustRightInd w:val="0"/>
              <w:contextualSpacing w:val="0"/>
              <w:rPr>
                <w:rFonts w:ascii="Trebuchet MS" w:hAnsi="Trebuchet MS" w:cs="TimesNewRomanPS"/>
              </w:rPr>
            </w:pPr>
            <w:r>
              <w:rPr>
                <w:rFonts w:ascii="Trebuchet MS" w:hAnsi="Trebuchet MS"/>
              </w:rPr>
              <w:t xml:space="preserve">Approche stratégique potentielle pour réaliser les opportunités </w:t>
            </w:r>
          </w:p>
          <w:p w14:paraId="50F22E9C" w14:textId="2D20238A" w:rsidR="00C90D72" w:rsidRPr="00DC17A0" w:rsidRDefault="00C90D72" w:rsidP="00DC17A0">
            <w:pPr>
              <w:pStyle w:val="ListParagraph"/>
              <w:numPr>
                <w:ilvl w:val="0"/>
                <w:numId w:val="5"/>
              </w:numPr>
              <w:autoSpaceDE w:val="0"/>
              <w:autoSpaceDN w:val="0"/>
              <w:adjustRightInd w:val="0"/>
              <w:contextualSpacing w:val="0"/>
              <w:rPr>
                <w:rFonts w:ascii="Trebuchet MS" w:hAnsi="Trebuchet MS" w:cs="TimesNewRomanPS"/>
              </w:rPr>
            </w:pPr>
            <w:r>
              <w:rPr>
                <w:rFonts w:ascii="Trebuchet MS" w:hAnsi="Trebuchet MS"/>
              </w:rPr>
              <w:t>Calendriers potentiels liés à la réalisation de ces opportunités : court, moyen et long terme, en fonction de facteurs tels que le niveau de la demande, les capacités des fournisseurs existants, la vitesse à laquelle les capacités peuvent augmenter et les obstacles liés à la compétitivité peuvent être surmontés dans l'environnement d'exploitation.</w:t>
            </w:r>
            <w:r w:rsidR="00CF31EC">
              <w:rPr>
                <w:rFonts w:ascii="Trebuchet MS" w:hAnsi="Trebuchet MS"/>
              </w:rPr>
              <w:t xml:space="preserve"> </w:t>
            </w:r>
          </w:p>
          <w:p w14:paraId="75F2F155" w14:textId="77777777" w:rsidR="00B0337F" w:rsidRPr="00854CDE" w:rsidRDefault="00B0337F" w:rsidP="00C01620">
            <w:pPr>
              <w:pStyle w:val="NoSpacing"/>
              <w:rPr>
                <w:rFonts w:ascii="Trebuchet MS" w:eastAsiaTheme="minorHAnsi" w:hAnsi="Trebuchet MS" w:cs="Open Sans Light"/>
              </w:rPr>
            </w:pPr>
          </w:p>
          <w:p w14:paraId="042141D8" w14:textId="77777777" w:rsidR="00B0337F" w:rsidRPr="00854CDE" w:rsidRDefault="00B0337F"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0AE7A79B" w14:textId="358DE75B" w:rsidR="00A46D93" w:rsidRDefault="00AD60C6" w:rsidP="00C01620">
            <w:pPr>
              <w:pStyle w:val="NoSpacing"/>
              <w:rPr>
                <w:rFonts w:ascii="Trebuchet MS" w:eastAsiaTheme="minorHAnsi" w:hAnsi="Trebuchet MS" w:cs="Open Sans Light"/>
              </w:rPr>
            </w:pPr>
            <w:r>
              <w:rPr>
                <w:rFonts w:ascii="Trebuchet MS" w:eastAsiaTheme="minorHAnsi" w:hAnsi="Trebuchet MS"/>
              </w:rPr>
              <w:t>Pour faciliter le suivi des opportunités à l'avenir, celles-ci devraient dans l'idéal être liées aux catégories de demande utilisées par l'organisation, ou aux descriptions au niveau de la transaction ou des fournisseurs.</w:t>
            </w:r>
            <w:r w:rsidR="00CF31EC">
              <w:rPr>
                <w:rFonts w:ascii="Trebuchet MS" w:eastAsiaTheme="minorHAnsi" w:hAnsi="Trebuchet MS"/>
              </w:rPr>
              <w:t xml:space="preserve"> </w:t>
            </w:r>
          </w:p>
          <w:p w14:paraId="74159842" w14:textId="77777777" w:rsidR="00DC17A0" w:rsidRDefault="00DC17A0" w:rsidP="00C01620">
            <w:pPr>
              <w:pStyle w:val="NoSpacing"/>
              <w:rPr>
                <w:rFonts w:ascii="Trebuchet MS" w:eastAsiaTheme="minorHAnsi" w:hAnsi="Trebuchet MS" w:cs="Open Sans Light"/>
              </w:rPr>
            </w:pPr>
          </w:p>
          <w:p w14:paraId="7B7F0998" w14:textId="3D4E5F38"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5 à 10 pages</w:t>
            </w:r>
          </w:p>
          <w:p w14:paraId="53A00288" w14:textId="77777777" w:rsidR="00A46D93" w:rsidRPr="00854CDE" w:rsidRDefault="00A46D93" w:rsidP="00C01620">
            <w:pPr>
              <w:pStyle w:val="NoSpacing"/>
              <w:rPr>
                <w:rFonts w:ascii="Trebuchet MS" w:hAnsi="Trebuchet MS" w:cs="Open Sans Light"/>
                <w:b/>
              </w:rPr>
            </w:pPr>
          </w:p>
        </w:tc>
      </w:tr>
    </w:tbl>
    <w:p w14:paraId="2BF24FFA" w14:textId="77777777" w:rsidR="00B0337F" w:rsidRPr="00854CDE" w:rsidRDefault="00B0337F" w:rsidP="00C01620">
      <w:pPr>
        <w:autoSpaceDE w:val="0"/>
        <w:autoSpaceDN w:val="0"/>
        <w:adjustRightInd w:val="0"/>
        <w:spacing w:after="0" w:line="240" w:lineRule="auto"/>
        <w:rPr>
          <w:rFonts w:ascii="Trebuchet MS" w:hAnsi="Trebuchet MS" w:cs="Open Sans Light"/>
          <w:b/>
          <w:bCs/>
          <w:color w:val="2D2D2D"/>
        </w:rPr>
      </w:pPr>
    </w:p>
    <w:p w14:paraId="09F2E8D7" w14:textId="77777777" w:rsidR="00B0337F" w:rsidRPr="00854CDE" w:rsidRDefault="00B0337F" w:rsidP="00C01620">
      <w:pPr>
        <w:autoSpaceDE w:val="0"/>
        <w:autoSpaceDN w:val="0"/>
        <w:adjustRightInd w:val="0"/>
        <w:spacing w:after="0" w:line="240" w:lineRule="auto"/>
        <w:rPr>
          <w:rFonts w:ascii="Trebuchet MS" w:hAnsi="Trebuchet MS" w:cs="Helvetica"/>
          <w:color w:val="2D2D2D"/>
        </w:rPr>
      </w:pPr>
    </w:p>
    <w:p w14:paraId="46DB2A5D" w14:textId="77777777" w:rsidR="00971383" w:rsidRPr="00854CDE" w:rsidRDefault="00971383" w:rsidP="00C01620">
      <w:pPr>
        <w:spacing w:after="0" w:line="240" w:lineRule="auto"/>
        <w:rPr>
          <w:rFonts w:ascii="Trebuchet MS" w:hAnsi="Trebuchet MS"/>
        </w:rPr>
      </w:pPr>
    </w:p>
    <w:p w14:paraId="60F51CB5"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365B2D50" w14:textId="77777777" w:rsidR="00242FF7" w:rsidRPr="00854CDE" w:rsidRDefault="00B0337F" w:rsidP="00B6776D">
      <w:pPr>
        <w:pStyle w:val="Heading1"/>
      </w:pPr>
      <w:bookmarkStart w:id="13" w:name="_Toc267921290"/>
      <w:bookmarkStart w:id="14" w:name="_Toc394344745"/>
      <w:r>
        <w:lastRenderedPageBreak/>
        <w:t>Objectifs (court, moyen et long terme)</w:t>
      </w:r>
      <w:bookmarkEnd w:id="13"/>
      <w:bookmarkEnd w:id="14"/>
    </w:p>
    <w:p w14:paraId="62E61C91" w14:textId="77777777" w:rsidR="00971383" w:rsidRPr="00854CDE" w:rsidRDefault="00971383" w:rsidP="00C01620">
      <w:pPr>
        <w:spacing w:after="0" w:line="240" w:lineRule="auto"/>
        <w:rPr>
          <w:rFonts w:ascii="Trebuchet MS" w:hAnsi="Trebuchet MS"/>
        </w:rPr>
      </w:pPr>
    </w:p>
    <w:p w14:paraId="30E2E3F5"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971383" w:rsidRPr="00854CDE" w14:paraId="042F0D99" w14:textId="77777777" w:rsidTr="007C1D4D">
        <w:tc>
          <w:tcPr>
            <w:tcW w:w="9242" w:type="dxa"/>
            <w:shd w:val="clear" w:color="auto" w:fill="auto"/>
          </w:tcPr>
          <w:p w14:paraId="0B4FFC75" w14:textId="77777777" w:rsidR="00971383" w:rsidRPr="00854CDE" w:rsidRDefault="00971383" w:rsidP="00C01620">
            <w:pPr>
              <w:pStyle w:val="NoSpacing"/>
              <w:rPr>
                <w:rFonts w:ascii="Trebuchet MS" w:eastAsiaTheme="minorHAnsi" w:hAnsi="Trebuchet MS" w:cs="Open Sans Light"/>
              </w:rPr>
            </w:pPr>
          </w:p>
          <w:p w14:paraId="1694CECD" w14:textId="77777777" w:rsidR="008553D6" w:rsidRPr="00854CDE" w:rsidRDefault="008553D6" w:rsidP="00C01620">
            <w:pPr>
              <w:pStyle w:val="NoSpacing"/>
              <w:rPr>
                <w:rFonts w:ascii="Trebuchet MS" w:eastAsiaTheme="minorHAnsi" w:hAnsi="Trebuchet MS" w:cs="Open Sans Light"/>
              </w:rPr>
            </w:pPr>
          </w:p>
          <w:p w14:paraId="65CE4E16"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Domaines clés :</w:t>
            </w:r>
          </w:p>
          <w:p w14:paraId="4752BDF4" w14:textId="74096F34" w:rsidR="008553D6" w:rsidRPr="00854CDE" w:rsidRDefault="00BE71FE" w:rsidP="00C01620">
            <w:pPr>
              <w:pStyle w:val="NoSpacing"/>
              <w:rPr>
                <w:rFonts w:ascii="Trebuchet MS" w:eastAsiaTheme="minorHAnsi" w:hAnsi="Trebuchet MS" w:cs="Open Sans Light"/>
              </w:rPr>
            </w:pPr>
            <w:r>
              <w:rPr>
                <w:rFonts w:ascii="Trebuchet MS" w:eastAsiaTheme="minorHAnsi" w:hAnsi="Trebuchet MS"/>
              </w:rPr>
              <w:t xml:space="preserve">Cette section devrait couvrir les objectifs internes annuels pour un horizon de planification à 3 ou 5 ans pour chaque indicateur basé sur les résultats des sections précédentes. </w:t>
            </w:r>
          </w:p>
          <w:p w14:paraId="4C4E1E32" w14:textId="77777777" w:rsidR="00516EC5" w:rsidRPr="00854CDE" w:rsidRDefault="00516EC5" w:rsidP="00C01620">
            <w:pPr>
              <w:pStyle w:val="NoSpacing"/>
              <w:rPr>
                <w:rFonts w:ascii="Trebuchet MS" w:eastAsiaTheme="minorHAnsi" w:hAnsi="Trebuchet MS" w:cs="Open Sans Light"/>
              </w:rPr>
            </w:pPr>
          </w:p>
          <w:p w14:paraId="6BE934DC"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6C9DCDCF" w14:textId="20A3C0AF" w:rsidR="008553D6" w:rsidRPr="00BE71FE" w:rsidRDefault="00BE71FE" w:rsidP="00C01620">
            <w:pPr>
              <w:pStyle w:val="NoSpacing"/>
              <w:rPr>
                <w:rFonts w:ascii="Trebuchet MS" w:eastAsiaTheme="minorHAnsi" w:hAnsi="Trebuchet MS" w:cs="Open Sans Light"/>
              </w:rPr>
            </w:pPr>
            <w:r>
              <w:rPr>
                <w:rFonts w:ascii="Trebuchet MS" w:eastAsiaTheme="minorHAnsi" w:hAnsi="Trebuchet MS"/>
              </w:rPr>
              <w:t>Il faudra également réfléchir pour savoir lesquels</w:t>
            </w:r>
            <w:r w:rsidR="00CF31EC">
              <w:rPr>
                <w:rFonts w:ascii="Trebuchet MS" w:eastAsiaTheme="minorHAnsi" w:hAnsi="Trebuchet MS"/>
              </w:rPr>
              <w:t xml:space="preserve"> </w:t>
            </w:r>
            <w:r>
              <w:rPr>
                <w:rFonts w:ascii="Trebuchet MS" w:eastAsiaTheme="minorHAnsi" w:hAnsi="Trebuchet MS"/>
              </w:rPr>
              <w:t>de ces objectifs sont, le cas échéant,</w:t>
            </w:r>
            <w:r w:rsidR="00CF31EC">
              <w:rPr>
                <w:rFonts w:ascii="Trebuchet MS" w:eastAsiaTheme="minorHAnsi" w:hAnsi="Trebuchet MS"/>
              </w:rPr>
              <w:t xml:space="preserve"> </w:t>
            </w:r>
            <w:r>
              <w:rPr>
                <w:rFonts w:ascii="Trebuchet MS" w:eastAsiaTheme="minorHAnsi" w:hAnsi="Trebuchet MS"/>
              </w:rPr>
              <w:t>partagés en externe.</w:t>
            </w:r>
            <w:r w:rsidR="00CF31EC">
              <w:rPr>
                <w:rFonts w:ascii="Trebuchet MS" w:eastAsiaTheme="minorHAnsi" w:hAnsi="Trebuchet MS"/>
              </w:rPr>
              <w:t xml:space="preserve"> </w:t>
            </w:r>
            <w:r>
              <w:rPr>
                <w:rFonts w:ascii="Trebuchet MS" w:eastAsiaTheme="minorHAnsi" w:hAnsi="Trebuchet MS"/>
              </w:rPr>
              <w:t>Certaines mines ont fait part de leur réticence à partager des objectifs à des stages précoces quand</w:t>
            </w:r>
            <w:r w:rsidR="00CF31EC">
              <w:rPr>
                <w:rFonts w:ascii="Trebuchet MS" w:eastAsiaTheme="minorHAnsi" w:hAnsi="Trebuchet MS"/>
              </w:rPr>
              <w:t xml:space="preserve"> </w:t>
            </w:r>
            <w:r>
              <w:rPr>
                <w:rFonts w:ascii="Trebuchet MS" w:eastAsiaTheme="minorHAnsi" w:hAnsi="Trebuchet MS"/>
              </w:rPr>
              <w:t>la confiance dans les capacités à atteindre ces objectifs se construit</w:t>
            </w:r>
            <w:r w:rsidR="00CF31EC">
              <w:rPr>
                <w:rFonts w:ascii="Trebuchet MS" w:eastAsiaTheme="minorHAnsi" w:hAnsi="Trebuchet MS"/>
              </w:rPr>
              <w:t xml:space="preserve"> </w:t>
            </w:r>
            <w:r>
              <w:rPr>
                <w:rFonts w:ascii="Trebuchet MS" w:eastAsiaTheme="minorHAnsi" w:hAnsi="Trebuchet MS"/>
              </w:rPr>
              <w:t>car cela crée des attentes.</w:t>
            </w:r>
            <w:r w:rsidR="00CF31EC">
              <w:rPr>
                <w:rFonts w:ascii="Trebuchet MS" w:eastAsiaTheme="minorHAnsi" w:hAnsi="Trebuchet MS"/>
              </w:rPr>
              <w:t xml:space="preserve"> </w:t>
            </w:r>
            <w:r>
              <w:rPr>
                <w:rFonts w:ascii="Trebuchet MS" w:eastAsiaTheme="minorHAnsi" w:hAnsi="Trebuchet MS"/>
              </w:rPr>
              <w:t>Cependant, partager des objectifs peut aussi aider à</w:t>
            </w:r>
            <w:r w:rsidR="00CF31EC">
              <w:rPr>
                <w:rFonts w:ascii="Trebuchet MS" w:eastAsiaTheme="minorHAnsi" w:hAnsi="Trebuchet MS"/>
              </w:rPr>
              <w:t xml:space="preserve"> </w:t>
            </w:r>
            <w:r>
              <w:rPr>
                <w:rFonts w:ascii="Trebuchet MS" w:eastAsiaTheme="minorHAnsi" w:hAnsi="Trebuchet MS"/>
              </w:rPr>
              <w:t>apporter au gouvernement et aux</w:t>
            </w:r>
            <w:r w:rsidR="00CF31EC">
              <w:rPr>
                <w:rFonts w:ascii="Trebuchet MS" w:eastAsiaTheme="minorHAnsi" w:hAnsi="Trebuchet MS"/>
              </w:rPr>
              <w:t xml:space="preserve"> </w:t>
            </w:r>
            <w:r>
              <w:rPr>
                <w:rFonts w:ascii="Trebuchet MS" w:eastAsiaTheme="minorHAnsi" w:hAnsi="Trebuchet MS"/>
              </w:rPr>
              <w:t>fournisseurs des clarifications autour de zones ciblées.</w:t>
            </w:r>
            <w:r w:rsidR="00CF31EC">
              <w:rPr>
                <w:rFonts w:ascii="Trebuchet MS" w:eastAsiaTheme="minorHAnsi" w:hAnsi="Trebuchet MS"/>
              </w:rPr>
              <w:t xml:space="preserve"> </w:t>
            </w:r>
            <w:r>
              <w:rPr>
                <w:rFonts w:ascii="Trebuchet MS" w:eastAsiaTheme="minorHAnsi" w:hAnsi="Trebuchet MS"/>
              </w:rPr>
              <w:t>Dans certains pays, le gouvernement peut avoir fixé des objectifs par le biais de réglementations, auquel cas, les objectifs devront s'aligner et les rapports externes doivent faire la preuve que des progrès sont en cours.</w:t>
            </w:r>
            <w:r w:rsidR="00CF31EC">
              <w:rPr>
                <w:rFonts w:ascii="Trebuchet MS" w:eastAsiaTheme="minorHAnsi" w:hAnsi="Trebuchet MS"/>
              </w:rPr>
              <w:t xml:space="preserve"> </w:t>
            </w:r>
          </w:p>
          <w:p w14:paraId="7CED81FF" w14:textId="77777777" w:rsidR="00971383" w:rsidRDefault="00971383" w:rsidP="00C01620">
            <w:pPr>
              <w:pStyle w:val="NoSpacing"/>
              <w:rPr>
                <w:rFonts w:ascii="Trebuchet MS" w:eastAsiaTheme="minorHAnsi" w:hAnsi="Trebuchet MS" w:cs="Open Sans Light"/>
              </w:rPr>
            </w:pPr>
          </w:p>
          <w:p w14:paraId="3EA100F5" w14:textId="77777777" w:rsidR="00A46D93" w:rsidRDefault="00A46D93" w:rsidP="00C01620">
            <w:pPr>
              <w:pStyle w:val="NoSpacing"/>
              <w:rPr>
                <w:rFonts w:ascii="Trebuchet MS" w:eastAsiaTheme="minorHAnsi" w:hAnsi="Trebuchet MS" w:cs="Open Sans Light"/>
              </w:rPr>
            </w:pPr>
          </w:p>
          <w:p w14:paraId="41AE9171"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1 à 2 pages</w:t>
            </w:r>
          </w:p>
          <w:p w14:paraId="610E7F1B" w14:textId="77777777" w:rsidR="00A46D93" w:rsidRPr="00854CDE" w:rsidRDefault="00A46D93" w:rsidP="00C01620">
            <w:pPr>
              <w:pStyle w:val="NoSpacing"/>
              <w:rPr>
                <w:rFonts w:ascii="Trebuchet MS" w:hAnsi="Trebuchet MS" w:cs="Open Sans Light"/>
                <w:b/>
              </w:rPr>
            </w:pPr>
          </w:p>
        </w:tc>
      </w:tr>
    </w:tbl>
    <w:p w14:paraId="1C295172"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p w14:paraId="782631FE" w14:textId="77777777" w:rsidR="00C90D72" w:rsidRPr="00854CDE" w:rsidRDefault="00C90D72" w:rsidP="00C01620">
      <w:pPr>
        <w:autoSpaceDE w:val="0"/>
        <w:autoSpaceDN w:val="0"/>
        <w:adjustRightInd w:val="0"/>
        <w:spacing w:after="0" w:line="240" w:lineRule="auto"/>
        <w:rPr>
          <w:rFonts w:ascii="Trebuchet MS" w:hAnsi="Trebuchet MS" w:cs="Helvetica"/>
          <w:color w:val="2D2D2D"/>
        </w:rPr>
      </w:pPr>
    </w:p>
    <w:p w14:paraId="6C58C439" w14:textId="77777777" w:rsidR="00B0337F" w:rsidRPr="00854CDE" w:rsidRDefault="00B0337F" w:rsidP="00C01620">
      <w:pPr>
        <w:spacing w:after="0" w:line="240" w:lineRule="auto"/>
        <w:rPr>
          <w:rFonts w:ascii="Trebuchet MS" w:hAnsi="Trebuchet MS"/>
        </w:rPr>
      </w:pPr>
    </w:p>
    <w:p w14:paraId="246CAEBA"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7877DE53" w14:textId="77777777" w:rsidR="00C90D72" w:rsidRPr="005150A5" w:rsidRDefault="00C92C92" w:rsidP="00B6776D">
      <w:pPr>
        <w:pStyle w:val="Heading1"/>
      </w:pPr>
      <w:bookmarkStart w:id="15" w:name="_Toc267921291"/>
      <w:bookmarkStart w:id="16" w:name="_Toc394344746"/>
      <w:r>
        <w:lastRenderedPageBreak/>
        <w:t>Stratégies et tactiques pour atteindre les résultats souhaités</w:t>
      </w:r>
      <w:bookmarkEnd w:id="15"/>
      <w:bookmarkEnd w:id="16"/>
      <w:r>
        <w:t xml:space="preserve"> </w:t>
      </w:r>
    </w:p>
    <w:p w14:paraId="2998FE4E" w14:textId="77777777" w:rsidR="00C90D72" w:rsidRPr="00854CDE" w:rsidRDefault="00C90D72"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C90D72" w:rsidRPr="00854CDE" w14:paraId="0B409A79" w14:textId="77777777" w:rsidTr="007C1D4D">
        <w:tc>
          <w:tcPr>
            <w:tcW w:w="9242" w:type="dxa"/>
            <w:shd w:val="clear" w:color="auto" w:fill="auto"/>
          </w:tcPr>
          <w:p w14:paraId="6D60BC64" w14:textId="77777777" w:rsidR="00C90D72" w:rsidRPr="00854CDE" w:rsidRDefault="00C90D72" w:rsidP="00C01620">
            <w:pPr>
              <w:pStyle w:val="NoSpacing"/>
              <w:rPr>
                <w:rFonts w:ascii="Trebuchet MS" w:eastAsiaTheme="minorHAnsi" w:hAnsi="Trebuchet MS" w:cs="Open Sans Light"/>
              </w:rPr>
            </w:pPr>
          </w:p>
          <w:p w14:paraId="2A7F0639" w14:textId="77777777" w:rsidR="00C90D72" w:rsidRPr="00854CDE" w:rsidRDefault="00C90D72" w:rsidP="00C01620">
            <w:pPr>
              <w:pStyle w:val="NoSpacing"/>
              <w:rPr>
                <w:rFonts w:ascii="Trebuchet MS" w:eastAsiaTheme="minorHAnsi" w:hAnsi="Trebuchet MS" w:cs="Open Sans Light"/>
                <w:b/>
              </w:rPr>
            </w:pPr>
            <w:r>
              <w:rPr>
                <w:rFonts w:ascii="Trebuchet MS" w:eastAsiaTheme="minorHAnsi" w:hAnsi="Trebuchet MS"/>
                <w:b/>
              </w:rPr>
              <w:t>Domaines clés :</w:t>
            </w:r>
          </w:p>
          <w:p w14:paraId="661E7EB0" w14:textId="79F77393" w:rsidR="00C90D72" w:rsidRPr="00854CDE" w:rsidRDefault="00C90D72" w:rsidP="00C01620">
            <w:pPr>
              <w:rPr>
                <w:rFonts w:ascii="Trebuchet MS" w:hAnsi="Trebuchet MS"/>
              </w:rPr>
            </w:pPr>
            <w:r>
              <w:rPr>
                <w:rFonts w:ascii="Trebuchet MS" w:hAnsi="Trebuchet MS"/>
              </w:rPr>
              <w:t xml:space="preserve">Défis principaux en ce qui concerne : </w:t>
            </w:r>
          </w:p>
          <w:p w14:paraId="3AEF18CE" w14:textId="77777777" w:rsidR="00C90D72" w:rsidRPr="00854CDE" w:rsidRDefault="001076D8" w:rsidP="00861664">
            <w:pPr>
              <w:pStyle w:val="ListParagraph"/>
              <w:numPr>
                <w:ilvl w:val="0"/>
                <w:numId w:val="9"/>
              </w:numPr>
              <w:contextualSpacing w:val="0"/>
              <w:rPr>
                <w:rFonts w:ascii="Trebuchet MS" w:hAnsi="Trebuchet MS"/>
              </w:rPr>
            </w:pPr>
            <w:r>
              <w:rPr>
                <w:rFonts w:ascii="Trebuchet MS" w:hAnsi="Trebuchet MS"/>
              </w:rPr>
              <w:t xml:space="preserve">Les interactions entre les mines et les fournisseurs, par exemple le partage de l'information, les appel d'offres, les feedbacks, la prestation de services, le paiement </w:t>
            </w:r>
          </w:p>
          <w:p w14:paraId="01975BC6" w14:textId="77777777" w:rsidR="001076D8" w:rsidRPr="00854CDE" w:rsidRDefault="001076D8" w:rsidP="00861664">
            <w:pPr>
              <w:pStyle w:val="ListParagraph"/>
              <w:numPr>
                <w:ilvl w:val="0"/>
                <w:numId w:val="9"/>
              </w:numPr>
              <w:contextualSpacing w:val="0"/>
              <w:rPr>
                <w:rFonts w:ascii="Trebuchet MS" w:hAnsi="Trebuchet MS"/>
              </w:rPr>
            </w:pPr>
            <w:r>
              <w:rPr>
                <w:rFonts w:ascii="Trebuchet MS" w:hAnsi="Trebuchet MS"/>
              </w:rPr>
              <w:t xml:space="preserve">Les capacités des fournisseurs disponibles dans les zones d'opportunités </w:t>
            </w:r>
          </w:p>
          <w:p w14:paraId="26A8729A" w14:textId="5B7B0AB0" w:rsidR="00C90D72" w:rsidRPr="00854CDE" w:rsidRDefault="001076D8" w:rsidP="00861664">
            <w:pPr>
              <w:pStyle w:val="ListParagraph"/>
              <w:numPr>
                <w:ilvl w:val="0"/>
                <w:numId w:val="9"/>
              </w:numPr>
              <w:contextualSpacing w:val="0"/>
              <w:rPr>
                <w:rFonts w:ascii="Trebuchet MS" w:hAnsi="Trebuchet MS"/>
              </w:rPr>
            </w:pPr>
            <w:r>
              <w:rPr>
                <w:rFonts w:ascii="Trebuchet MS" w:hAnsi="Trebuchet MS"/>
              </w:rPr>
              <w:t>L'environnement économique général, notamment le financement, les services publiques, les infrastructures</w:t>
            </w:r>
            <w:r w:rsidR="003B7305">
              <w:rPr>
                <w:rFonts w:ascii="Trebuchet MS" w:hAnsi="Trebuchet MS"/>
              </w:rPr>
              <w:t>,</w:t>
            </w:r>
            <w:r>
              <w:rPr>
                <w:rFonts w:ascii="Trebuchet MS" w:hAnsi="Trebuchet MS"/>
              </w:rPr>
              <w:t xml:space="preserve"> la technologie </w:t>
            </w:r>
          </w:p>
          <w:p w14:paraId="27415637" w14:textId="2A06FAA4" w:rsidR="00C90D72" w:rsidRPr="00DD15A8" w:rsidRDefault="00DD15A8" w:rsidP="00C01620">
            <w:pPr>
              <w:rPr>
                <w:rFonts w:ascii="Trebuchet MS" w:hAnsi="Trebuchet MS"/>
                <w:i/>
              </w:rPr>
            </w:pPr>
            <w:r>
              <w:rPr>
                <w:rFonts w:ascii="Trebuchet MS" w:hAnsi="Trebuchet MS"/>
                <w:i/>
              </w:rPr>
              <w:t>Voir Module 4 pour plus d’informations.</w:t>
            </w:r>
          </w:p>
          <w:p w14:paraId="2519B535" w14:textId="77777777" w:rsidR="00DD15A8" w:rsidRPr="00854CDE" w:rsidRDefault="00DD15A8" w:rsidP="00C01620">
            <w:pPr>
              <w:rPr>
                <w:rFonts w:ascii="Trebuchet MS" w:hAnsi="Trebuchet MS"/>
              </w:rPr>
            </w:pPr>
          </w:p>
          <w:p w14:paraId="109539E9" w14:textId="77777777" w:rsidR="001076D8" w:rsidRPr="00854CDE" w:rsidRDefault="001076D8" w:rsidP="00C01620">
            <w:pPr>
              <w:rPr>
                <w:rFonts w:ascii="Trebuchet MS" w:hAnsi="Trebuchet MS"/>
              </w:rPr>
            </w:pPr>
            <w:r>
              <w:rPr>
                <w:rFonts w:ascii="Trebuchet MS" w:hAnsi="Trebuchet MS"/>
              </w:rPr>
              <w:t>Les stratégies et tactiques pour relever les défis et réaliser les opportunités, notamment :</w:t>
            </w:r>
          </w:p>
          <w:p w14:paraId="47DB6B22" w14:textId="77777777" w:rsidR="009A752D" w:rsidRDefault="001076D8" w:rsidP="00861664">
            <w:pPr>
              <w:pStyle w:val="ListParagraph"/>
              <w:numPr>
                <w:ilvl w:val="0"/>
                <w:numId w:val="9"/>
              </w:numPr>
              <w:contextualSpacing w:val="0"/>
              <w:rPr>
                <w:rFonts w:ascii="Trebuchet MS" w:hAnsi="Trebuchet MS"/>
              </w:rPr>
            </w:pPr>
            <w:r>
              <w:rPr>
                <w:rFonts w:ascii="Trebuchet MS" w:hAnsi="Trebuchet MS"/>
              </w:rPr>
              <w:t xml:space="preserve">Des changements dans les systèmes de mines pour améliorer l'accès aux opportunités, par ex. </w:t>
            </w:r>
          </w:p>
          <w:p w14:paraId="47A9E47C" w14:textId="77777777" w:rsidR="009A752D" w:rsidRDefault="009A752D" w:rsidP="00861664">
            <w:pPr>
              <w:pStyle w:val="ListParagraph"/>
              <w:numPr>
                <w:ilvl w:val="1"/>
                <w:numId w:val="9"/>
              </w:numPr>
              <w:contextualSpacing w:val="0"/>
              <w:rPr>
                <w:rFonts w:ascii="Trebuchet MS" w:hAnsi="Trebuchet MS"/>
              </w:rPr>
            </w:pPr>
            <w:r>
              <w:rPr>
                <w:rFonts w:ascii="Trebuchet MS" w:hAnsi="Trebuchet MS"/>
              </w:rPr>
              <w:t>Le partage d'informations sur la demande et les besoins futurs, l'utilisation de différents canaux de communication, la création de centres d'information sur les appels d'offre.</w:t>
            </w:r>
          </w:p>
          <w:p w14:paraId="5BAF4535" w14:textId="0550B649" w:rsidR="009A752D" w:rsidRDefault="009A752D" w:rsidP="00861664">
            <w:pPr>
              <w:pStyle w:val="ListParagraph"/>
              <w:numPr>
                <w:ilvl w:val="1"/>
                <w:numId w:val="9"/>
              </w:numPr>
              <w:contextualSpacing w:val="0"/>
              <w:rPr>
                <w:rFonts w:ascii="Trebuchet MS" w:hAnsi="Trebuchet MS"/>
              </w:rPr>
            </w:pPr>
            <w:r>
              <w:rPr>
                <w:rFonts w:ascii="Trebuchet MS" w:hAnsi="Trebuchet MS"/>
              </w:rPr>
              <w:t>L'élaboration de bases de données de fournisseurs et</w:t>
            </w:r>
            <w:r w:rsidR="00CF31EC">
              <w:rPr>
                <w:rFonts w:ascii="Trebuchet MS" w:hAnsi="Trebuchet MS"/>
              </w:rPr>
              <w:t xml:space="preserve"> </w:t>
            </w:r>
            <w:r>
              <w:rPr>
                <w:rFonts w:ascii="Trebuchet MS" w:hAnsi="Trebuchet MS"/>
              </w:rPr>
              <w:t>de processus alignés d'enregistrement des vendeurs et de pré-qualification</w:t>
            </w:r>
          </w:p>
          <w:p w14:paraId="6DFEEC20" w14:textId="022E0003" w:rsidR="001076D8" w:rsidRPr="00854CDE" w:rsidRDefault="009A752D" w:rsidP="00861664">
            <w:pPr>
              <w:pStyle w:val="ListParagraph"/>
              <w:numPr>
                <w:ilvl w:val="1"/>
                <w:numId w:val="9"/>
              </w:numPr>
              <w:contextualSpacing w:val="0"/>
              <w:rPr>
                <w:rFonts w:ascii="Trebuchet MS" w:hAnsi="Trebuchet MS"/>
              </w:rPr>
            </w:pPr>
            <w:r>
              <w:rPr>
                <w:rFonts w:ascii="Trebuchet MS" w:hAnsi="Trebuchet MS"/>
              </w:rPr>
              <w:t>Des changements dans les processus d'approvisionnement et d'attribution des contrats, par ex. la simplification des documents requis pour les appels d'offres, des feedbacks sur les soumissions pour comprendre les écarts de compétitivité, des appels d'offres ouverts, la prise en compte des délais de pré-financement nationaux dans les dates limites de soumission, l'allocation de certaines offres à des fournisseurs locaux, de points de préférence, délimitation d'unités de travail</w:t>
            </w:r>
            <w:r w:rsidR="00CF31EC">
              <w:rPr>
                <w:rFonts w:ascii="Trebuchet MS" w:hAnsi="Trebuchet MS"/>
              </w:rPr>
              <w:t xml:space="preserve"> </w:t>
            </w:r>
            <w:r>
              <w:rPr>
                <w:rFonts w:ascii="Trebuchet MS" w:hAnsi="Trebuchet MS"/>
              </w:rPr>
              <w:t xml:space="preserve">par ex. "dégroupage", obligations pour les entrepreneurs primaires de sous-traiter au niveau local, d'allonger les durées de contrat pour permettre d'établir des partenariat et de renforcer les capacités </w:t>
            </w:r>
          </w:p>
          <w:p w14:paraId="67B57AB6" w14:textId="6C334393" w:rsidR="001076D8" w:rsidRPr="00854CDE" w:rsidRDefault="00CF31EC" w:rsidP="00861664">
            <w:pPr>
              <w:pStyle w:val="ListParagraph"/>
              <w:numPr>
                <w:ilvl w:val="0"/>
                <w:numId w:val="9"/>
              </w:numPr>
              <w:contextualSpacing w:val="0"/>
              <w:rPr>
                <w:rFonts w:ascii="Trebuchet MS" w:hAnsi="Trebuchet MS"/>
              </w:rPr>
            </w:pPr>
            <w:r>
              <w:rPr>
                <w:rFonts w:ascii="Trebuchet MS" w:hAnsi="Trebuchet MS"/>
              </w:rPr>
              <w:t xml:space="preserve"> </w:t>
            </w:r>
            <w:r w:rsidR="001076D8">
              <w:rPr>
                <w:rFonts w:ascii="Trebuchet MS" w:hAnsi="Trebuchet MS"/>
              </w:rPr>
              <w:t>Assistance technique par exemple tests de produits, rech</w:t>
            </w:r>
            <w:r w:rsidR="003B7305">
              <w:rPr>
                <w:rFonts w:ascii="Trebuchet MS" w:hAnsi="Trebuchet MS"/>
              </w:rPr>
              <w:t>erche et développement conjoints</w:t>
            </w:r>
            <w:r w:rsidR="001076D8">
              <w:rPr>
                <w:rFonts w:ascii="Trebuchet MS" w:hAnsi="Trebuchet MS"/>
              </w:rPr>
              <w:t>, certification, accès à la technologie, santé, sécurité et environnement (directement ou par le biais des entrepreneurs primaires), mentorat et encadrement pour améliorer les capacités techniques et capacités de gestion des fournisseurs.</w:t>
            </w:r>
          </w:p>
          <w:p w14:paraId="38319852" w14:textId="6F0C469D" w:rsidR="001076D8" w:rsidRPr="00854CDE" w:rsidRDefault="001076D8" w:rsidP="00861664">
            <w:pPr>
              <w:pStyle w:val="ListParagraph"/>
              <w:numPr>
                <w:ilvl w:val="0"/>
                <w:numId w:val="9"/>
              </w:numPr>
              <w:contextualSpacing w:val="0"/>
              <w:rPr>
                <w:rFonts w:ascii="Trebuchet MS" w:hAnsi="Trebuchet MS"/>
              </w:rPr>
            </w:pPr>
            <w:r>
              <w:rPr>
                <w:rFonts w:ascii="Trebuchet MS" w:hAnsi="Trebuchet MS"/>
              </w:rPr>
              <w:t>Soutien financier et de trésorerie par exemple cycles de paiement plus courts et des modalités</w:t>
            </w:r>
            <w:r w:rsidR="00CF31EC">
              <w:rPr>
                <w:rFonts w:ascii="Trebuchet MS" w:hAnsi="Trebuchet MS"/>
              </w:rPr>
              <w:t xml:space="preserve"> </w:t>
            </w:r>
            <w:r w:rsidR="003B7305">
              <w:rPr>
                <w:rFonts w:ascii="Trebuchet MS" w:hAnsi="Trebuchet MS"/>
              </w:rPr>
              <w:t>de pré</w:t>
            </w:r>
            <w:r>
              <w:rPr>
                <w:rFonts w:ascii="Trebuchet MS" w:hAnsi="Trebuchet MS"/>
              </w:rPr>
              <w:t>financements, structuration de plusieurs paiements de contrats échelonnés, soutient pour l'achat de matériels, fonds de développement des fournisseurs, investissements par des dépenses RSE, partenariats avec des banques afin de réduire les profils de risques des fournisseurs/ d'accroitre leur solvabilité</w:t>
            </w:r>
          </w:p>
          <w:p w14:paraId="4C143CFC" w14:textId="2A7DDC1A" w:rsidR="00861664" w:rsidRPr="00861664" w:rsidRDefault="00861664" w:rsidP="00861664">
            <w:pPr>
              <w:pStyle w:val="ListParagraph"/>
              <w:numPr>
                <w:ilvl w:val="0"/>
                <w:numId w:val="9"/>
              </w:numPr>
              <w:autoSpaceDE w:val="0"/>
              <w:autoSpaceDN w:val="0"/>
              <w:adjustRightInd w:val="0"/>
              <w:contextualSpacing w:val="0"/>
              <w:rPr>
                <w:rFonts w:ascii="Trebuchet MS" w:hAnsi="Trebuchet MS" w:cs="TimesNewRomanPS"/>
              </w:rPr>
            </w:pPr>
            <w:r>
              <w:rPr>
                <w:rFonts w:ascii="Trebuchet MS" w:hAnsi="Trebuchet MS"/>
              </w:rPr>
              <w:t>Identification de fournisseurs locaux, nationaux, et internationaux pour aider à réaliser les opportunités</w:t>
            </w:r>
          </w:p>
          <w:p w14:paraId="61AD5376" w14:textId="77777777" w:rsidR="006D2BE5" w:rsidRPr="00854CDE" w:rsidRDefault="006D2BE5" w:rsidP="00861664">
            <w:pPr>
              <w:pStyle w:val="ListParagraph"/>
              <w:numPr>
                <w:ilvl w:val="0"/>
                <w:numId w:val="9"/>
              </w:numPr>
              <w:contextualSpacing w:val="0"/>
              <w:rPr>
                <w:rFonts w:ascii="Trebuchet MS" w:hAnsi="Trebuchet MS"/>
              </w:rPr>
            </w:pPr>
            <w:r>
              <w:rPr>
                <w:rFonts w:ascii="Trebuchet MS" w:hAnsi="Trebuchet MS"/>
              </w:rPr>
              <w:t xml:space="preserve">Collaboration pour promouvoir les investissements et co-entreprises pour accroitre les capacités locales </w:t>
            </w:r>
          </w:p>
          <w:p w14:paraId="5167AF42" w14:textId="52C66807" w:rsidR="00E13231" w:rsidRDefault="00E13231" w:rsidP="00861664">
            <w:pPr>
              <w:pStyle w:val="ListParagraph"/>
              <w:numPr>
                <w:ilvl w:val="0"/>
                <w:numId w:val="9"/>
              </w:numPr>
              <w:contextualSpacing w:val="0"/>
              <w:rPr>
                <w:rFonts w:ascii="Trebuchet MS" w:hAnsi="Trebuchet MS"/>
              </w:rPr>
            </w:pPr>
            <w:r>
              <w:rPr>
                <w:rFonts w:ascii="Trebuchet MS" w:hAnsi="Trebuchet MS"/>
              </w:rPr>
              <w:t>Programmes intégrés pour résoudre les problèmes liés au cadre opérationnel, par exemple la co-localisation des sites minier</w:t>
            </w:r>
            <w:r w:rsidR="003B7305">
              <w:rPr>
                <w:rFonts w:ascii="Trebuchet MS" w:hAnsi="Trebuchet MS"/>
              </w:rPr>
              <w:t>s</w:t>
            </w:r>
            <w:r>
              <w:rPr>
                <w:rFonts w:ascii="Trebuchet MS" w:hAnsi="Trebuchet MS"/>
              </w:rPr>
              <w:t xml:space="preserve"> pour </w:t>
            </w:r>
            <w:r w:rsidR="003B7305">
              <w:rPr>
                <w:rFonts w:ascii="Trebuchet MS" w:hAnsi="Trebuchet MS"/>
              </w:rPr>
              <w:t>l’</w:t>
            </w:r>
            <w:r>
              <w:rPr>
                <w:rFonts w:ascii="Trebuchet MS" w:hAnsi="Trebuchet MS"/>
              </w:rPr>
              <w:t xml:space="preserve">accès à l'énergie et </w:t>
            </w:r>
            <w:r w:rsidR="003B7305">
              <w:rPr>
                <w:rFonts w:ascii="Trebuchet MS" w:hAnsi="Trebuchet MS"/>
              </w:rPr>
              <w:t>aux</w:t>
            </w:r>
            <w:r>
              <w:rPr>
                <w:rFonts w:ascii="Trebuchet MS" w:hAnsi="Trebuchet MS"/>
              </w:rPr>
              <w:t xml:space="preserve"> infrastructures SSE, développements de parcs de fournisseurs, PPP pour les infrastructures et services publiques </w:t>
            </w:r>
          </w:p>
          <w:p w14:paraId="719A58B0" w14:textId="4949464E" w:rsidR="00546F63" w:rsidRPr="00854CDE" w:rsidRDefault="00546F63" w:rsidP="00861664">
            <w:pPr>
              <w:pStyle w:val="ListParagraph"/>
              <w:numPr>
                <w:ilvl w:val="0"/>
                <w:numId w:val="9"/>
              </w:numPr>
              <w:contextualSpacing w:val="0"/>
              <w:rPr>
                <w:rFonts w:ascii="Trebuchet MS" w:hAnsi="Trebuchet MS"/>
              </w:rPr>
            </w:pPr>
            <w:r>
              <w:rPr>
                <w:rFonts w:ascii="Trebuchet MS" w:hAnsi="Trebuchet MS"/>
              </w:rPr>
              <w:t xml:space="preserve">Prise en compte de questions de pérennité, par exemple aider les fournisseurs à diversifier leur clientèle et accéder à des marchés plus larges </w:t>
            </w:r>
          </w:p>
          <w:p w14:paraId="11BB4534" w14:textId="77777777" w:rsidR="00C90D72" w:rsidRPr="00854CDE" w:rsidRDefault="00C90D72" w:rsidP="00C01620">
            <w:pPr>
              <w:pStyle w:val="NoSpacing"/>
              <w:rPr>
                <w:rFonts w:ascii="Trebuchet MS" w:eastAsiaTheme="minorHAnsi" w:hAnsi="Trebuchet MS" w:cs="Open Sans Light"/>
              </w:rPr>
            </w:pPr>
          </w:p>
          <w:p w14:paraId="28DE30EC" w14:textId="77777777" w:rsidR="00C90D72" w:rsidRPr="00854CDE" w:rsidRDefault="00C90D72"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6F078840" w14:textId="2091A3E5" w:rsidR="00C90D72" w:rsidRDefault="00884767" w:rsidP="00C01620">
            <w:pPr>
              <w:pStyle w:val="NoSpacing"/>
              <w:rPr>
                <w:rFonts w:ascii="Trebuchet MS" w:eastAsiaTheme="minorHAnsi" w:hAnsi="Trebuchet MS" w:cs="Open Sans Light"/>
              </w:rPr>
            </w:pPr>
            <w:r>
              <w:rPr>
                <w:rFonts w:ascii="Trebuchet MS" w:eastAsiaTheme="minorHAnsi" w:hAnsi="Trebuchet MS"/>
              </w:rPr>
              <w:t>La flexibilité pour aligner les systèmes opérationnel</w:t>
            </w:r>
            <w:r w:rsidR="003B7305">
              <w:rPr>
                <w:rFonts w:ascii="Trebuchet MS" w:eastAsiaTheme="minorHAnsi" w:hAnsi="Trebuchet MS"/>
              </w:rPr>
              <w:t>s</w:t>
            </w:r>
            <w:r>
              <w:rPr>
                <w:rFonts w:ascii="Trebuchet MS" w:eastAsiaTheme="minorHAnsi" w:hAnsi="Trebuchet MS"/>
              </w:rPr>
              <w:t xml:space="preserve"> et financer le lancement de la stratégie variera selon les sociétés et les pays.</w:t>
            </w:r>
            <w:r w:rsidR="00CF31EC">
              <w:rPr>
                <w:rFonts w:ascii="Trebuchet MS" w:eastAsiaTheme="minorHAnsi" w:hAnsi="Trebuchet MS"/>
              </w:rPr>
              <w:t xml:space="preserve"> </w:t>
            </w:r>
            <w:r>
              <w:rPr>
                <w:rFonts w:ascii="Trebuchet MS" w:eastAsiaTheme="minorHAnsi" w:hAnsi="Trebuchet MS"/>
              </w:rPr>
              <w:t>Cela aidera d'avoir le ralliement des hauts responsables et une politique d'entreprise claire sur l'approvisionnement local.</w:t>
            </w:r>
            <w:r w:rsidR="00CF31EC">
              <w:rPr>
                <w:rFonts w:ascii="Trebuchet MS" w:eastAsiaTheme="minorHAnsi" w:hAnsi="Trebuchet MS"/>
              </w:rPr>
              <w:t xml:space="preserve"> </w:t>
            </w:r>
            <w:r>
              <w:rPr>
                <w:rFonts w:ascii="Trebuchet MS" w:eastAsiaTheme="minorHAnsi" w:hAnsi="Trebuchet MS"/>
              </w:rPr>
              <w:t xml:space="preserve">Là où des </w:t>
            </w:r>
            <w:r>
              <w:rPr>
                <w:rFonts w:ascii="Trebuchet MS" w:eastAsiaTheme="minorHAnsi" w:hAnsi="Trebuchet MS"/>
              </w:rPr>
              <w:lastRenderedPageBreak/>
              <w:t>obligations existent, par exemple dépenser un % du chiffre d'affaire ou du</w:t>
            </w:r>
            <w:r w:rsidR="00CF31EC">
              <w:rPr>
                <w:rFonts w:ascii="Trebuchet MS" w:eastAsiaTheme="minorHAnsi" w:hAnsi="Trebuchet MS"/>
              </w:rPr>
              <w:t xml:space="preserve"> </w:t>
            </w:r>
            <w:r>
              <w:rPr>
                <w:rFonts w:ascii="Trebuchet MS" w:eastAsiaTheme="minorHAnsi" w:hAnsi="Trebuchet MS"/>
              </w:rPr>
              <w:t xml:space="preserve">bénéfice pour le développement des entreprises ou des fournisseurs, cela peut s'avérer être un mécanisme clé pour affecter des ressources au soutien à l'approvisionnement local. </w:t>
            </w:r>
          </w:p>
          <w:p w14:paraId="2D9E83C3" w14:textId="77777777" w:rsidR="00884767" w:rsidRDefault="00884767" w:rsidP="00C01620">
            <w:pPr>
              <w:pStyle w:val="NoSpacing"/>
              <w:rPr>
                <w:rFonts w:ascii="Trebuchet MS" w:eastAsiaTheme="minorHAnsi" w:hAnsi="Trebuchet MS" w:cs="Open Sans Light"/>
              </w:rPr>
            </w:pPr>
          </w:p>
          <w:p w14:paraId="44BCC38A" w14:textId="2C90E921" w:rsidR="00884767" w:rsidRDefault="00884767" w:rsidP="00C01620">
            <w:pPr>
              <w:pStyle w:val="NoSpacing"/>
              <w:rPr>
                <w:rFonts w:ascii="Trebuchet MS" w:eastAsiaTheme="minorHAnsi" w:hAnsi="Trebuchet MS" w:cs="Open Sans Light"/>
              </w:rPr>
            </w:pPr>
            <w:r>
              <w:rPr>
                <w:rFonts w:ascii="Trebuchet MS" w:eastAsiaTheme="minorHAnsi" w:hAnsi="Trebuchet MS"/>
              </w:rPr>
              <w:t>Selon la durée de vie de la mine, la stratégie devra également prendre en compte la pérennité</w:t>
            </w:r>
            <w:r w:rsidR="00CF31EC">
              <w:rPr>
                <w:rFonts w:ascii="Trebuchet MS" w:eastAsiaTheme="minorHAnsi" w:hAnsi="Trebuchet MS"/>
              </w:rPr>
              <w:t xml:space="preserve"> </w:t>
            </w:r>
            <w:r>
              <w:rPr>
                <w:rFonts w:ascii="Trebuchet MS" w:eastAsiaTheme="minorHAnsi" w:hAnsi="Trebuchet MS"/>
              </w:rPr>
              <w:t xml:space="preserve">post- mine pour le fournisseur lacal et la </w:t>
            </w:r>
            <w:r w:rsidR="003B7305">
              <w:rPr>
                <w:rFonts w:ascii="Trebuchet MS" w:eastAsiaTheme="minorHAnsi" w:hAnsi="Trebuchet MS"/>
              </w:rPr>
              <w:t>stratégie</w:t>
            </w:r>
            <w:r>
              <w:rPr>
                <w:rFonts w:ascii="Trebuchet MS" w:eastAsiaTheme="minorHAnsi" w:hAnsi="Trebuchet MS"/>
              </w:rPr>
              <w:t xml:space="preserve"> de sortie.</w:t>
            </w:r>
            <w:r w:rsidR="00CF31EC">
              <w:rPr>
                <w:rFonts w:ascii="Trebuchet MS" w:eastAsiaTheme="minorHAnsi" w:hAnsi="Trebuchet MS"/>
              </w:rPr>
              <w:t xml:space="preserve"> </w:t>
            </w:r>
          </w:p>
          <w:p w14:paraId="0F02FA23" w14:textId="77777777" w:rsidR="00A46D93" w:rsidRDefault="00A46D93" w:rsidP="00C01620">
            <w:pPr>
              <w:pStyle w:val="NoSpacing"/>
              <w:rPr>
                <w:rFonts w:ascii="Trebuchet MS" w:eastAsiaTheme="minorHAnsi" w:hAnsi="Trebuchet MS" w:cs="Open Sans Light"/>
              </w:rPr>
            </w:pPr>
          </w:p>
          <w:p w14:paraId="0042C000"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5 à 10 pages</w:t>
            </w:r>
          </w:p>
          <w:p w14:paraId="1BCC64B8" w14:textId="77777777" w:rsidR="00A46D93" w:rsidRPr="00854CDE" w:rsidRDefault="00A46D93" w:rsidP="00C01620">
            <w:pPr>
              <w:pStyle w:val="NoSpacing"/>
              <w:rPr>
                <w:rFonts w:ascii="Trebuchet MS" w:hAnsi="Trebuchet MS" w:cs="Open Sans Light"/>
                <w:b/>
              </w:rPr>
            </w:pPr>
          </w:p>
        </w:tc>
      </w:tr>
    </w:tbl>
    <w:p w14:paraId="4BFE5A9D" w14:textId="1282A919" w:rsidR="00C92C92" w:rsidRPr="00854CDE" w:rsidRDefault="00C92C92" w:rsidP="00C01620">
      <w:pPr>
        <w:spacing w:after="0" w:line="240" w:lineRule="auto"/>
        <w:rPr>
          <w:rFonts w:ascii="Trebuchet MS" w:eastAsiaTheme="majorEastAsia" w:hAnsi="Trebuchet MS" w:cstheme="majorBidi"/>
          <w:b/>
          <w:bCs/>
          <w:color w:val="5B7987"/>
        </w:rPr>
      </w:pPr>
    </w:p>
    <w:p w14:paraId="31272914" w14:textId="77777777" w:rsidR="002E56F2" w:rsidRDefault="002E56F2">
      <w:pPr>
        <w:rPr>
          <w:rFonts w:ascii="Trebuchet MS" w:eastAsiaTheme="majorEastAsia" w:hAnsi="Trebuchet MS" w:cstheme="majorBidi"/>
          <w:b/>
          <w:bCs/>
          <w:color w:val="5B7987"/>
          <w:sz w:val="28"/>
          <w:szCs w:val="28"/>
        </w:rPr>
      </w:pPr>
      <w:bookmarkStart w:id="17" w:name="_Toc267921292"/>
      <w:bookmarkStart w:id="18" w:name="_Toc394344747"/>
      <w:r>
        <w:br w:type="page"/>
      </w:r>
    </w:p>
    <w:p w14:paraId="77E71F76" w14:textId="450A2480" w:rsidR="00242FF7" w:rsidRPr="00B6776D" w:rsidRDefault="003B7305" w:rsidP="00B6776D">
      <w:pPr>
        <w:pStyle w:val="Heading1"/>
      </w:pPr>
      <w:r>
        <w:lastRenderedPageBreak/>
        <w:t>Systèmes de m</w:t>
      </w:r>
      <w:r w:rsidR="00696A34">
        <w:t>esure, suivi et évaluation</w:t>
      </w:r>
      <w:bookmarkEnd w:id="17"/>
      <w:bookmarkEnd w:id="18"/>
    </w:p>
    <w:p w14:paraId="78AED751" w14:textId="77777777" w:rsidR="00971383" w:rsidRPr="00854CDE" w:rsidRDefault="00971383" w:rsidP="00C01620">
      <w:pPr>
        <w:spacing w:after="0" w:line="240" w:lineRule="auto"/>
        <w:rPr>
          <w:rFonts w:ascii="Trebuchet MS" w:hAnsi="Trebuchet MS"/>
        </w:rPr>
      </w:pPr>
    </w:p>
    <w:p w14:paraId="66873C87"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971383" w:rsidRPr="00854CDE" w14:paraId="4CAC918C" w14:textId="77777777" w:rsidTr="007C1D4D">
        <w:tc>
          <w:tcPr>
            <w:tcW w:w="9242" w:type="dxa"/>
            <w:shd w:val="clear" w:color="auto" w:fill="auto"/>
          </w:tcPr>
          <w:p w14:paraId="6D29FBDB" w14:textId="77777777" w:rsidR="00971383" w:rsidRPr="00854CDE" w:rsidRDefault="00971383" w:rsidP="00C01620">
            <w:pPr>
              <w:pStyle w:val="NoSpacing"/>
              <w:rPr>
                <w:rFonts w:ascii="Trebuchet MS" w:eastAsiaTheme="minorHAnsi" w:hAnsi="Trebuchet MS" w:cs="Open Sans Light"/>
              </w:rPr>
            </w:pPr>
          </w:p>
          <w:p w14:paraId="7EAFE136" w14:textId="77777777" w:rsidR="008553D6" w:rsidRPr="00854CDE" w:rsidRDefault="008553D6" w:rsidP="00C01620">
            <w:pPr>
              <w:pStyle w:val="NoSpacing"/>
              <w:rPr>
                <w:rFonts w:ascii="Trebuchet MS" w:eastAsiaTheme="minorHAnsi" w:hAnsi="Trebuchet MS" w:cs="Open Sans Light"/>
              </w:rPr>
            </w:pPr>
          </w:p>
          <w:p w14:paraId="3C5FE11C"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Domaines clés :</w:t>
            </w:r>
          </w:p>
          <w:p w14:paraId="454BB8D4" w14:textId="2142B106" w:rsidR="007D54A6" w:rsidRDefault="00DD15A8" w:rsidP="00C01620">
            <w:pPr>
              <w:pStyle w:val="NoSpacing"/>
              <w:rPr>
                <w:rFonts w:ascii="Trebuchet MS" w:eastAsiaTheme="minorHAnsi" w:hAnsi="Trebuchet MS" w:cs="Open Sans Light"/>
                <w:i/>
              </w:rPr>
            </w:pPr>
            <w:r>
              <w:rPr>
                <w:rFonts w:ascii="Trebuchet MS" w:eastAsiaTheme="minorHAnsi" w:hAnsi="Trebuchet MS"/>
                <w:i/>
              </w:rPr>
              <w:t>Voir le module 8 du Guide</w:t>
            </w:r>
          </w:p>
          <w:p w14:paraId="168DF831" w14:textId="77777777" w:rsidR="00DD15A8" w:rsidRPr="007D54A6" w:rsidRDefault="00DD15A8" w:rsidP="00C01620">
            <w:pPr>
              <w:pStyle w:val="NoSpacing"/>
              <w:rPr>
                <w:rFonts w:ascii="Trebuchet MS" w:eastAsiaTheme="minorHAnsi" w:hAnsi="Trebuchet MS" w:cs="Open Sans Light"/>
                <w:i/>
              </w:rPr>
            </w:pPr>
          </w:p>
          <w:p w14:paraId="04FE65B3" w14:textId="194D9A32" w:rsidR="008553D6" w:rsidRDefault="007D54A6" w:rsidP="00C01620">
            <w:pPr>
              <w:pStyle w:val="NoSpacing"/>
              <w:rPr>
                <w:rFonts w:ascii="Trebuchet MS" w:eastAsiaTheme="minorHAnsi" w:hAnsi="Trebuchet MS" w:cs="Open Sans Light"/>
              </w:rPr>
            </w:pPr>
            <w:r>
              <w:rPr>
                <w:rFonts w:ascii="Trebuchet MS" w:eastAsiaTheme="minorHAnsi" w:hAnsi="Trebuchet MS"/>
              </w:rPr>
              <w:t>Cette section décrit comment les données sur ​​la performance seront recueillies, et comment ces informations seront a</w:t>
            </w:r>
            <w:r w:rsidR="003B7305">
              <w:rPr>
                <w:rFonts w:ascii="Trebuchet MS" w:eastAsiaTheme="minorHAnsi" w:hAnsi="Trebuchet MS"/>
              </w:rPr>
              <w:t>nalysées et étudiées de afin d'</w:t>
            </w:r>
            <w:r>
              <w:rPr>
                <w:rFonts w:ascii="Trebuchet MS" w:eastAsiaTheme="minorHAnsi" w:hAnsi="Trebuchet MS"/>
              </w:rPr>
              <w:t>améliorer les performances.</w:t>
            </w:r>
            <w:r w:rsidR="00CF31EC">
              <w:rPr>
                <w:rFonts w:ascii="Trebuchet MS" w:eastAsiaTheme="minorHAnsi" w:hAnsi="Trebuchet MS"/>
              </w:rPr>
              <w:t xml:space="preserve"> </w:t>
            </w:r>
            <w:r>
              <w:rPr>
                <w:rFonts w:ascii="Trebuchet MS" w:eastAsiaTheme="minorHAnsi" w:hAnsi="Trebuchet MS"/>
              </w:rPr>
              <w:t>Les systèmes les plus efficaces sont probablement ceux qui sont intégrés dans les systèmes existants, par exemple :</w:t>
            </w:r>
          </w:p>
          <w:p w14:paraId="2E903ED9" w14:textId="77777777" w:rsidR="007D54A6" w:rsidRDefault="007D54A6" w:rsidP="007D54A6">
            <w:pPr>
              <w:pStyle w:val="NoSpacing"/>
              <w:numPr>
                <w:ilvl w:val="0"/>
                <w:numId w:val="19"/>
              </w:numPr>
              <w:rPr>
                <w:rFonts w:ascii="Trebuchet MS" w:eastAsiaTheme="minorHAnsi" w:hAnsi="Trebuchet MS" w:cs="Open Sans Light"/>
              </w:rPr>
            </w:pPr>
            <w:r>
              <w:rPr>
                <w:rFonts w:ascii="Trebuchet MS" w:eastAsiaTheme="minorHAnsi" w:hAnsi="Trebuchet MS"/>
              </w:rPr>
              <w:t>Systèmes et bases de données d'approvisionnement, d'enregistrement des vendeurs et de pré-qualification</w:t>
            </w:r>
          </w:p>
          <w:p w14:paraId="6EC7D4DC" w14:textId="77777777" w:rsidR="007D54A6" w:rsidRDefault="007D54A6" w:rsidP="007D54A6">
            <w:pPr>
              <w:pStyle w:val="NoSpacing"/>
              <w:numPr>
                <w:ilvl w:val="0"/>
                <w:numId w:val="19"/>
              </w:numPr>
              <w:rPr>
                <w:rFonts w:ascii="Trebuchet MS" w:eastAsiaTheme="minorHAnsi" w:hAnsi="Trebuchet MS" w:cs="Open Sans Light"/>
              </w:rPr>
            </w:pPr>
            <w:r>
              <w:rPr>
                <w:rFonts w:ascii="Trebuchet MS" w:eastAsiaTheme="minorHAnsi" w:hAnsi="Trebuchet MS"/>
              </w:rPr>
              <w:t>Systèmes de progiciels de gestion intégrée tels que SAP</w:t>
            </w:r>
          </w:p>
          <w:p w14:paraId="033DE773" w14:textId="77777777" w:rsidR="007D54A6" w:rsidRPr="007D54A6" w:rsidRDefault="007D54A6" w:rsidP="007D54A6">
            <w:pPr>
              <w:pStyle w:val="NoSpacing"/>
              <w:numPr>
                <w:ilvl w:val="0"/>
                <w:numId w:val="19"/>
              </w:numPr>
              <w:rPr>
                <w:rFonts w:ascii="Trebuchet MS" w:eastAsiaTheme="minorHAnsi" w:hAnsi="Trebuchet MS" w:cs="Open Sans Light"/>
              </w:rPr>
            </w:pPr>
            <w:r>
              <w:rPr>
                <w:rFonts w:ascii="Trebuchet MS" w:eastAsiaTheme="minorHAnsi" w:hAnsi="Trebuchet MS"/>
              </w:rPr>
              <w:t xml:space="preserve">Systèmes de facturation, de paiement, de comptabilité et de gestion financière </w:t>
            </w:r>
          </w:p>
          <w:p w14:paraId="78E4CD10" w14:textId="77777777" w:rsidR="008553D6" w:rsidRDefault="007D54A6" w:rsidP="00C01620">
            <w:pPr>
              <w:pStyle w:val="NoSpacing"/>
              <w:rPr>
                <w:rFonts w:ascii="Trebuchet MS" w:eastAsiaTheme="minorHAnsi" w:hAnsi="Trebuchet MS" w:cs="Open Sans Light"/>
              </w:rPr>
            </w:pPr>
            <w:r>
              <w:rPr>
                <w:rFonts w:ascii="Trebuchet MS" w:eastAsiaTheme="minorHAnsi" w:hAnsi="Trebuchet MS"/>
              </w:rPr>
              <w:t>Cette section devrait couvrir les lacunes dans les informations actuellement disponibles via ces systèmes, et la façon dont ils pourraient être modifiés pour intégrer les informations nécessaires, par exemple, l'introduction de nouveaux champs ou codes, des modifications dans les processus d'enregistrement ou les questionnaires des fournisseurs.</w:t>
            </w:r>
          </w:p>
          <w:p w14:paraId="7C9BD80C" w14:textId="77777777" w:rsidR="007D54A6" w:rsidRDefault="007D54A6" w:rsidP="00C01620">
            <w:pPr>
              <w:pStyle w:val="NoSpacing"/>
              <w:rPr>
                <w:rFonts w:ascii="Trebuchet MS" w:eastAsiaTheme="minorHAnsi" w:hAnsi="Trebuchet MS" w:cs="Open Sans Light"/>
              </w:rPr>
            </w:pPr>
          </w:p>
          <w:p w14:paraId="01BC313C" w14:textId="51212836" w:rsidR="007D54A6" w:rsidRDefault="007D54A6" w:rsidP="00C01620">
            <w:pPr>
              <w:pStyle w:val="NoSpacing"/>
              <w:rPr>
                <w:rFonts w:ascii="Trebuchet MS" w:eastAsiaTheme="minorHAnsi" w:hAnsi="Trebuchet MS" w:cs="Open Sans Light"/>
              </w:rPr>
            </w:pPr>
            <w:r>
              <w:rPr>
                <w:rFonts w:ascii="Trebuchet MS" w:eastAsiaTheme="minorHAnsi" w:hAnsi="Trebuchet MS"/>
              </w:rPr>
              <w:t xml:space="preserve">Lorsque les lacunes d'informations ne peuvent se résoudre par ces systèmes, cette section fournira des systèmes de collecte de données alternatifs, par exemple des enquêtes. </w:t>
            </w:r>
          </w:p>
          <w:p w14:paraId="2BB97B6D" w14:textId="77777777" w:rsidR="0004196B" w:rsidRDefault="0004196B" w:rsidP="00C01620">
            <w:pPr>
              <w:pStyle w:val="NoSpacing"/>
              <w:rPr>
                <w:rFonts w:ascii="Trebuchet MS" w:eastAsiaTheme="minorHAnsi" w:hAnsi="Trebuchet MS" w:cs="Open Sans Light"/>
              </w:rPr>
            </w:pPr>
          </w:p>
          <w:p w14:paraId="05C0DA06" w14:textId="2CB4AC7F" w:rsidR="0004196B" w:rsidRDefault="0004196B" w:rsidP="00C01620">
            <w:pPr>
              <w:pStyle w:val="NoSpacing"/>
              <w:rPr>
                <w:rFonts w:ascii="Trebuchet MS" w:eastAsiaTheme="minorHAnsi" w:hAnsi="Trebuchet MS" w:cs="Open Sans Light"/>
              </w:rPr>
            </w:pPr>
            <w:r>
              <w:rPr>
                <w:rFonts w:ascii="Trebuchet MS" w:eastAsiaTheme="minorHAnsi" w:hAnsi="Trebuchet MS"/>
              </w:rPr>
              <w:t>Cette section portera également sur la façon dont les résultats de ces systèmes seront intégrés à la révision de l'organisation et aux processus d'apprentissage.</w:t>
            </w:r>
            <w:r w:rsidR="00CF31EC">
              <w:rPr>
                <w:rFonts w:ascii="Trebuchet MS" w:eastAsiaTheme="minorHAnsi" w:hAnsi="Trebuchet MS"/>
              </w:rPr>
              <w:t xml:space="preserve"> </w:t>
            </w:r>
            <w:r>
              <w:rPr>
                <w:rFonts w:ascii="Trebuchet MS" w:eastAsiaTheme="minorHAnsi" w:hAnsi="Trebuchet MS"/>
              </w:rPr>
              <w:t>Dans le cas de mise à jour de rapports, les réussites, échecs, leçons tirées et défis rencontrés pourront être inclus, ainsi que les facteurs contribuant, les implications pour l'approche etc.</w:t>
            </w:r>
            <w:r w:rsidR="00CF31EC">
              <w:rPr>
                <w:rFonts w:ascii="Trebuchet MS" w:eastAsiaTheme="minorHAnsi" w:hAnsi="Trebuchet MS"/>
              </w:rPr>
              <w:t xml:space="preserve"> </w:t>
            </w:r>
          </w:p>
          <w:p w14:paraId="5278BEFE" w14:textId="77777777" w:rsidR="007D54A6" w:rsidRPr="00854CDE" w:rsidRDefault="007D54A6" w:rsidP="00C01620">
            <w:pPr>
              <w:pStyle w:val="NoSpacing"/>
              <w:rPr>
                <w:rFonts w:ascii="Trebuchet MS" w:eastAsiaTheme="minorHAnsi" w:hAnsi="Trebuchet MS" w:cs="Open Sans Light"/>
              </w:rPr>
            </w:pPr>
          </w:p>
          <w:p w14:paraId="7D43F38E"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32E39442" w14:textId="006903FD" w:rsidR="00971383" w:rsidRPr="0004196B" w:rsidRDefault="0004196B" w:rsidP="00C01620">
            <w:pPr>
              <w:pStyle w:val="NoSpacing"/>
              <w:rPr>
                <w:rFonts w:ascii="Trebuchet MS" w:eastAsiaTheme="minorHAnsi" w:hAnsi="Trebuchet MS" w:cs="Open Sans Light"/>
              </w:rPr>
            </w:pPr>
            <w:r>
              <w:rPr>
                <w:rFonts w:ascii="Trebuchet MS" w:eastAsiaTheme="minorHAnsi" w:hAnsi="Trebuchet MS"/>
              </w:rPr>
              <w:t>Les systèmes les plus exploitables seront très dépendants des systèmes et processus requis par les directives d'entreprises.</w:t>
            </w:r>
            <w:r w:rsidR="00CF31EC">
              <w:rPr>
                <w:rFonts w:ascii="Trebuchet MS" w:eastAsiaTheme="minorHAnsi" w:hAnsi="Trebuchet MS"/>
              </w:rPr>
              <w:t xml:space="preserve"> </w:t>
            </w:r>
            <w:r>
              <w:rPr>
                <w:rFonts w:ascii="Trebuchet MS" w:eastAsiaTheme="minorHAnsi" w:hAnsi="Trebuchet MS"/>
              </w:rPr>
              <w:t xml:space="preserve">Dans l'idéal, la déclaration devrait être aussi simple, transparente, et automatisée que possible. </w:t>
            </w:r>
          </w:p>
          <w:p w14:paraId="5FBB839D" w14:textId="77777777" w:rsidR="00A46D93" w:rsidRDefault="00A46D93" w:rsidP="00C01620">
            <w:pPr>
              <w:pStyle w:val="NoSpacing"/>
              <w:rPr>
                <w:rFonts w:ascii="Trebuchet MS" w:eastAsiaTheme="minorHAnsi" w:hAnsi="Trebuchet MS" w:cs="Open Sans Light"/>
              </w:rPr>
            </w:pPr>
          </w:p>
          <w:p w14:paraId="37B4FD7F"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2 à 5 pages</w:t>
            </w:r>
          </w:p>
          <w:p w14:paraId="356DB459" w14:textId="77777777" w:rsidR="00A46D93" w:rsidRPr="00854CDE" w:rsidRDefault="00A46D93" w:rsidP="00C01620">
            <w:pPr>
              <w:pStyle w:val="NoSpacing"/>
              <w:rPr>
                <w:rFonts w:ascii="Trebuchet MS" w:hAnsi="Trebuchet MS" w:cs="Open Sans Light"/>
                <w:b/>
              </w:rPr>
            </w:pPr>
          </w:p>
        </w:tc>
      </w:tr>
    </w:tbl>
    <w:p w14:paraId="13589230" w14:textId="77777777" w:rsidR="00971383" w:rsidRDefault="00971383" w:rsidP="00C01620">
      <w:pPr>
        <w:autoSpaceDE w:val="0"/>
        <w:autoSpaceDN w:val="0"/>
        <w:adjustRightInd w:val="0"/>
        <w:spacing w:after="0" w:line="240" w:lineRule="auto"/>
        <w:rPr>
          <w:rFonts w:ascii="Trebuchet MS" w:hAnsi="Trebuchet MS" w:cs="Open Sans Light"/>
          <w:b/>
          <w:bCs/>
          <w:color w:val="2D2D2D"/>
        </w:rPr>
      </w:pPr>
    </w:p>
    <w:p w14:paraId="47ECE53F" w14:textId="77777777" w:rsidR="00506468" w:rsidRPr="00854CDE" w:rsidRDefault="00506468" w:rsidP="00C01620">
      <w:pPr>
        <w:autoSpaceDE w:val="0"/>
        <w:autoSpaceDN w:val="0"/>
        <w:adjustRightInd w:val="0"/>
        <w:spacing w:after="0" w:line="240" w:lineRule="auto"/>
        <w:rPr>
          <w:rFonts w:ascii="Trebuchet MS" w:hAnsi="Trebuchet MS" w:cs="Open Sans Light"/>
          <w:b/>
          <w:bCs/>
          <w:color w:val="2D2D2D"/>
        </w:rPr>
      </w:pPr>
    </w:p>
    <w:p w14:paraId="6623895C" w14:textId="77777777" w:rsidR="00B0337F" w:rsidRPr="00854CDE" w:rsidRDefault="00B0337F" w:rsidP="00C01620">
      <w:pPr>
        <w:autoSpaceDE w:val="0"/>
        <w:autoSpaceDN w:val="0"/>
        <w:adjustRightInd w:val="0"/>
        <w:spacing w:after="0" w:line="240" w:lineRule="auto"/>
        <w:rPr>
          <w:rFonts w:ascii="Trebuchet MS" w:hAnsi="Trebuchet MS" w:cs="Helvetica"/>
          <w:color w:val="2D2D2D"/>
        </w:rPr>
      </w:pPr>
    </w:p>
    <w:p w14:paraId="7C5988B4"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11DE4C04" w14:textId="653B6578" w:rsidR="00696A34" w:rsidRPr="00B6776D" w:rsidRDefault="00696A34" w:rsidP="00B6776D">
      <w:pPr>
        <w:pStyle w:val="Heading1"/>
      </w:pPr>
      <w:bookmarkStart w:id="19" w:name="_Toc267921293"/>
      <w:bookmarkStart w:id="20" w:name="_Toc394344748"/>
      <w:r>
        <w:lastRenderedPageBreak/>
        <w:t>Construire des capacités internes et externes pour mettre le plan en place</w:t>
      </w:r>
      <w:bookmarkEnd w:id="19"/>
      <w:bookmarkEnd w:id="20"/>
    </w:p>
    <w:p w14:paraId="1816FB37" w14:textId="77777777" w:rsidR="00696A34" w:rsidRPr="00854CDE" w:rsidRDefault="00696A34" w:rsidP="00C01620">
      <w:pPr>
        <w:autoSpaceDE w:val="0"/>
        <w:autoSpaceDN w:val="0"/>
        <w:adjustRightInd w:val="0"/>
        <w:spacing w:after="0" w:line="240" w:lineRule="auto"/>
        <w:rPr>
          <w:rFonts w:ascii="Trebuchet MS" w:hAnsi="Trebuchet MS" w:cs="Helvetica"/>
          <w:color w:val="2D2D2D"/>
        </w:rPr>
      </w:pPr>
    </w:p>
    <w:p w14:paraId="44B02494" w14:textId="77777777" w:rsidR="00696A34" w:rsidRPr="00854CDE" w:rsidRDefault="00696A34"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696A34" w:rsidRPr="00854CDE" w14:paraId="21C40088" w14:textId="77777777" w:rsidTr="007C1D4D">
        <w:tc>
          <w:tcPr>
            <w:tcW w:w="9242" w:type="dxa"/>
            <w:shd w:val="clear" w:color="auto" w:fill="auto"/>
          </w:tcPr>
          <w:p w14:paraId="34781310" w14:textId="474B30FF" w:rsidR="00696A34" w:rsidRPr="00854CDE" w:rsidRDefault="00696A34" w:rsidP="00C01620">
            <w:pPr>
              <w:pStyle w:val="NoSpacing"/>
              <w:rPr>
                <w:rFonts w:ascii="Trebuchet MS" w:eastAsiaTheme="minorHAnsi" w:hAnsi="Trebuchet MS" w:cs="Open Sans Light"/>
              </w:rPr>
            </w:pPr>
          </w:p>
          <w:p w14:paraId="7D8029B8" w14:textId="77777777" w:rsidR="00696A34" w:rsidRDefault="00696A34" w:rsidP="00C01620">
            <w:pPr>
              <w:pStyle w:val="NoSpacing"/>
              <w:rPr>
                <w:rFonts w:ascii="Trebuchet MS" w:eastAsiaTheme="minorHAnsi" w:hAnsi="Trebuchet MS" w:cs="Open Sans Light"/>
                <w:b/>
              </w:rPr>
            </w:pPr>
            <w:r>
              <w:rPr>
                <w:rFonts w:ascii="Trebuchet MS" w:eastAsiaTheme="minorHAnsi" w:hAnsi="Trebuchet MS"/>
                <w:b/>
              </w:rPr>
              <w:t>Domaines clés :</w:t>
            </w:r>
          </w:p>
          <w:p w14:paraId="32B0A5FB" w14:textId="531CA38C" w:rsidR="008B656A" w:rsidRPr="008B656A" w:rsidRDefault="008B656A" w:rsidP="00C01620">
            <w:pPr>
              <w:pStyle w:val="NoSpacing"/>
              <w:rPr>
                <w:rFonts w:ascii="Trebuchet MS" w:eastAsiaTheme="minorHAnsi" w:hAnsi="Trebuchet MS" w:cs="Open Sans Light"/>
                <w:i/>
              </w:rPr>
            </w:pPr>
            <w:r>
              <w:rPr>
                <w:rFonts w:ascii="Trebuchet MS" w:eastAsiaTheme="minorHAnsi" w:hAnsi="Trebuchet MS"/>
                <w:i/>
              </w:rPr>
              <w:t>Voir le module 8 du Guide</w:t>
            </w:r>
          </w:p>
          <w:p w14:paraId="3DDC4B8D" w14:textId="77777777" w:rsidR="008B656A" w:rsidRPr="00854CDE" w:rsidRDefault="008B656A" w:rsidP="00C01620">
            <w:pPr>
              <w:pStyle w:val="NoSpacing"/>
              <w:rPr>
                <w:rFonts w:ascii="Trebuchet MS" w:eastAsiaTheme="minorHAnsi" w:hAnsi="Trebuchet MS" w:cs="Open Sans Light"/>
                <w:b/>
              </w:rPr>
            </w:pPr>
          </w:p>
          <w:p w14:paraId="38CD810A" w14:textId="77777777" w:rsidR="00696A34" w:rsidRPr="00854CDE" w:rsidRDefault="00506468" w:rsidP="00C01620">
            <w:pPr>
              <w:pStyle w:val="Default"/>
              <w:rPr>
                <w:rFonts w:ascii="Trebuchet MS" w:hAnsi="Trebuchet MS" w:cs="Open Sans Light"/>
                <w:sz w:val="22"/>
                <w:szCs w:val="22"/>
              </w:rPr>
            </w:pPr>
            <w:r>
              <w:rPr>
                <w:rFonts w:ascii="Trebuchet MS" w:hAnsi="Trebuchet MS"/>
                <w:sz w:val="22"/>
              </w:rPr>
              <w:t>Construction de capacités internes, notamment :</w:t>
            </w:r>
          </w:p>
          <w:p w14:paraId="3EDC2696" w14:textId="77777777" w:rsidR="00C90D72" w:rsidRPr="00854CDE" w:rsidRDefault="00506468" w:rsidP="00506468">
            <w:pPr>
              <w:pStyle w:val="Default"/>
              <w:numPr>
                <w:ilvl w:val="0"/>
                <w:numId w:val="12"/>
              </w:numPr>
              <w:rPr>
                <w:rFonts w:ascii="Trebuchet MS" w:hAnsi="Trebuchet MS" w:cs="Open Sans Light"/>
                <w:sz w:val="22"/>
                <w:szCs w:val="22"/>
              </w:rPr>
            </w:pPr>
            <w:r>
              <w:rPr>
                <w:rFonts w:ascii="Trebuchet MS" w:hAnsi="Trebuchet MS"/>
                <w:sz w:val="22"/>
              </w:rPr>
              <w:t>Nomination d'un agent de l'approvisionnement local</w:t>
            </w:r>
          </w:p>
          <w:p w14:paraId="1EC12D0C" w14:textId="4F4C6F0D" w:rsidR="00C90D72" w:rsidRPr="00854CDE" w:rsidRDefault="00C90D72" w:rsidP="00506468">
            <w:pPr>
              <w:pStyle w:val="Default"/>
              <w:numPr>
                <w:ilvl w:val="0"/>
                <w:numId w:val="12"/>
              </w:numPr>
              <w:rPr>
                <w:rFonts w:ascii="Trebuchet MS" w:hAnsi="Trebuchet MS" w:cs="Open Sans Light"/>
                <w:sz w:val="22"/>
                <w:szCs w:val="22"/>
              </w:rPr>
            </w:pPr>
            <w:r>
              <w:rPr>
                <w:rFonts w:ascii="Trebuchet MS" w:hAnsi="Trebuchet MS"/>
                <w:sz w:val="22"/>
              </w:rPr>
              <w:t>Enregis</w:t>
            </w:r>
            <w:r w:rsidR="003B7305">
              <w:rPr>
                <w:rFonts w:ascii="Trebuchet MS" w:hAnsi="Trebuchet MS"/>
                <w:sz w:val="22"/>
              </w:rPr>
              <w:t>trement des vendeurs/ systèmes « intégrés »</w:t>
            </w:r>
          </w:p>
          <w:p w14:paraId="73E9F60E" w14:textId="77777777" w:rsidR="00C90D72" w:rsidRPr="00854CDE" w:rsidRDefault="00BC19AF" w:rsidP="00506468">
            <w:pPr>
              <w:pStyle w:val="Default"/>
              <w:numPr>
                <w:ilvl w:val="0"/>
                <w:numId w:val="12"/>
              </w:numPr>
              <w:rPr>
                <w:rFonts w:ascii="Trebuchet MS" w:hAnsi="Trebuchet MS" w:cs="Open Sans Light"/>
                <w:sz w:val="22"/>
                <w:szCs w:val="22"/>
              </w:rPr>
            </w:pPr>
            <w:r>
              <w:rPr>
                <w:rFonts w:ascii="Trebuchet MS" w:hAnsi="Trebuchet MS"/>
                <w:sz w:val="22"/>
              </w:rPr>
              <w:t>Systèmes de paiement</w:t>
            </w:r>
          </w:p>
          <w:p w14:paraId="719168F9" w14:textId="77777777" w:rsidR="00BC19AF" w:rsidRDefault="00BC19AF" w:rsidP="00506468">
            <w:pPr>
              <w:pStyle w:val="Default"/>
              <w:numPr>
                <w:ilvl w:val="0"/>
                <w:numId w:val="12"/>
              </w:numPr>
              <w:rPr>
                <w:rFonts w:ascii="Trebuchet MS" w:hAnsi="Trebuchet MS" w:cs="Open Sans Light"/>
                <w:sz w:val="22"/>
                <w:szCs w:val="22"/>
              </w:rPr>
            </w:pPr>
            <w:r>
              <w:rPr>
                <w:rFonts w:ascii="Trebuchet MS" w:hAnsi="Trebuchet MS"/>
                <w:sz w:val="22"/>
              </w:rPr>
              <w:t xml:space="preserve">Systèmes d'approvisionnement </w:t>
            </w:r>
          </w:p>
          <w:p w14:paraId="72751C41" w14:textId="77777777" w:rsidR="00D1235E" w:rsidRPr="00854CDE" w:rsidRDefault="00D1235E" w:rsidP="00506468">
            <w:pPr>
              <w:pStyle w:val="Default"/>
              <w:numPr>
                <w:ilvl w:val="0"/>
                <w:numId w:val="12"/>
              </w:numPr>
              <w:rPr>
                <w:rFonts w:ascii="Trebuchet MS" w:hAnsi="Trebuchet MS" w:cs="Open Sans Light"/>
                <w:sz w:val="22"/>
                <w:szCs w:val="22"/>
              </w:rPr>
            </w:pPr>
            <w:r>
              <w:rPr>
                <w:rFonts w:ascii="Trebuchet MS" w:hAnsi="Trebuchet MS"/>
                <w:sz w:val="22"/>
              </w:rPr>
              <w:t xml:space="preserve">Systèmes de suivi </w:t>
            </w:r>
          </w:p>
          <w:p w14:paraId="11C9D6F0" w14:textId="77777777" w:rsidR="00C90D72" w:rsidRPr="00854CDE" w:rsidRDefault="00C90D72" w:rsidP="00C01620">
            <w:pPr>
              <w:pStyle w:val="Default"/>
              <w:rPr>
                <w:rFonts w:ascii="Trebuchet MS" w:hAnsi="Trebuchet MS" w:cs="Open Sans Light"/>
                <w:sz w:val="22"/>
                <w:szCs w:val="22"/>
              </w:rPr>
            </w:pPr>
          </w:p>
          <w:p w14:paraId="07476944" w14:textId="422D9B0D" w:rsidR="00506468" w:rsidRDefault="00506468" w:rsidP="00C01620">
            <w:pPr>
              <w:pStyle w:val="Default"/>
              <w:rPr>
                <w:rFonts w:ascii="Trebuchet MS" w:hAnsi="Trebuchet MS" w:cs="Open Sans Light"/>
                <w:sz w:val="22"/>
                <w:szCs w:val="22"/>
              </w:rPr>
            </w:pPr>
            <w:r>
              <w:rPr>
                <w:rFonts w:ascii="Trebuchet MS" w:hAnsi="Trebuchet MS"/>
                <w:sz w:val="22"/>
              </w:rPr>
              <w:t>Développement de capacités au sein de la Chambre des mines (le cas échéant), par exemple :</w:t>
            </w:r>
          </w:p>
          <w:p w14:paraId="599E1265" w14:textId="77777777" w:rsidR="00506468" w:rsidRDefault="00506468" w:rsidP="00506468">
            <w:pPr>
              <w:pStyle w:val="Default"/>
              <w:numPr>
                <w:ilvl w:val="0"/>
                <w:numId w:val="13"/>
              </w:numPr>
              <w:rPr>
                <w:rFonts w:ascii="Trebuchet MS" w:hAnsi="Trebuchet MS" w:cs="Open Sans Light"/>
                <w:sz w:val="22"/>
                <w:szCs w:val="22"/>
              </w:rPr>
            </w:pPr>
            <w:r>
              <w:rPr>
                <w:rFonts w:ascii="Trebuchet MS" w:hAnsi="Trebuchet MS"/>
                <w:sz w:val="22"/>
              </w:rPr>
              <w:t xml:space="preserve">Création d'un comité/groupe de travail sur l'approvisionnement local </w:t>
            </w:r>
          </w:p>
          <w:p w14:paraId="20348B7A" w14:textId="424D2A80" w:rsidR="00506468" w:rsidRDefault="00506468" w:rsidP="00506468">
            <w:pPr>
              <w:pStyle w:val="Default"/>
              <w:numPr>
                <w:ilvl w:val="0"/>
                <w:numId w:val="13"/>
              </w:numPr>
              <w:rPr>
                <w:rFonts w:ascii="Trebuchet MS" w:hAnsi="Trebuchet MS" w:cs="Open Sans Light"/>
                <w:sz w:val="22"/>
                <w:szCs w:val="22"/>
              </w:rPr>
            </w:pPr>
            <w:r>
              <w:rPr>
                <w:rFonts w:ascii="Trebuchet MS" w:hAnsi="Trebuchet MS"/>
                <w:sz w:val="22"/>
              </w:rPr>
              <w:t>Veiller à ce que le secrétariat a</w:t>
            </w:r>
            <w:r w:rsidR="003B7305">
              <w:rPr>
                <w:rFonts w:ascii="Trebuchet MS" w:hAnsi="Trebuchet MS"/>
                <w:sz w:val="22"/>
              </w:rPr>
              <w:t>it</w:t>
            </w:r>
            <w:r>
              <w:rPr>
                <w:rFonts w:ascii="Trebuchet MS" w:hAnsi="Trebuchet MS"/>
                <w:sz w:val="22"/>
              </w:rPr>
              <w:t xml:space="preserve"> des capacités techniques et administratives en ce qui concerne l'approvisionnement local et le développement des fournisseurs miniers. </w:t>
            </w:r>
          </w:p>
          <w:p w14:paraId="1AD7988C" w14:textId="77777777" w:rsidR="00506468" w:rsidRDefault="00506468" w:rsidP="00C01620">
            <w:pPr>
              <w:pStyle w:val="Default"/>
              <w:rPr>
                <w:rFonts w:ascii="Trebuchet MS" w:hAnsi="Trebuchet MS" w:cs="Open Sans Light"/>
                <w:sz w:val="22"/>
                <w:szCs w:val="22"/>
              </w:rPr>
            </w:pPr>
          </w:p>
          <w:p w14:paraId="5C03E270" w14:textId="77777777" w:rsidR="00696A34" w:rsidRDefault="00506468" w:rsidP="00C01620">
            <w:pPr>
              <w:pStyle w:val="Default"/>
              <w:rPr>
                <w:rFonts w:ascii="Trebuchet MS" w:hAnsi="Trebuchet MS" w:cs="Open Sans Light"/>
                <w:sz w:val="22"/>
                <w:szCs w:val="22"/>
              </w:rPr>
            </w:pPr>
            <w:r>
              <w:rPr>
                <w:rFonts w:ascii="Trebuchet MS" w:hAnsi="Trebuchet MS"/>
                <w:sz w:val="22"/>
              </w:rPr>
              <w:t xml:space="preserve">Développer des partenariats de distribution et renforcer les capacités de livraison </w:t>
            </w:r>
          </w:p>
          <w:p w14:paraId="1C12C9A4" w14:textId="21121F50" w:rsidR="00506468" w:rsidRPr="00506468" w:rsidRDefault="00506468" w:rsidP="00506468">
            <w:pPr>
              <w:pStyle w:val="Default"/>
              <w:numPr>
                <w:ilvl w:val="0"/>
                <w:numId w:val="14"/>
              </w:numPr>
              <w:rPr>
                <w:rFonts w:ascii="Trebuchet MS" w:hAnsi="Trebuchet MS"/>
                <w:color w:val="auto"/>
                <w:sz w:val="22"/>
                <w:szCs w:val="22"/>
              </w:rPr>
            </w:pPr>
            <w:r>
              <w:rPr>
                <w:rFonts w:ascii="Trebuchet MS" w:hAnsi="Trebuchet MS"/>
                <w:sz w:val="22"/>
              </w:rPr>
              <w:t xml:space="preserve">Identifier les partenaires de distribution potentiels dans le secteur privé, le secteur publique et les organisations à but non-lucratif, par exemple, les organismes de mise en relation avec le marché, les fournisseurs de services de développement des entreprises, d'autres programmes de développement des fournisseurs, les agences de développement des entreprises, les agences de promotion des investissements, les infrastructures de soutien technique, par exemple la certification et les assurances. </w:t>
            </w:r>
          </w:p>
          <w:p w14:paraId="17CE6216" w14:textId="77777777" w:rsidR="00506468" w:rsidRPr="002F6E68" w:rsidRDefault="00506468" w:rsidP="00506468">
            <w:pPr>
              <w:pStyle w:val="Default"/>
              <w:numPr>
                <w:ilvl w:val="0"/>
                <w:numId w:val="14"/>
              </w:numPr>
              <w:rPr>
                <w:rFonts w:ascii="Trebuchet MS" w:hAnsi="Trebuchet MS"/>
                <w:color w:val="auto"/>
                <w:sz w:val="22"/>
                <w:szCs w:val="22"/>
              </w:rPr>
            </w:pPr>
            <w:r>
              <w:rPr>
                <w:rFonts w:ascii="Trebuchet MS" w:hAnsi="Trebuchet MS"/>
                <w:sz w:val="22"/>
              </w:rPr>
              <w:t xml:space="preserve">Trouver la meilleure adéquation entre les exigences des partenaires sur les différents aspects du plan en fonction de la pertinence de l'attention portée, la clientèles et les réseaux, les capacités, la portée géographique, les antécédents de livraison et la réputation, la gouvernance et les systèmes de déclaration etc. </w:t>
            </w:r>
          </w:p>
          <w:p w14:paraId="6395A0BC" w14:textId="1FEB6BE4" w:rsidR="002F6E68" w:rsidRPr="002F6E68" w:rsidRDefault="002F6E68" w:rsidP="00506468">
            <w:pPr>
              <w:pStyle w:val="Default"/>
              <w:numPr>
                <w:ilvl w:val="0"/>
                <w:numId w:val="14"/>
              </w:numPr>
              <w:rPr>
                <w:rFonts w:ascii="Trebuchet MS" w:hAnsi="Trebuchet MS"/>
                <w:color w:val="auto"/>
                <w:sz w:val="22"/>
                <w:szCs w:val="22"/>
              </w:rPr>
            </w:pPr>
            <w:r>
              <w:rPr>
                <w:rFonts w:ascii="Trebuchet MS" w:hAnsi="Trebuchet MS"/>
                <w:sz w:val="22"/>
              </w:rPr>
              <w:t>Développer des accords de livraison, par ex, protocole d'accords</w:t>
            </w:r>
            <w:r w:rsidR="00CF31EC">
              <w:rPr>
                <w:rFonts w:ascii="Trebuchet MS" w:hAnsi="Trebuchet MS"/>
                <w:sz w:val="22"/>
              </w:rPr>
              <w:t>,</w:t>
            </w:r>
            <w:r>
              <w:rPr>
                <w:rFonts w:ascii="Trebuchet MS" w:hAnsi="Trebuchet MS"/>
                <w:sz w:val="22"/>
              </w:rPr>
              <w:t xml:space="preserve"> des accords de services, notamment le renforcement des capacités s'il y a lieu. </w:t>
            </w:r>
          </w:p>
          <w:p w14:paraId="7E4435B8" w14:textId="77777777" w:rsidR="002F6E68" w:rsidRPr="00854CDE" w:rsidRDefault="002F6E68" w:rsidP="002F6E68">
            <w:pPr>
              <w:pStyle w:val="Default"/>
              <w:rPr>
                <w:rFonts w:ascii="Trebuchet MS" w:hAnsi="Trebuchet MS"/>
                <w:color w:val="auto"/>
                <w:sz w:val="22"/>
                <w:szCs w:val="22"/>
              </w:rPr>
            </w:pPr>
          </w:p>
          <w:p w14:paraId="19CDC37D" w14:textId="77777777" w:rsidR="00696A34" w:rsidRPr="00854CDE" w:rsidRDefault="00696A34"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05D15EC4" w14:textId="4F8B6FF8" w:rsidR="00696A34" w:rsidRDefault="00D1235E" w:rsidP="00C01620">
            <w:pPr>
              <w:pStyle w:val="NoSpacing"/>
              <w:rPr>
                <w:rFonts w:ascii="Trebuchet MS" w:eastAsiaTheme="minorHAnsi" w:hAnsi="Trebuchet MS" w:cs="Open Sans Light"/>
              </w:rPr>
            </w:pPr>
            <w:r>
              <w:rPr>
                <w:rFonts w:ascii="Trebuchet MS" w:eastAsiaTheme="minorHAnsi" w:hAnsi="Trebuchet MS"/>
              </w:rPr>
              <w:t>Obtenir des ressources pour soutenir l'approvisionnement local risque d'être plus diffcile durant les phases d'exploration, de faisabilité et de construction. Toutefois, des systèmes tels que l'outil d'évaluation financière de l'IFC pour la pérennité des investissement</w:t>
            </w:r>
            <w:r w:rsidR="000F0D03">
              <w:rPr>
                <w:rFonts w:ascii="Trebuchet MS" w:eastAsiaTheme="minorHAnsi" w:hAnsi="Trebuchet MS"/>
              </w:rPr>
              <w:t>s</w:t>
            </w:r>
            <w:r>
              <w:rPr>
                <w:rFonts w:ascii="Trebuchet MS" w:eastAsiaTheme="minorHAnsi" w:hAnsi="Trebuchet MS"/>
              </w:rPr>
              <w:t xml:space="preserve"> (Outil EF) peut permettre de</w:t>
            </w:r>
            <w:r w:rsidR="00CF31EC">
              <w:rPr>
                <w:rFonts w:ascii="Trebuchet MS" w:eastAsiaTheme="minorHAnsi" w:hAnsi="Trebuchet MS"/>
              </w:rPr>
              <w:t xml:space="preserve"> </w:t>
            </w:r>
            <w:r>
              <w:rPr>
                <w:rFonts w:ascii="Trebuchet MS" w:eastAsiaTheme="minorHAnsi" w:hAnsi="Trebuchet MS"/>
              </w:rPr>
              <w:t>faire comprendre les coûts et avantages d'un investissement précoce dans l'approvisionnement local pour s'assurer d'une ligitimité sociale dans le contexte particulier d'une mine spécifique.</w:t>
            </w:r>
            <w:r w:rsidR="00CF31EC">
              <w:rPr>
                <w:rFonts w:ascii="Trebuchet MS" w:eastAsiaTheme="minorHAnsi" w:hAnsi="Trebuchet MS"/>
              </w:rPr>
              <w:t xml:space="preserve"> </w:t>
            </w:r>
          </w:p>
          <w:p w14:paraId="4C2D3C33" w14:textId="77777777" w:rsidR="00A46D93" w:rsidRDefault="00A46D93" w:rsidP="00C01620">
            <w:pPr>
              <w:pStyle w:val="NoSpacing"/>
              <w:rPr>
                <w:rFonts w:ascii="Trebuchet MS" w:eastAsiaTheme="minorHAnsi" w:hAnsi="Trebuchet MS" w:cs="Open Sans Light"/>
              </w:rPr>
            </w:pPr>
          </w:p>
          <w:p w14:paraId="7E6B56CD"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5 à 7 pages</w:t>
            </w:r>
          </w:p>
          <w:p w14:paraId="76EDF459" w14:textId="77777777" w:rsidR="00A46D93" w:rsidRPr="00854CDE" w:rsidRDefault="00A46D93" w:rsidP="00C01620">
            <w:pPr>
              <w:pStyle w:val="NoSpacing"/>
              <w:rPr>
                <w:rFonts w:ascii="Trebuchet MS" w:hAnsi="Trebuchet MS" w:cs="Open Sans Light"/>
                <w:b/>
              </w:rPr>
            </w:pPr>
          </w:p>
        </w:tc>
      </w:tr>
    </w:tbl>
    <w:p w14:paraId="7755212B" w14:textId="77777777" w:rsidR="00696A34" w:rsidRPr="00854CDE" w:rsidRDefault="00696A34" w:rsidP="00C01620">
      <w:pPr>
        <w:autoSpaceDE w:val="0"/>
        <w:autoSpaceDN w:val="0"/>
        <w:adjustRightInd w:val="0"/>
        <w:spacing w:after="0" w:line="240" w:lineRule="auto"/>
        <w:rPr>
          <w:rFonts w:ascii="Trebuchet MS" w:hAnsi="Trebuchet MS" w:cs="Open Sans Light"/>
          <w:b/>
          <w:bCs/>
          <w:color w:val="2D2D2D"/>
        </w:rPr>
      </w:pPr>
    </w:p>
    <w:p w14:paraId="17E65E91" w14:textId="77777777" w:rsidR="00696A34" w:rsidRPr="00854CDE" w:rsidRDefault="00696A34" w:rsidP="00C01620">
      <w:pPr>
        <w:pStyle w:val="Default"/>
        <w:rPr>
          <w:sz w:val="22"/>
          <w:szCs w:val="22"/>
        </w:rPr>
      </w:pPr>
    </w:p>
    <w:p w14:paraId="7BC6A289" w14:textId="77777777" w:rsidR="00696A34" w:rsidRPr="00854CDE" w:rsidRDefault="00696A34" w:rsidP="00C01620">
      <w:pPr>
        <w:autoSpaceDE w:val="0"/>
        <w:autoSpaceDN w:val="0"/>
        <w:adjustRightInd w:val="0"/>
        <w:spacing w:after="0" w:line="240" w:lineRule="auto"/>
        <w:rPr>
          <w:rFonts w:ascii="Trebuchet MS" w:hAnsi="Trebuchet MS" w:cs="Helvetica"/>
          <w:color w:val="2D2D2D"/>
        </w:rPr>
      </w:pPr>
    </w:p>
    <w:p w14:paraId="0E565503"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210815A8" w14:textId="77777777" w:rsidR="00516EC5" w:rsidRPr="00B6776D" w:rsidRDefault="00516EC5" w:rsidP="00B6776D">
      <w:pPr>
        <w:pStyle w:val="Heading1"/>
      </w:pPr>
      <w:bookmarkStart w:id="21" w:name="_Toc267921294"/>
      <w:bookmarkStart w:id="22" w:name="_Toc394344749"/>
      <w:r>
        <w:lastRenderedPageBreak/>
        <w:t>Risques et mesures de réduction possibles</w:t>
      </w:r>
      <w:bookmarkEnd w:id="21"/>
      <w:bookmarkEnd w:id="22"/>
    </w:p>
    <w:p w14:paraId="4E337F09" w14:textId="77777777" w:rsidR="00516EC5" w:rsidRPr="00854CDE" w:rsidRDefault="00516EC5" w:rsidP="00C01620">
      <w:pPr>
        <w:spacing w:after="0" w:line="240" w:lineRule="auto"/>
      </w:pPr>
    </w:p>
    <w:p w14:paraId="289D4E2B" w14:textId="77777777" w:rsidR="00BC19AF" w:rsidRPr="00854CDE" w:rsidRDefault="00BC19AF"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BC19AF" w:rsidRPr="00854CDE" w14:paraId="55831FDD" w14:textId="77777777" w:rsidTr="007C1D4D">
        <w:tc>
          <w:tcPr>
            <w:tcW w:w="9242" w:type="dxa"/>
            <w:shd w:val="clear" w:color="auto" w:fill="auto"/>
          </w:tcPr>
          <w:p w14:paraId="35CC8F8E" w14:textId="77777777" w:rsidR="00BC19AF" w:rsidRPr="00854CDE" w:rsidRDefault="00BC19AF" w:rsidP="00C01620">
            <w:pPr>
              <w:pStyle w:val="NoSpacing"/>
              <w:rPr>
                <w:rFonts w:ascii="Trebuchet MS" w:eastAsiaTheme="minorHAnsi" w:hAnsi="Trebuchet MS" w:cs="Open Sans Light"/>
              </w:rPr>
            </w:pPr>
          </w:p>
          <w:p w14:paraId="03ABFC74" w14:textId="77777777" w:rsidR="00BC19AF" w:rsidRPr="00854CDE" w:rsidRDefault="00BC19AF" w:rsidP="00C01620">
            <w:pPr>
              <w:pStyle w:val="NoSpacing"/>
              <w:rPr>
                <w:rFonts w:ascii="Trebuchet MS" w:eastAsiaTheme="minorHAnsi" w:hAnsi="Trebuchet MS" w:cs="Open Sans Light"/>
                <w:b/>
              </w:rPr>
            </w:pPr>
            <w:r>
              <w:rPr>
                <w:rFonts w:ascii="Trebuchet MS" w:eastAsiaTheme="minorHAnsi" w:hAnsi="Trebuchet MS"/>
                <w:b/>
              </w:rPr>
              <w:t>Domaines clés :</w:t>
            </w:r>
          </w:p>
          <w:p w14:paraId="780094A7" w14:textId="77777777" w:rsidR="00BC19AF" w:rsidRDefault="00536871" w:rsidP="00C01620">
            <w:pPr>
              <w:pStyle w:val="NoSpacing"/>
              <w:rPr>
                <w:rFonts w:ascii="Trebuchet MS" w:eastAsiaTheme="minorHAnsi" w:hAnsi="Trebuchet MS" w:cs="Open Sans Light"/>
              </w:rPr>
            </w:pPr>
            <w:r>
              <w:rPr>
                <w:rFonts w:ascii="Trebuchet MS" w:eastAsiaTheme="minorHAnsi" w:hAnsi="Trebuchet MS"/>
              </w:rPr>
              <w:t>Les types de risques à couvrir peuvent inclure :</w:t>
            </w:r>
          </w:p>
          <w:p w14:paraId="4953B272" w14:textId="33535DFA" w:rsidR="00B163C6" w:rsidRDefault="00536871" w:rsidP="00B163C6">
            <w:pPr>
              <w:pStyle w:val="NoSpacing"/>
              <w:numPr>
                <w:ilvl w:val="0"/>
                <w:numId w:val="15"/>
              </w:numPr>
              <w:rPr>
                <w:rFonts w:ascii="Trebuchet MS" w:eastAsiaTheme="minorHAnsi" w:hAnsi="Trebuchet MS" w:cs="Open Sans Light"/>
              </w:rPr>
            </w:pPr>
            <w:r>
              <w:rPr>
                <w:rFonts w:ascii="Trebuchet MS" w:eastAsiaTheme="minorHAnsi" w:hAnsi="Trebuchet MS"/>
              </w:rPr>
              <w:t xml:space="preserve">Las attentes de la communauté et de </w:t>
            </w:r>
            <w:r w:rsidR="000F0D03">
              <w:rPr>
                <w:rFonts w:ascii="Trebuchet MS" w:eastAsiaTheme="minorHAnsi" w:hAnsi="Trebuchet MS"/>
              </w:rPr>
              <w:t>l</w:t>
            </w:r>
            <w:r>
              <w:rPr>
                <w:rFonts w:ascii="Trebuchet MS" w:eastAsiaTheme="minorHAnsi" w:hAnsi="Trebuchet MS"/>
              </w:rPr>
              <w:t xml:space="preserve">a nation sur l'échelle et la nature des opportunités liées à l'approvisionnement local et l'impact des changements de la demande en fonctions des approbations, modifications des plans miniers, des prix des marchandises, etc. </w:t>
            </w:r>
          </w:p>
          <w:p w14:paraId="2AF188EC" w14:textId="77777777" w:rsidR="00B163C6" w:rsidRDefault="00B163C6" w:rsidP="00536871">
            <w:pPr>
              <w:pStyle w:val="NoSpacing"/>
              <w:numPr>
                <w:ilvl w:val="0"/>
                <w:numId w:val="15"/>
              </w:numPr>
              <w:rPr>
                <w:rFonts w:ascii="Trebuchet MS" w:eastAsiaTheme="minorHAnsi" w:hAnsi="Trebuchet MS" w:cs="Open Sans Light"/>
              </w:rPr>
            </w:pPr>
            <w:r>
              <w:rPr>
                <w:rFonts w:ascii="Trebuchet MS" w:eastAsiaTheme="minorHAnsi" w:hAnsi="Trebuchet MS"/>
              </w:rPr>
              <w:t xml:space="preserve">Absence de compréhension de la chaine d'approvisionnement des mines par les communautés et entreprises locales </w:t>
            </w:r>
          </w:p>
          <w:p w14:paraId="0F1E807B" w14:textId="77777777" w:rsidR="00536871" w:rsidRDefault="00B163C6" w:rsidP="00536871">
            <w:pPr>
              <w:pStyle w:val="NoSpacing"/>
              <w:numPr>
                <w:ilvl w:val="0"/>
                <w:numId w:val="15"/>
              </w:numPr>
              <w:rPr>
                <w:rFonts w:ascii="Trebuchet MS" w:eastAsiaTheme="minorHAnsi" w:hAnsi="Trebuchet MS" w:cs="Open Sans Light"/>
              </w:rPr>
            </w:pPr>
            <w:r>
              <w:rPr>
                <w:rFonts w:ascii="Trebuchet MS" w:eastAsiaTheme="minorHAnsi" w:hAnsi="Trebuchet MS"/>
              </w:rPr>
              <w:t>Changements soudain dans la légitimité sociale des mines</w:t>
            </w:r>
          </w:p>
          <w:p w14:paraId="2033B1BF" w14:textId="20491457" w:rsidR="00536871" w:rsidRDefault="00536871" w:rsidP="00536871">
            <w:pPr>
              <w:pStyle w:val="NoSpacing"/>
              <w:numPr>
                <w:ilvl w:val="0"/>
                <w:numId w:val="15"/>
              </w:numPr>
              <w:rPr>
                <w:rFonts w:ascii="Trebuchet MS" w:eastAsiaTheme="minorHAnsi" w:hAnsi="Trebuchet MS" w:cs="Open Sans Light"/>
              </w:rPr>
            </w:pPr>
            <w:r>
              <w:rPr>
                <w:rFonts w:ascii="Trebuchet MS" w:eastAsiaTheme="minorHAnsi" w:hAnsi="Trebuchet MS"/>
              </w:rPr>
              <w:t>Efficacité de la chaîne d'approvisionnement ou interruptions à court terme</w:t>
            </w:r>
            <w:r w:rsidR="000F0D03">
              <w:rPr>
                <w:rFonts w:ascii="Trebuchet MS" w:eastAsiaTheme="minorHAnsi" w:hAnsi="Trebuchet MS"/>
              </w:rPr>
              <w:t xml:space="preserve"> </w:t>
            </w:r>
            <w:r>
              <w:rPr>
                <w:rFonts w:ascii="Trebuchet MS" w:eastAsiaTheme="minorHAnsi" w:hAnsi="Trebuchet MS"/>
              </w:rPr>
              <w:t xml:space="preserve">(modification des systèmes et nouvelle courbe d'apprentissage des fournisseurs) </w:t>
            </w:r>
          </w:p>
          <w:p w14:paraId="7A36B5AA" w14:textId="77777777" w:rsidR="007C1D4D" w:rsidRDefault="007C1D4D" w:rsidP="00536871">
            <w:pPr>
              <w:pStyle w:val="NoSpacing"/>
              <w:numPr>
                <w:ilvl w:val="0"/>
                <w:numId w:val="15"/>
              </w:numPr>
              <w:rPr>
                <w:rFonts w:ascii="Trebuchet MS" w:eastAsiaTheme="minorHAnsi" w:hAnsi="Trebuchet MS" w:cs="Open Sans Light"/>
              </w:rPr>
            </w:pPr>
            <w:r>
              <w:rPr>
                <w:rFonts w:ascii="Trebuchet MS" w:eastAsiaTheme="minorHAnsi" w:hAnsi="Trebuchet MS"/>
              </w:rPr>
              <w:t xml:space="preserve">Collaboration des entrepreneurs principaux pour soutenir l'approvisionnement local et le mesure dans leurs chaînes d'approvisionnement </w:t>
            </w:r>
          </w:p>
          <w:p w14:paraId="1FE42D53" w14:textId="77777777" w:rsidR="00536871" w:rsidRDefault="004D3AA5" w:rsidP="00536871">
            <w:pPr>
              <w:pStyle w:val="NoSpacing"/>
              <w:numPr>
                <w:ilvl w:val="0"/>
                <w:numId w:val="15"/>
              </w:numPr>
              <w:rPr>
                <w:rFonts w:ascii="Trebuchet MS" w:eastAsiaTheme="minorHAnsi" w:hAnsi="Trebuchet MS" w:cs="Open Sans Light"/>
              </w:rPr>
            </w:pPr>
            <w:r>
              <w:rPr>
                <w:rFonts w:ascii="Trebuchet MS" w:eastAsiaTheme="minorHAnsi" w:hAnsi="Trebuchet MS"/>
              </w:rPr>
              <w:t xml:space="preserve">Pression sur les nouveaux fournisseurs sur leurs performances en matière de santé et de sécurité </w:t>
            </w:r>
          </w:p>
          <w:p w14:paraId="0FAB98A8" w14:textId="77777777" w:rsidR="00C3532D" w:rsidRDefault="00C3532D" w:rsidP="00536871">
            <w:pPr>
              <w:pStyle w:val="NoSpacing"/>
              <w:numPr>
                <w:ilvl w:val="0"/>
                <w:numId w:val="15"/>
              </w:numPr>
              <w:rPr>
                <w:rFonts w:ascii="Trebuchet MS" w:eastAsiaTheme="minorHAnsi" w:hAnsi="Trebuchet MS" w:cs="Open Sans Light"/>
              </w:rPr>
            </w:pPr>
            <w:r>
              <w:rPr>
                <w:rFonts w:ascii="Trebuchet MS" w:eastAsiaTheme="minorHAnsi" w:hAnsi="Trebuchet MS"/>
              </w:rPr>
              <w:t>Pérennité des entreprises</w:t>
            </w:r>
          </w:p>
          <w:p w14:paraId="450C0DCB" w14:textId="77777777" w:rsidR="00C3532D" w:rsidRDefault="00C3532D" w:rsidP="00536871">
            <w:pPr>
              <w:pStyle w:val="NoSpacing"/>
              <w:numPr>
                <w:ilvl w:val="0"/>
                <w:numId w:val="15"/>
              </w:numPr>
              <w:rPr>
                <w:rFonts w:ascii="Trebuchet MS" w:eastAsiaTheme="minorHAnsi" w:hAnsi="Trebuchet MS" w:cs="Open Sans Light"/>
              </w:rPr>
            </w:pPr>
            <w:r>
              <w:rPr>
                <w:rFonts w:ascii="Trebuchet MS" w:eastAsiaTheme="minorHAnsi" w:hAnsi="Trebuchet MS"/>
              </w:rPr>
              <w:t xml:space="preserve">Changements négatifs pour les fournisseurs dans l'environnement économique </w:t>
            </w:r>
          </w:p>
          <w:p w14:paraId="7A79F764" w14:textId="3643174A" w:rsidR="007C1D4D" w:rsidRDefault="00536967" w:rsidP="00536871">
            <w:pPr>
              <w:pStyle w:val="NoSpacing"/>
              <w:numPr>
                <w:ilvl w:val="0"/>
                <w:numId w:val="15"/>
              </w:numPr>
              <w:rPr>
                <w:rFonts w:ascii="Trebuchet MS" w:eastAsiaTheme="minorHAnsi" w:hAnsi="Trebuchet MS" w:cs="Open Sans Light"/>
              </w:rPr>
            </w:pPr>
            <w:r>
              <w:rPr>
                <w:rFonts w:ascii="Trebuchet MS" w:eastAsiaTheme="minorHAnsi" w:hAnsi="Trebuchet MS"/>
              </w:rPr>
              <w:t xml:space="preserve">Augmentation des prix des fournisseurs </w:t>
            </w:r>
          </w:p>
          <w:p w14:paraId="34149E95" w14:textId="578497D7" w:rsidR="007C1D4D" w:rsidRDefault="007C1D4D" w:rsidP="00536871">
            <w:pPr>
              <w:pStyle w:val="NoSpacing"/>
              <w:numPr>
                <w:ilvl w:val="0"/>
                <w:numId w:val="15"/>
              </w:numPr>
              <w:rPr>
                <w:rFonts w:ascii="Trebuchet MS" w:eastAsiaTheme="minorHAnsi" w:hAnsi="Trebuchet MS" w:cs="Open Sans Light"/>
              </w:rPr>
            </w:pPr>
            <w:r>
              <w:rPr>
                <w:rFonts w:ascii="Trebuchet MS" w:eastAsiaTheme="minorHAnsi" w:hAnsi="Trebuchet MS"/>
              </w:rPr>
              <w:t>Préoccupations concernant des pratiques</w:t>
            </w:r>
            <w:r w:rsidR="00CF31EC">
              <w:rPr>
                <w:rFonts w:ascii="Trebuchet MS" w:eastAsiaTheme="minorHAnsi" w:hAnsi="Trebuchet MS"/>
              </w:rPr>
              <w:t xml:space="preserve"> </w:t>
            </w:r>
            <w:r>
              <w:rPr>
                <w:rFonts w:ascii="Trebuchet MS" w:eastAsiaTheme="minorHAnsi" w:hAnsi="Trebuchet MS"/>
              </w:rPr>
              <w:t xml:space="preserve">collusoires et anti-concurrentielles </w:t>
            </w:r>
          </w:p>
          <w:p w14:paraId="1614794C" w14:textId="77777777" w:rsidR="002C0C45" w:rsidRPr="00854CDE" w:rsidRDefault="002C0C45" w:rsidP="00536871">
            <w:pPr>
              <w:pStyle w:val="NoSpacing"/>
              <w:numPr>
                <w:ilvl w:val="0"/>
                <w:numId w:val="15"/>
              </w:numPr>
              <w:rPr>
                <w:rFonts w:ascii="Trebuchet MS" w:eastAsiaTheme="minorHAnsi" w:hAnsi="Trebuchet MS" w:cs="Open Sans Light"/>
              </w:rPr>
            </w:pPr>
            <w:r>
              <w:rPr>
                <w:rFonts w:ascii="Trebuchet MS" w:eastAsiaTheme="minorHAnsi" w:hAnsi="Trebuchet MS"/>
              </w:rPr>
              <w:t xml:space="preserve">Effort administratif accru nécessaire </w:t>
            </w:r>
          </w:p>
          <w:p w14:paraId="2A7E10CF" w14:textId="77777777" w:rsidR="00BC19AF" w:rsidRPr="00854CDE" w:rsidRDefault="00BC19AF" w:rsidP="00C01620">
            <w:pPr>
              <w:pStyle w:val="NoSpacing"/>
              <w:rPr>
                <w:rFonts w:ascii="Trebuchet MS" w:eastAsiaTheme="minorHAnsi" w:hAnsi="Trebuchet MS" w:cs="Open Sans Light"/>
              </w:rPr>
            </w:pPr>
          </w:p>
          <w:p w14:paraId="41579184" w14:textId="77777777" w:rsidR="00BC19AF" w:rsidRPr="00854CDE" w:rsidRDefault="00BC19AF"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57765742" w14:textId="70639DCC" w:rsidR="00BC19AF" w:rsidRDefault="007C1D4D" w:rsidP="00C01620">
            <w:pPr>
              <w:pStyle w:val="NoSpacing"/>
              <w:rPr>
                <w:rFonts w:ascii="Trebuchet MS" w:eastAsiaTheme="minorHAnsi" w:hAnsi="Trebuchet MS" w:cs="Open Sans Light"/>
              </w:rPr>
            </w:pPr>
            <w:r>
              <w:rPr>
                <w:rFonts w:ascii="Trebuchet MS" w:eastAsiaTheme="minorHAnsi" w:hAnsi="Trebuchet MS"/>
              </w:rPr>
              <w:t>Certains risques pertinents peuvent avoir déjà été identifiés par des évaluations des risques socio-politiques effectuées par la société.</w:t>
            </w:r>
            <w:r w:rsidR="00CF31EC">
              <w:rPr>
                <w:rFonts w:ascii="Trebuchet MS" w:eastAsiaTheme="minorHAnsi" w:hAnsi="Trebuchet MS"/>
              </w:rPr>
              <w:t xml:space="preserve"> </w:t>
            </w:r>
          </w:p>
          <w:p w14:paraId="71FE64CD" w14:textId="77777777" w:rsidR="00A46D93" w:rsidRDefault="00A46D93" w:rsidP="00C01620">
            <w:pPr>
              <w:pStyle w:val="NoSpacing"/>
              <w:rPr>
                <w:rFonts w:ascii="Trebuchet MS" w:eastAsiaTheme="minorHAnsi" w:hAnsi="Trebuchet MS" w:cs="Open Sans Light"/>
              </w:rPr>
            </w:pPr>
          </w:p>
          <w:p w14:paraId="476E06E8"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1 à 2 pages</w:t>
            </w:r>
          </w:p>
          <w:p w14:paraId="630BC4A0" w14:textId="77777777" w:rsidR="00A46D93" w:rsidRPr="00854CDE" w:rsidRDefault="00A46D93" w:rsidP="00C01620">
            <w:pPr>
              <w:pStyle w:val="NoSpacing"/>
              <w:rPr>
                <w:rFonts w:ascii="Trebuchet MS" w:hAnsi="Trebuchet MS" w:cs="Open Sans Light"/>
                <w:b/>
              </w:rPr>
            </w:pPr>
          </w:p>
        </w:tc>
      </w:tr>
    </w:tbl>
    <w:p w14:paraId="226A5726" w14:textId="77777777" w:rsidR="00BC19AF" w:rsidRPr="00854CDE" w:rsidRDefault="00BC19AF" w:rsidP="00C01620">
      <w:pPr>
        <w:autoSpaceDE w:val="0"/>
        <w:autoSpaceDN w:val="0"/>
        <w:adjustRightInd w:val="0"/>
        <w:spacing w:after="0" w:line="240" w:lineRule="auto"/>
        <w:rPr>
          <w:rFonts w:ascii="Trebuchet MS" w:hAnsi="Trebuchet MS" w:cs="Open Sans Light"/>
          <w:b/>
          <w:bCs/>
          <w:color w:val="2D2D2D"/>
        </w:rPr>
      </w:pPr>
    </w:p>
    <w:p w14:paraId="649E1BED" w14:textId="77777777" w:rsidR="00BC19AF" w:rsidRPr="00854CDE" w:rsidRDefault="00BC19AF" w:rsidP="00C01620">
      <w:pPr>
        <w:spacing w:after="0" w:line="240" w:lineRule="auto"/>
      </w:pPr>
    </w:p>
    <w:p w14:paraId="20A24C1C" w14:textId="77777777" w:rsidR="00BC19AF" w:rsidRPr="00854CDE" w:rsidRDefault="00BC19AF" w:rsidP="00C01620">
      <w:pPr>
        <w:spacing w:after="0" w:line="240" w:lineRule="auto"/>
      </w:pPr>
    </w:p>
    <w:p w14:paraId="0D4E8F10" w14:textId="77777777" w:rsidR="00C92C92" w:rsidRPr="00854CDE" w:rsidRDefault="00C92C92" w:rsidP="00C01620">
      <w:pPr>
        <w:spacing w:after="0" w:line="240" w:lineRule="auto"/>
        <w:rPr>
          <w:rFonts w:ascii="Trebuchet MS" w:eastAsiaTheme="majorEastAsia" w:hAnsi="Trebuchet MS" w:cstheme="majorBidi"/>
          <w:b/>
          <w:bCs/>
          <w:color w:val="5B7987"/>
        </w:rPr>
      </w:pPr>
      <w:r>
        <w:br w:type="page"/>
      </w:r>
    </w:p>
    <w:p w14:paraId="19D317D4" w14:textId="77777777" w:rsidR="00242FF7" w:rsidRPr="00B6776D" w:rsidRDefault="00242FF7" w:rsidP="00B6776D">
      <w:pPr>
        <w:pStyle w:val="Heading1"/>
      </w:pPr>
      <w:bookmarkStart w:id="23" w:name="_Toc267921295"/>
      <w:bookmarkStart w:id="24" w:name="_Toc394344750"/>
      <w:r>
        <w:lastRenderedPageBreak/>
        <w:t>Plan d'action</w:t>
      </w:r>
      <w:bookmarkEnd w:id="23"/>
      <w:bookmarkEnd w:id="24"/>
    </w:p>
    <w:p w14:paraId="5245F0A3" w14:textId="77777777" w:rsidR="00971383" w:rsidRPr="00854CDE" w:rsidRDefault="00971383" w:rsidP="00C01620">
      <w:pPr>
        <w:spacing w:after="0" w:line="240" w:lineRule="auto"/>
        <w:rPr>
          <w:rFonts w:ascii="Trebuchet MS" w:hAnsi="Trebuchet MS"/>
        </w:rPr>
      </w:pPr>
    </w:p>
    <w:p w14:paraId="602D8823"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tbl>
      <w:tblPr>
        <w:tblStyle w:val="TableGrid"/>
        <w:tblW w:w="0" w:type="auto"/>
        <w:tblBorders>
          <w:top w:val="single" w:sz="24" w:space="0" w:color="5B7987"/>
          <w:left w:val="single" w:sz="24" w:space="0" w:color="5B7987"/>
          <w:bottom w:val="single" w:sz="24" w:space="0" w:color="5B7987"/>
          <w:right w:val="single" w:sz="24" w:space="0" w:color="5B7987"/>
          <w:insideH w:val="single" w:sz="24" w:space="0" w:color="5B7987"/>
          <w:insideV w:val="single" w:sz="24" w:space="0" w:color="5B7987"/>
        </w:tblBorders>
        <w:tblLook w:val="04A0" w:firstRow="1" w:lastRow="0" w:firstColumn="1" w:lastColumn="0" w:noHBand="0" w:noVBand="1"/>
      </w:tblPr>
      <w:tblGrid>
        <w:gridCol w:w="9242"/>
      </w:tblGrid>
      <w:tr w:rsidR="00971383" w:rsidRPr="00854CDE" w14:paraId="6006A0CF" w14:textId="77777777" w:rsidTr="007C1D4D">
        <w:tc>
          <w:tcPr>
            <w:tcW w:w="9242" w:type="dxa"/>
            <w:shd w:val="clear" w:color="auto" w:fill="auto"/>
          </w:tcPr>
          <w:p w14:paraId="4DCC8845" w14:textId="77777777" w:rsidR="008553D6" w:rsidRPr="00854CDE" w:rsidRDefault="008553D6" w:rsidP="00C01620">
            <w:pPr>
              <w:pStyle w:val="NoSpacing"/>
              <w:rPr>
                <w:rFonts w:ascii="Trebuchet MS" w:eastAsiaTheme="minorHAnsi" w:hAnsi="Trebuchet MS" w:cs="Open Sans Light"/>
              </w:rPr>
            </w:pPr>
          </w:p>
          <w:p w14:paraId="3A94ABF0"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Domaines clés :</w:t>
            </w:r>
          </w:p>
          <w:p w14:paraId="7494ED1A" w14:textId="77777777" w:rsidR="008553D6" w:rsidRPr="00854CDE" w:rsidRDefault="008553D6" w:rsidP="00C01620">
            <w:pPr>
              <w:pStyle w:val="NoSpacing"/>
              <w:rPr>
                <w:rFonts w:ascii="Trebuchet MS" w:eastAsiaTheme="minorHAnsi" w:hAnsi="Trebuchet MS" w:cs="Open Sans Light"/>
              </w:rPr>
            </w:pPr>
          </w:p>
          <w:p w14:paraId="1058F343" w14:textId="77777777" w:rsidR="00696A34" w:rsidRPr="00854CDE" w:rsidRDefault="00696A34" w:rsidP="00C01620">
            <w:pPr>
              <w:autoSpaceDE w:val="0"/>
              <w:autoSpaceDN w:val="0"/>
              <w:adjustRightInd w:val="0"/>
              <w:rPr>
                <w:rFonts w:ascii="Trebuchet MS" w:hAnsi="Trebuchet MS" w:cs="TimesNewRomanPS"/>
                <w:color w:val="2D2D2D"/>
              </w:rPr>
            </w:pPr>
            <w:r>
              <w:rPr>
                <w:rFonts w:ascii="Trebuchet MS" w:hAnsi="Trebuchet MS"/>
                <w:color w:val="2D2D2D"/>
              </w:rPr>
              <w:t>Actions spécifiques identifiées, notamment :</w:t>
            </w:r>
          </w:p>
          <w:p w14:paraId="21C30BB4" w14:textId="475B3914" w:rsidR="00696A34" w:rsidRPr="002815D1" w:rsidRDefault="00696A34" w:rsidP="002815D1">
            <w:pPr>
              <w:pStyle w:val="ListParagraph"/>
              <w:numPr>
                <w:ilvl w:val="0"/>
                <w:numId w:val="18"/>
              </w:numPr>
              <w:autoSpaceDE w:val="0"/>
              <w:autoSpaceDN w:val="0"/>
              <w:adjustRightInd w:val="0"/>
              <w:rPr>
                <w:rFonts w:ascii="Trebuchet MS" w:hAnsi="Trebuchet MS" w:cs="TimesNewRomanPS"/>
                <w:color w:val="2D2D2D"/>
              </w:rPr>
            </w:pPr>
            <w:r>
              <w:rPr>
                <w:rFonts w:ascii="Trebuchet MS" w:hAnsi="Trebuchet MS"/>
                <w:color w:val="2D2D2D"/>
              </w:rPr>
              <w:t>Les rôles, responsabilités et actions des composants de soutien, à la fois pour la société minière et pour les principaux partenaires de mise en œuvre</w:t>
            </w:r>
          </w:p>
          <w:p w14:paraId="52A4AFE9" w14:textId="77777777" w:rsidR="004A3629" w:rsidRPr="004A3629" w:rsidRDefault="00696A34" w:rsidP="004A3629">
            <w:pPr>
              <w:pStyle w:val="ListParagraph"/>
              <w:numPr>
                <w:ilvl w:val="0"/>
                <w:numId w:val="18"/>
              </w:numPr>
              <w:autoSpaceDE w:val="0"/>
              <w:autoSpaceDN w:val="0"/>
              <w:adjustRightInd w:val="0"/>
              <w:rPr>
                <w:rFonts w:ascii="Trebuchet MS" w:hAnsi="Trebuchet MS" w:cs="TimesNewRomanPS"/>
                <w:color w:val="2D2D2D"/>
              </w:rPr>
            </w:pPr>
            <w:r>
              <w:rPr>
                <w:rFonts w:ascii="Trebuchet MS" w:hAnsi="Trebuchet MS"/>
                <w:color w:val="2D2D2D"/>
              </w:rPr>
              <w:t>Objectifs et calendriers de mise en œuvre</w:t>
            </w:r>
          </w:p>
          <w:p w14:paraId="12FD6E57" w14:textId="77777777" w:rsidR="00516EC5" w:rsidRPr="004A3629" w:rsidRDefault="00516EC5" w:rsidP="004A3629">
            <w:pPr>
              <w:pStyle w:val="ListParagraph"/>
              <w:numPr>
                <w:ilvl w:val="0"/>
                <w:numId w:val="18"/>
              </w:numPr>
              <w:autoSpaceDE w:val="0"/>
              <w:autoSpaceDN w:val="0"/>
              <w:adjustRightInd w:val="0"/>
              <w:rPr>
                <w:rFonts w:ascii="Trebuchet MS" w:hAnsi="Trebuchet MS" w:cs="TimesNewRomanPS"/>
                <w:color w:val="2D2D2D"/>
              </w:rPr>
            </w:pPr>
            <w:r>
              <w:rPr>
                <w:rFonts w:ascii="Trebuchet MS" w:hAnsi="Trebuchet MS"/>
                <w:color w:val="2D2D2D"/>
              </w:rPr>
              <w:t xml:space="preserve">Stratégie de communication </w:t>
            </w:r>
          </w:p>
          <w:p w14:paraId="1F7EBA47" w14:textId="77777777" w:rsidR="004A3629" w:rsidRPr="00854CDE" w:rsidRDefault="004A3629" w:rsidP="004A3629">
            <w:pPr>
              <w:pStyle w:val="NoSpacing"/>
              <w:numPr>
                <w:ilvl w:val="0"/>
                <w:numId w:val="18"/>
              </w:numPr>
              <w:rPr>
                <w:rFonts w:ascii="Trebuchet MS" w:eastAsiaTheme="minorHAnsi" w:hAnsi="Trebuchet MS" w:cs="Open Sans Light"/>
              </w:rPr>
            </w:pPr>
            <w:r>
              <w:rPr>
                <w:rFonts w:ascii="Trebuchet MS" w:eastAsiaTheme="minorHAnsi" w:hAnsi="Trebuchet MS"/>
              </w:rPr>
              <w:t xml:space="preserve">Stratégie de sortie </w:t>
            </w:r>
          </w:p>
          <w:p w14:paraId="5BBCF1E2" w14:textId="77777777" w:rsidR="00516EC5" w:rsidRPr="00854CDE" w:rsidRDefault="00516EC5" w:rsidP="00C01620">
            <w:pPr>
              <w:autoSpaceDE w:val="0"/>
              <w:autoSpaceDN w:val="0"/>
              <w:adjustRightInd w:val="0"/>
              <w:rPr>
                <w:rFonts w:ascii="Trebuchet MS" w:hAnsi="Trebuchet MS" w:cs="TimesNewRomanPS"/>
                <w:color w:val="2D2D2D"/>
              </w:rPr>
            </w:pPr>
          </w:p>
          <w:p w14:paraId="7A985EDD" w14:textId="77777777" w:rsidR="00696A34" w:rsidRPr="00854CDE" w:rsidRDefault="00696A34" w:rsidP="00C01620">
            <w:pPr>
              <w:autoSpaceDE w:val="0"/>
              <w:autoSpaceDN w:val="0"/>
              <w:adjustRightInd w:val="0"/>
              <w:rPr>
                <w:rFonts w:ascii="Trebuchet MS" w:hAnsi="Trebuchet MS" w:cs="Helvetica-Bold"/>
                <w:b/>
                <w:bCs/>
                <w:color w:val="2D2D2D"/>
              </w:rPr>
            </w:pPr>
            <w:r>
              <w:rPr>
                <w:rFonts w:ascii="Trebuchet MS" w:hAnsi="Trebuchet MS"/>
                <w:b/>
                <w:color w:val="2D2D2D"/>
              </w:rPr>
              <w:t>Déclaration/ mise à jour régulière :</w:t>
            </w:r>
          </w:p>
          <w:p w14:paraId="427C367A" w14:textId="77777777" w:rsidR="00696A34" w:rsidRPr="00854CDE" w:rsidRDefault="00696A34" w:rsidP="00C01620">
            <w:pPr>
              <w:autoSpaceDE w:val="0"/>
              <w:autoSpaceDN w:val="0"/>
              <w:adjustRightInd w:val="0"/>
              <w:rPr>
                <w:rFonts w:ascii="Trebuchet MS" w:hAnsi="Trebuchet MS" w:cs="Helvetica"/>
                <w:color w:val="2D2D2D"/>
              </w:rPr>
            </w:pPr>
            <w:r>
              <w:rPr>
                <w:rFonts w:ascii="Trebuchet MS" w:hAnsi="Trebuchet MS"/>
                <w:color w:val="2D2D2D"/>
              </w:rPr>
              <w:t>• La progression de la mise en œuvre</w:t>
            </w:r>
          </w:p>
          <w:p w14:paraId="3242B944" w14:textId="77777777" w:rsidR="00696A34" w:rsidRPr="00854CDE" w:rsidRDefault="00696A34" w:rsidP="00C01620">
            <w:pPr>
              <w:autoSpaceDE w:val="0"/>
              <w:autoSpaceDN w:val="0"/>
              <w:adjustRightInd w:val="0"/>
              <w:rPr>
                <w:rFonts w:ascii="Trebuchet MS" w:hAnsi="Trebuchet MS" w:cs="Helvetica"/>
                <w:color w:val="2D2D2D"/>
              </w:rPr>
            </w:pPr>
            <w:r>
              <w:rPr>
                <w:rFonts w:ascii="Trebuchet MS" w:hAnsi="Trebuchet MS"/>
                <w:color w:val="2D2D2D"/>
              </w:rPr>
              <w:t>• Les principaux résultats de la mise en œuvre</w:t>
            </w:r>
          </w:p>
          <w:p w14:paraId="44CA4277" w14:textId="77777777" w:rsidR="00696A34" w:rsidRPr="00854CDE" w:rsidRDefault="00696A34" w:rsidP="00C01620">
            <w:pPr>
              <w:rPr>
                <w:rFonts w:ascii="Trebuchet MS" w:hAnsi="Trebuchet MS"/>
              </w:rPr>
            </w:pPr>
            <w:r>
              <w:rPr>
                <w:rFonts w:ascii="Trebuchet MS" w:hAnsi="Trebuchet MS"/>
                <w:color w:val="2D2D2D"/>
              </w:rPr>
              <w:t>• Leçons apprises</w:t>
            </w:r>
          </w:p>
          <w:p w14:paraId="11CC81F0" w14:textId="77777777" w:rsidR="00266B99" w:rsidRDefault="00266B99" w:rsidP="00266B99">
            <w:pPr>
              <w:pStyle w:val="NoSpacing"/>
              <w:rPr>
                <w:rFonts w:ascii="Trebuchet MS" w:eastAsiaTheme="minorHAnsi" w:hAnsi="Trebuchet MS" w:cs="Open Sans Light"/>
              </w:rPr>
            </w:pPr>
          </w:p>
          <w:p w14:paraId="66381D64" w14:textId="2EFC5E94" w:rsidR="00266B99" w:rsidRPr="007951E2" w:rsidRDefault="00266B99" w:rsidP="00266B99">
            <w:pPr>
              <w:pStyle w:val="NoSpacing"/>
              <w:rPr>
                <w:rFonts w:ascii="Trebuchet MS" w:eastAsiaTheme="minorHAnsi" w:hAnsi="Trebuchet MS" w:cs="Open Sans Light"/>
              </w:rPr>
            </w:pPr>
            <w:r>
              <w:rPr>
                <w:rFonts w:ascii="Trebuchet MS" w:eastAsiaTheme="minorHAnsi" w:hAnsi="Trebuchet MS"/>
              </w:rPr>
              <w:t xml:space="preserve">Un format typique serait une matrice ou un tableau avec les actions, les étapes, les responsabilités et les délais (mensuelle / trimestrielle). </w:t>
            </w:r>
          </w:p>
          <w:p w14:paraId="1E64A420" w14:textId="77777777" w:rsidR="008553D6" w:rsidRPr="00854CDE" w:rsidRDefault="008553D6" w:rsidP="00C01620">
            <w:pPr>
              <w:pStyle w:val="NoSpacing"/>
              <w:rPr>
                <w:rFonts w:ascii="Trebuchet MS" w:eastAsiaTheme="minorHAnsi" w:hAnsi="Trebuchet MS" w:cs="Open Sans Light"/>
              </w:rPr>
            </w:pPr>
          </w:p>
          <w:p w14:paraId="15F931C0" w14:textId="77777777" w:rsidR="008553D6" w:rsidRPr="00854CDE" w:rsidRDefault="008553D6" w:rsidP="00C01620">
            <w:pPr>
              <w:pStyle w:val="NoSpacing"/>
              <w:rPr>
                <w:rFonts w:ascii="Trebuchet MS" w:eastAsiaTheme="minorHAnsi" w:hAnsi="Trebuchet MS" w:cs="Open Sans Light"/>
                <w:b/>
              </w:rPr>
            </w:pPr>
            <w:r>
              <w:rPr>
                <w:rFonts w:ascii="Trebuchet MS" w:eastAsiaTheme="minorHAnsi" w:hAnsi="Trebuchet MS"/>
                <w:b/>
              </w:rPr>
              <w:t>Autres considérations :</w:t>
            </w:r>
          </w:p>
          <w:p w14:paraId="6A63EB91" w14:textId="03BB1955" w:rsidR="00A46D93" w:rsidRDefault="00266B99" w:rsidP="00C01620">
            <w:pPr>
              <w:pStyle w:val="NoSpacing"/>
              <w:rPr>
                <w:rFonts w:ascii="Trebuchet MS" w:eastAsiaTheme="minorHAnsi" w:hAnsi="Trebuchet MS" w:cs="Open Sans Light"/>
              </w:rPr>
            </w:pPr>
            <w:r>
              <w:rPr>
                <w:rFonts w:ascii="Trebuchet MS" w:eastAsiaTheme="minorHAnsi" w:hAnsi="Trebuchet MS"/>
              </w:rPr>
              <w:t>Le format</w:t>
            </w:r>
            <w:r w:rsidR="00CF31EC">
              <w:rPr>
                <w:rFonts w:ascii="Trebuchet MS" w:eastAsiaTheme="minorHAnsi" w:hAnsi="Trebuchet MS"/>
              </w:rPr>
              <w:t xml:space="preserve"> </w:t>
            </w:r>
            <w:r>
              <w:rPr>
                <w:rFonts w:ascii="Trebuchet MS" w:eastAsiaTheme="minorHAnsi" w:hAnsi="Trebuchet MS"/>
              </w:rPr>
              <w:t>devrait peut-être s'aligner sur les</w:t>
            </w:r>
            <w:r w:rsidR="000F0D03">
              <w:rPr>
                <w:rFonts w:ascii="Trebuchet MS" w:eastAsiaTheme="minorHAnsi" w:hAnsi="Trebuchet MS"/>
              </w:rPr>
              <w:t xml:space="preserve"> modèles de plan d'action de l'</w:t>
            </w:r>
            <w:r>
              <w:rPr>
                <w:rFonts w:ascii="Trebuchet MS" w:eastAsiaTheme="minorHAnsi" w:hAnsi="Trebuchet MS"/>
              </w:rPr>
              <w:t>entreprise .</w:t>
            </w:r>
          </w:p>
          <w:p w14:paraId="375D6C8C" w14:textId="77777777" w:rsidR="00266B99" w:rsidRDefault="00266B99" w:rsidP="00C01620">
            <w:pPr>
              <w:pStyle w:val="NoSpacing"/>
              <w:rPr>
                <w:rFonts w:ascii="Trebuchet MS" w:eastAsiaTheme="minorHAnsi" w:hAnsi="Trebuchet MS" w:cs="Open Sans Light"/>
              </w:rPr>
            </w:pPr>
          </w:p>
          <w:p w14:paraId="16510E0B" w14:textId="77777777" w:rsidR="00A46D93" w:rsidRPr="00A46D93" w:rsidRDefault="00A46D93" w:rsidP="00C01620">
            <w:pPr>
              <w:pStyle w:val="NoSpacing"/>
              <w:rPr>
                <w:rFonts w:ascii="Trebuchet MS" w:eastAsiaTheme="minorHAnsi" w:hAnsi="Trebuchet MS" w:cs="Open Sans Light"/>
                <w:b/>
              </w:rPr>
            </w:pPr>
            <w:r>
              <w:rPr>
                <w:rFonts w:ascii="Trebuchet MS" w:eastAsiaTheme="minorHAnsi" w:hAnsi="Trebuchet MS"/>
                <w:b/>
              </w:rPr>
              <w:t>Longueur suggérée : 5 à 10 pages</w:t>
            </w:r>
          </w:p>
          <w:p w14:paraId="3E9472D8" w14:textId="77777777" w:rsidR="00A46D93" w:rsidRPr="00854CDE" w:rsidRDefault="00A46D93" w:rsidP="00C01620">
            <w:pPr>
              <w:pStyle w:val="NoSpacing"/>
              <w:rPr>
                <w:rFonts w:ascii="Trebuchet MS" w:hAnsi="Trebuchet MS" w:cs="Open Sans Light"/>
                <w:b/>
              </w:rPr>
            </w:pPr>
          </w:p>
        </w:tc>
      </w:tr>
    </w:tbl>
    <w:p w14:paraId="795404F4" w14:textId="77777777" w:rsidR="00971383" w:rsidRPr="00854CDE" w:rsidRDefault="00971383" w:rsidP="00C01620">
      <w:pPr>
        <w:autoSpaceDE w:val="0"/>
        <w:autoSpaceDN w:val="0"/>
        <w:adjustRightInd w:val="0"/>
        <w:spacing w:after="0" w:line="240" w:lineRule="auto"/>
        <w:rPr>
          <w:rFonts w:ascii="Trebuchet MS" w:hAnsi="Trebuchet MS" w:cs="Open Sans Light"/>
          <w:b/>
          <w:bCs/>
          <w:color w:val="2D2D2D"/>
        </w:rPr>
      </w:pPr>
    </w:p>
    <w:p w14:paraId="274F0A17" w14:textId="77777777" w:rsidR="00971383" w:rsidRPr="00854CDE" w:rsidRDefault="00971383" w:rsidP="00C01620">
      <w:pPr>
        <w:spacing w:after="0" w:line="240" w:lineRule="auto"/>
        <w:rPr>
          <w:rFonts w:ascii="Trebuchet MS" w:hAnsi="Trebuchet MS"/>
        </w:rPr>
      </w:pPr>
    </w:p>
    <w:p w14:paraId="1E42DB2A" w14:textId="77777777" w:rsidR="00696A34" w:rsidRPr="00854CDE" w:rsidRDefault="00696A34" w:rsidP="00C01620">
      <w:pPr>
        <w:spacing w:after="0" w:line="240" w:lineRule="auto"/>
        <w:rPr>
          <w:rFonts w:ascii="Trebuchet MS" w:hAnsi="Trebuchet MS"/>
        </w:rPr>
      </w:pPr>
    </w:p>
    <w:sectPr w:rsidR="00696A34" w:rsidRPr="00854CDE" w:rsidSect="00B84AD8">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9E87F" w14:textId="77777777" w:rsidR="004806FA" w:rsidRDefault="004806FA" w:rsidP="008553D6">
      <w:pPr>
        <w:spacing w:after="0" w:line="240" w:lineRule="auto"/>
      </w:pPr>
      <w:r>
        <w:separator/>
      </w:r>
    </w:p>
  </w:endnote>
  <w:endnote w:type="continuationSeparator" w:id="0">
    <w:p w14:paraId="265E5B13" w14:textId="77777777" w:rsidR="004806FA" w:rsidRDefault="004806FA" w:rsidP="0085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Open Sans Light">
    <w:panose1 w:val="020B0306030504020204"/>
    <w:charset w:val="00"/>
    <w:family w:val="auto"/>
    <w:pitch w:val="variable"/>
    <w:sig w:usb0="E00002EF" w:usb1="4000205B" w:usb2="00000028"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9E25A" w14:textId="77777777" w:rsidR="002E56F2" w:rsidRDefault="002E56F2" w:rsidP="00B84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C77BA" w14:textId="77777777" w:rsidR="002E56F2" w:rsidRDefault="002E56F2" w:rsidP="002E56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84866" w14:textId="77777777" w:rsidR="004806FA" w:rsidRDefault="004806FA" w:rsidP="00B84AD8">
    <w:pPr>
      <w:pStyle w:val="Footer"/>
      <w:ind w:right="360"/>
      <w:jc w:val="center"/>
    </w:pPr>
  </w:p>
  <w:p w14:paraId="427E38E9" w14:textId="77777777" w:rsidR="004806FA" w:rsidRDefault="004806F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787EA" w14:textId="77777777" w:rsidR="00B84AD8" w:rsidRDefault="00B84AD8" w:rsidP="00B84AD8">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577F" w14:textId="77777777" w:rsidR="002E56F2" w:rsidRPr="002E56F2" w:rsidRDefault="002E56F2" w:rsidP="00B84AD8">
    <w:pPr>
      <w:pStyle w:val="Footer"/>
      <w:framePr w:wrap="around" w:vAnchor="text" w:hAnchor="margin" w:xAlign="right" w:y="1"/>
      <w:rPr>
        <w:rStyle w:val="PageNumber"/>
        <w:rFonts w:ascii="Trebuchet MS" w:hAnsi="Trebuchet MS"/>
      </w:rPr>
    </w:pPr>
    <w:r w:rsidRPr="002E56F2">
      <w:rPr>
        <w:rStyle w:val="PageNumber"/>
        <w:rFonts w:ascii="Trebuchet MS" w:hAnsi="Trebuchet MS"/>
      </w:rPr>
      <w:fldChar w:fldCharType="begin"/>
    </w:r>
    <w:r w:rsidRPr="002E56F2">
      <w:rPr>
        <w:rStyle w:val="PageNumber"/>
        <w:rFonts w:ascii="Trebuchet MS" w:hAnsi="Trebuchet MS"/>
      </w:rPr>
      <w:instrText xml:space="preserve">PAGE  </w:instrText>
    </w:r>
    <w:r w:rsidRPr="002E56F2">
      <w:rPr>
        <w:rStyle w:val="PageNumber"/>
        <w:rFonts w:ascii="Trebuchet MS" w:hAnsi="Trebuchet MS"/>
      </w:rPr>
      <w:fldChar w:fldCharType="separate"/>
    </w:r>
    <w:r w:rsidR="00575624">
      <w:rPr>
        <w:rStyle w:val="PageNumber"/>
        <w:rFonts w:ascii="Trebuchet MS" w:hAnsi="Trebuchet MS"/>
        <w:noProof/>
      </w:rPr>
      <w:t>13</w:t>
    </w:r>
    <w:r w:rsidRPr="002E56F2">
      <w:rPr>
        <w:rStyle w:val="PageNumber"/>
        <w:rFonts w:ascii="Trebuchet MS" w:hAnsi="Trebuchet MS"/>
      </w:rPr>
      <w:fldChar w:fldCharType="end"/>
    </w:r>
  </w:p>
  <w:sdt>
    <w:sdtPr>
      <w:id w:val="-373701377"/>
      <w:docPartObj>
        <w:docPartGallery w:val="Page Numbers (Bottom of Page)"/>
        <w:docPartUnique/>
      </w:docPartObj>
    </w:sdtPr>
    <w:sdtEndPr>
      <w:rPr>
        <w:rFonts w:ascii="Trebuchet MS" w:hAnsi="Trebuchet MS"/>
        <w:noProof/>
        <w:sz w:val="18"/>
        <w:szCs w:val="18"/>
      </w:rPr>
    </w:sdtEndPr>
    <w:sdtContent>
      <w:p w14:paraId="402025EA" w14:textId="7B3488C8" w:rsidR="004806FA" w:rsidRPr="008553D6" w:rsidRDefault="00575624" w:rsidP="002E56F2">
        <w:pPr>
          <w:pStyle w:val="Footer"/>
          <w:ind w:right="360"/>
          <w:jc w:val="center"/>
          <w:rPr>
            <w:rFonts w:ascii="Trebuchet MS" w:hAnsi="Trebuchet MS"/>
            <w:sz w:val="18"/>
            <w:szCs w:val="18"/>
          </w:rPr>
        </w:pPr>
      </w:p>
    </w:sdtContent>
  </w:sdt>
  <w:p w14:paraId="2C5B697C" w14:textId="77777777" w:rsidR="004806FA" w:rsidRDefault="004806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880BC" w14:textId="77777777" w:rsidR="004806FA" w:rsidRDefault="004806FA" w:rsidP="008553D6">
      <w:pPr>
        <w:spacing w:after="0" w:line="240" w:lineRule="auto"/>
      </w:pPr>
      <w:r>
        <w:separator/>
      </w:r>
    </w:p>
  </w:footnote>
  <w:footnote w:type="continuationSeparator" w:id="0">
    <w:p w14:paraId="5396833E" w14:textId="77777777" w:rsidR="004806FA" w:rsidRDefault="004806FA" w:rsidP="008553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B68"/>
    <w:multiLevelType w:val="hybridMultilevel"/>
    <w:tmpl w:val="3BA46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2CE1CCA"/>
    <w:multiLevelType w:val="hybridMultilevel"/>
    <w:tmpl w:val="62D870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3F42136"/>
    <w:multiLevelType w:val="hybridMultilevel"/>
    <w:tmpl w:val="9DBEEC9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FB81D55"/>
    <w:multiLevelType w:val="hybridMultilevel"/>
    <w:tmpl w:val="FEBCFA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04537E6"/>
    <w:multiLevelType w:val="hybridMultilevel"/>
    <w:tmpl w:val="80C8D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1ED2D2D"/>
    <w:multiLevelType w:val="hybridMultilevel"/>
    <w:tmpl w:val="A40013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34C808D0"/>
    <w:multiLevelType w:val="hybridMultilevel"/>
    <w:tmpl w:val="D736C9DA"/>
    <w:lvl w:ilvl="0" w:tplc="9ECEC876">
      <w:start w:val="1"/>
      <w:numFmt w:val="decimal"/>
      <w:pStyle w:val="Heading1"/>
      <w:lvlText w:val="%1."/>
      <w:lvlJc w:val="left"/>
      <w:pPr>
        <w:ind w:left="720" w:hanging="360"/>
      </w:pPr>
      <w:rPr>
        <w:rFonts w:ascii="Trebuchet MS" w:hAnsi="Trebuchet MS" w:hint="default"/>
        <w:caps w:val="0"/>
        <w:strike w:val="0"/>
        <w:dstrike w:val="0"/>
        <w:vanish w:val="0"/>
        <w:sz w:val="28"/>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F805702"/>
    <w:multiLevelType w:val="hybridMultilevel"/>
    <w:tmpl w:val="654A66C8"/>
    <w:lvl w:ilvl="0" w:tplc="7DAC8DB6">
      <w:numFmt w:val="bullet"/>
      <w:lvlText w:val="•"/>
      <w:lvlJc w:val="left"/>
      <w:pPr>
        <w:ind w:left="360" w:hanging="360"/>
      </w:pPr>
      <w:rPr>
        <w:rFonts w:ascii="Trebuchet MS" w:eastAsiaTheme="minorHAnsi" w:hAnsi="Trebuchet MS" w:cs="TimesNewRomanP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41EB234E"/>
    <w:multiLevelType w:val="hybridMultilevel"/>
    <w:tmpl w:val="21169694"/>
    <w:lvl w:ilvl="0" w:tplc="52981CD4">
      <w:start w:val="2"/>
      <w:numFmt w:val="bullet"/>
      <w:lvlText w:val="-"/>
      <w:lvlJc w:val="left"/>
      <w:pPr>
        <w:ind w:left="360" w:hanging="360"/>
      </w:pPr>
      <w:rPr>
        <w:rFonts w:ascii="Arial" w:eastAsiaTheme="minorEastAsia"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42782A04"/>
    <w:multiLevelType w:val="hybridMultilevel"/>
    <w:tmpl w:val="1FFA462C"/>
    <w:lvl w:ilvl="0" w:tplc="7DAC8DB6">
      <w:numFmt w:val="bullet"/>
      <w:lvlText w:val="•"/>
      <w:lvlJc w:val="left"/>
      <w:pPr>
        <w:ind w:left="720" w:hanging="360"/>
      </w:pPr>
      <w:rPr>
        <w:rFonts w:ascii="Trebuchet MS" w:eastAsiaTheme="minorHAnsi" w:hAnsi="Trebuchet MS" w:cs="TimesNewRomanP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E25278A"/>
    <w:multiLevelType w:val="hybridMultilevel"/>
    <w:tmpl w:val="2F5E9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FB81A3B"/>
    <w:multiLevelType w:val="hybridMultilevel"/>
    <w:tmpl w:val="03A4F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0022A04"/>
    <w:multiLevelType w:val="hybridMultilevel"/>
    <w:tmpl w:val="47028B28"/>
    <w:lvl w:ilvl="0" w:tplc="1C090001">
      <w:start w:val="1"/>
      <w:numFmt w:val="bullet"/>
      <w:lvlText w:val=""/>
      <w:lvlJc w:val="left"/>
      <w:pPr>
        <w:ind w:left="720" w:hanging="360"/>
      </w:pPr>
      <w:rPr>
        <w:rFonts w:ascii="Symbol" w:hAnsi="Symbol" w:hint="default"/>
      </w:rPr>
    </w:lvl>
    <w:lvl w:ilvl="1" w:tplc="0234FE14">
      <w:numFmt w:val="bullet"/>
      <w:lvlText w:val="•"/>
      <w:lvlJc w:val="left"/>
      <w:pPr>
        <w:ind w:left="1440" w:hanging="360"/>
      </w:pPr>
      <w:rPr>
        <w:rFonts w:ascii="Trebuchet MS" w:eastAsiaTheme="minorHAnsi" w:hAnsi="Trebuchet MS" w:cs="Open Sans Ligh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58353120"/>
    <w:multiLevelType w:val="hybridMultilevel"/>
    <w:tmpl w:val="BD0CED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30912B0"/>
    <w:multiLevelType w:val="hybridMultilevel"/>
    <w:tmpl w:val="212858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6F4750D"/>
    <w:multiLevelType w:val="hybridMultilevel"/>
    <w:tmpl w:val="67DE2FDE"/>
    <w:lvl w:ilvl="0" w:tplc="7DAC8DB6">
      <w:numFmt w:val="bullet"/>
      <w:lvlText w:val="•"/>
      <w:lvlJc w:val="left"/>
      <w:pPr>
        <w:ind w:left="360" w:hanging="360"/>
      </w:pPr>
      <w:rPr>
        <w:rFonts w:ascii="Trebuchet MS" w:eastAsiaTheme="minorHAnsi" w:hAnsi="Trebuchet MS" w:cs="TimesNewRomanP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693D0745"/>
    <w:multiLevelType w:val="hybridMultilevel"/>
    <w:tmpl w:val="26C007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353115F"/>
    <w:multiLevelType w:val="hybridMultilevel"/>
    <w:tmpl w:val="5B1E1652"/>
    <w:lvl w:ilvl="0" w:tplc="1C090001">
      <w:start w:val="1"/>
      <w:numFmt w:val="bullet"/>
      <w:lvlText w:val=""/>
      <w:lvlJc w:val="left"/>
      <w:pPr>
        <w:ind w:left="720" w:hanging="360"/>
      </w:pPr>
      <w:rPr>
        <w:rFonts w:ascii="Symbol" w:hAnsi="Symbol" w:hint="default"/>
      </w:rPr>
    </w:lvl>
    <w:lvl w:ilvl="1" w:tplc="52981CD4">
      <w:start w:val="2"/>
      <w:numFmt w:val="bullet"/>
      <w:lvlText w:val="-"/>
      <w:lvlJc w:val="left"/>
      <w:pPr>
        <w:ind w:left="1440" w:hanging="360"/>
      </w:pPr>
      <w:rPr>
        <w:rFonts w:ascii="Arial" w:eastAsiaTheme="minorEastAsia"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998111A"/>
    <w:multiLevelType w:val="hybridMultilevel"/>
    <w:tmpl w:val="6CEAEA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12"/>
  </w:num>
  <w:num w:numId="3">
    <w:abstractNumId w:val="17"/>
  </w:num>
  <w:num w:numId="4">
    <w:abstractNumId w:val="8"/>
  </w:num>
  <w:num w:numId="5">
    <w:abstractNumId w:val="2"/>
  </w:num>
  <w:num w:numId="6">
    <w:abstractNumId w:val="3"/>
  </w:num>
  <w:num w:numId="7">
    <w:abstractNumId w:val="18"/>
  </w:num>
  <w:num w:numId="8">
    <w:abstractNumId w:val="0"/>
  </w:num>
  <w:num w:numId="9">
    <w:abstractNumId w:val="1"/>
  </w:num>
  <w:num w:numId="10">
    <w:abstractNumId w:val="16"/>
  </w:num>
  <w:num w:numId="11">
    <w:abstractNumId w:val="5"/>
  </w:num>
  <w:num w:numId="12">
    <w:abstractNumId w:val="4"/>
  </w:num>
  <w:num w:numId="13">
    <w:abstractNumId w:val="10"/>
  </w:num>
  <w:num w:numId="14">
    <w:abstractNumId w:val="14"/>
  </w:num>
  <w:num w:numId="15">
    <w:abstractNumId w:val="11"/>
  </w:num>
  <w:num w:numId="16">
    <w:abstractNumId w:val="13"/>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F7"/>
    <w:rsid w:val="00027F16"/>
    <w:rsid w:val="0004196B"/>
    <w:rsid w:val="000C5498"/>
    <w:rsid w:val="000D487C"/>
    <w:rsid w:val="000F0D03"/>
    <w:rsid w:val="001076D8"/>
    <w:rsid w:val="00135494"/>
    <w:rsid w:val="00183AB5"/>
    <w:rsid w:val="00191D40"/>
    <w:rsid w:val="00196B31"/>
    <w:rsid w:val="001D64DB"/>
    <w:rsid w:val="00205E8B"/>
    <w:rsid w:val="00233CD6"/>
    <w:rsid w:val="00242FF7"/>
    <w:rsid w:val="00266B99"/>
    <w:rsid w:val="002815D1"/>
    <w:rsid w:val="00291537"/>
    <w:rsid w:val="002C0C45"/>
    <w:rsid w:val="002D592D"/>
    <w:rsid w:val="002E56F2"/>
    <w:rsid w:val="002F6E68"/>
    <w:rsid w:val="00351906"/>
    <w:rsid w:val="003B48D5"/>
    <w:rsid w:val="003B7305"/>
    <w:rsid w:val="00421F81"/>
    <w:rsid w:val="00437540"/>
    <w:rsid w:val="00445F52"/>
    <w:rsid w:val="004542B3"/>
    <w:rsid w:val="004601B1"/>
    <w:rsid w:val="004806FA"/>
    <w:rsid w:val="004879BD"/>
    <w:rsid w:val="004A3629"/>
    <w:rsid w:val="004B31D6"/>
    <w:rsid w:val="004D3AA5"/>
    <w:rsid w:val="00506468"/>
    <w:rsid w:val="005150A5"/>
    <w:rsid w:val="00516EC5"/>
    <w:rsid w:val="00517DB1"/>
    <w:rsid w:val="00525DF0"/>
    <w:rsid w:val="00530AD3"/>
    <w:rsid w:val="00536871"/>
    <w:rsid w:val="00536967"/>
    <w:rsid w:val="00546F63"/>
    <w:rsid w:val="00575624"/>
    <w:rsid w:val="00585776"/>
    <w:rsid w:val="005D0295"/>
    <w:rsid w:val="006137B1"/>
    <w:rsid w:val="00651C2A"/>
    <w:rsid w:val="00696A34"/>
    <w:rsid w:val="006D2BE5"/>
    <w:rsid w:val="00735C59"/>
    <w:rsid w:val="007468C1"/>
    <w:rsid w:val="00777ADC"/>
    <w:rsid w:val="007951E2"/>
    <w:rsid w:val="00797CF7"/>
    <w:rsid w:val="007A07A1"/>
    <w:rsid w:val="007C1D4D"/>
    <w:rsid w:val="007D54A6"/>
    <w:rsid w:val="0080553D"/>
    <w:rsid w:val="00817760"/>
    <w:rsid w:val="00854CDE"/>
    <w:rsid w:val="008553D6"/>
    <w:rsid w:val="00861664"/>
    <w:rsid w:val="00884767"/>
    <w:rsid w:val="0088576D"/>
    <w:rsid w:val="0089270D"/>
    <w:rsid w:val="008B656A"/>
    <w:rsid w:val="00916A8B"/>
    <w:rsid w:val="00954FE3"/>
    <w:rsid w:val="00971383"/>
    <w:rsid w:val="009A752D"/>
    <w:rsid w:val="00A46D93"/>
    <w:rsid w:val="00A70E8A"/>
    <w:rsid w:val="00AA5796"/>
    <w:rsid w:val="00AC79FB"/>
    <w:rsid w:val="00AD60C6"/>
    <w:rsid w:val="00AE4B43"/>
    <w:rsid w:val="00AE5360"/>
    <w:rsid w:val="00AF7F35"/>
    <w:rsid w:val="00B0337F"/>
    <w:rsid w:val="00B163C6"/>
    <w:rsid w:val="00B31A68"/>
    <w:rsid w:val="00B65327"/>
    <w:rsid w:val="00B6776D"/>
    <w:rsid w:val="00B84AD8"/>
    <w:rsid w:val="00BA5079"/>
    <w:rsid w:val="00BC02E4"/>
    <w:rsid w:val="00BC19AF"/>
    <w:rsid w:val="00BE71FE"/>
    <w:rsid w:val="00C01620"/>
    <w:rsid w:val="00C3532D"/>
    <w:rsid w:val="00C90D72"/>
    <w:rsid w:val="00C92C92"/>
    <w:rsid w:val="00CB1498"/>
    <w:rsid w:val="00CB6B1E"/>
    <w:rsid w:val="00CC753F"/>
    <w:rsid w:val="00CF31EC"/>
    <w:rsid w:val="00D1235E"/>
    <w:rsid w:val="00D40911"/>
    <w:rsid w:val="00D41054"/>
    <w:rsid w:val="00D545D0"/>
    <w:rsid w:val="00DB3C2D"/>
    <w:rsid w:val="00DC17A0"/>
    <w:rsid w:val="00DD15A8"/>
    <w:rsid w:val="00E1065B"/>
    <w:rsid w:val="00E13231"/>
    <w:rsid w:val="00E23AB4"/>
    <w:rsid w:val="00E62419"/>
    <w:rsid w:val="00E7501A"/>
    <w:rsid w:val="00F40394"/>
    <w:rsid w:val="00F5145D"/>
    <w:rsid w:val="00F83CF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D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6D"/>
  </w:style>
  <w:style w:type="paragraph" w:styleId="Heading1">
    <w:name w:val="heading 1"/>
    <w:basedOn w:val="Normal"/>
    <w:next w:val="Normal"/>
    <w:link w:val="Heading1Char"/>
    <w:uiPriority w:val="9"/>
    <w:qFormat/>
    <w:rsid w:val="00971383"/>
    <w:pPr>
      <w:keepNext/>
      <w:keepLines/>
      <w:numPr>
        <w:numId w:val="1"/>
      </w:numPr>
      <w:spacing w:before="480" w:after="0"/>
      <w:ind w:left="357" w:hanging="357"/>
      <w:outlineLvl w:val="0"/>
    </w:pPr>
    <w:rPr>
      <w:rFonts w:ascii="Trebuchet MS" w:eastAsiaTheme="majorEastAsia" w:hAnsi="Trebuchet MS" w:cstheme="majorBidi"/>
      <w:b/>
      <w:bCs/>
      <w:color w:val="5B798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F7"/>
    <w:pPr>
      <w:ind w:left="720"/>
      <w:contextualSpacing/>
    </w:pPr>
  </w:style>
  <w:style w:type="table" w:styleId="TableGrid">
    <w:name w:val="Table Grid"/>
    <w:basedOn w:val="TableNormal"/>
    <w:uiPriority w:val="59"/>
    <w:rsid w:val="00242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7501A"/>
    <w:pPr>
      <w:spacing w:after="0" w:line="240" w:lineRule="auto"/>
    </w:pPr>
    <w:rPr>
      <w:rFonts w:eastAsiaTheme="minorEastAsia"/>
    </w:rPr>
  </w:style>
  <w:style w:type="character" w:customStyle="1" w:styleId="NoSpacingChar">
    <w:name w:val="No Spacing Char"/>
    <w:basedOn w:val="DefaultParagraphFont"/>
    <w:link w:val="NoSpacing"/>
    <w:uiPriority w:val="1"/>
    <w:rsid w:val="00E7501A"/>
    <w:rPr>
      <w:rFonts w:eastAsiaTheme="minorEastAsia"/>
      <w:lang w:val="fr-FR"/>
    </w:rPr>
  </w:style>
  <w:style w:type="paragraph" w:styleId="BalloonText">
    <w:name w:val="Balloon Text"/>
    <w:basedOn w:val="Normal"/>
    <w:link w:val="BalloonTextChar"/>
    <w:uiPriority w:val="99"/>
    <w:semiHidden/>
    <w:unhideWhenUsed/>
    <w:rsid w:val="00E75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1A"/>
    <w:rPr>
      <w:rFonts w:ascii="Tahoma" w:hAnsi="Tahoma" w:cs="Tahoma"/>
      <w:sz w:val="16"/>
      <w:szCs w:val="16"/>
    </w:rPr>
  </w:style>
  <w:style w:type="character" w:customStyle="1" w:styleId="Heading1Char">
    <w:name w:val="Heading 1 Char"/>
    <w:basedOn w:val="DefaultParagraphFont"/>
    <w:link w:val="Heading1"/>
    <w:uiPriority w:val="9"/>
    <w:rsid w:val="00971383"/>
    <w:rPr>
      <w:rFonts w:ascii="Trebuchet MS" w:eastAsiaTheme="majorEastAsia" w:hAnsi="Trebuchet MS" w:cstheme="majorBidi"/>
      <w:b/>
      <w:bCs/>
      <w:color w:val="5B7987"/>
      <w:sz w:val="28"/>
      <w:szCs w:val="28"/>
    </w:rPr>
  </w:style>
  <w:style w:type="paragraph" w:styleId="TOC1">
    <w:name w:val="toc 1"/>
    <w:basedOn w:val="Normal"/>
    <w:next w:val="Normal"/>
    <w:autoRedefine/>
    <w:uiPriority w:val="39"/>
    <w:unhideWhenUsed/>
    <w:rsid w:val="008553D6"/>
    <w:pPr>
      <w:spacing w:after="100"/>
    </w:pPr>
    <w:rPr>
      <w:rFonts w:ascii="Trebuchet MS" w:hAnsi="Trebuchet MS"/>
    </w:rPr>
  </w:style>
  <w:style w:type="paragraph" w:styleId="Header">
    <w:name w:val="header"/>
    <w:basedOn w:val="Normal"/>
    <w:link w:val="HeaderChar"/>
    <w:uiPriority w:val="99"/>
    <w:unhideWhenUsed/>
    <w:rsid w:val="00855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3D6"/>
  </w:style>
  <w:style w:type="paragraph" w:styleId="Footer">
    <w:name w:val="footer"/>
    <w:basedOn w:val="Normal"/>
    <w:link w:val="FooterChar"/>
    <w:uiPriority w:val="99"/>
    <w:unhideWhenUsed/>
    <w:rsid w:val="00855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3D6"/>
  </w:style>
  <w:style w:type="paragraph" w:customStyle="1" w:styleId="Default">
    <w:name w:val="Default"/>
    <w:rsid w:val="00B0337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06468"/>
    <w:rPr>
      <w:sz w:val="16"/>
      <w:szCs w:val="16"/>
    </w:rPr>
  </w:style>
  <w:style w:type="paragraph" w:styleId="CommentText">
    <w:name w:val="annotation text"/>
    <w:basedOn w:val="Normal"/>
    <w:link w:val="CommentTextChar"/>
    <w:uiPriority w:val="99"/>
    <w:semiHidden/>
    <w:unhideWhenUsed/>
    <w:rsid w:val="00506468"/>
    <w:pPr>
      <w:spacing w:line="240" w:lineRule="auto"/>
    </w:pPr>
    <w:rPr>
      <w:sz w:val="20"/>
      <w:szCs w:val="20"/>
    </w:rPr>
  </w:style>
  <w:style w:type="character" w:customStyle="1" w:styleId="CommentTextChar">
    <w:name w:val="Comment Text Char"/>
    <w:basedOn w:val="DefaultParagraphFont"/>
    <w:link w:val="CommentText"/>
    <w:uiPriority w:val="99"/>
    <w:semiHidden/>
    <w:rsid w:val="00506468"/>
    <w:rPr>
      <w:sz w:val="20"/>
      <w:szCs w:val="20"/>
    </w:rPr>
  </w:style>
  <w:style w:type="paragraph" w:styleId="CommentSubject">
    <w:name w:val="annotation subject"/>
    <w:basedOn w:val="CommentText"/>
    <w:next w:val="CommentText"/>
    <w:link w:val="CommentSubjectChar"/>
    <w:uiPriority w:val="99"/>
    <w:semiHidden/>
    <w:unhideWhenUsed/>
    <w:rsid w:val="00506468"/>
    <w:rPr>
      <w:b/>
      <w:bCs/>
    </w:rPr>
  </w:style>
  <w:style w:type="character" w:customStyle="1" w:styleId="CommentSubjectChar">
    <w:name w:val="Comment Subject Char"/>
    <w:basedOn w:val="CommentTextChar"/>
    <w:link w:val="CommentSubject"/>
    <w:uiPriority w:val="99"/>
    <w:semiHidden/>
    <w:rsid w:val="00506468"/>
    <w:rPr>
      <w:b/>
      <w:bCs/>
      <w:sz w:val="20"/>
      <w:szCs w:val="20"/>
    </w:rPr>
  </w:style>
  <w:style w:type="character" w:customStyle="1" w:styleId="ft">
    <w:name w:val="ft"/>
    <w:basedOn w:val="DefaultParagraphFont"/>
    <w:rsid w:val="00F83CF2"/>
  </w:style>
  <w:style w:type="character" w:customStyle="1" w:styleId="apple-converted-space">
    <w:name w:val="apple-converted-space"/>
    <w:basedOn w:val="DefaultParagraphFont"/>
    <w:rsid w:val="00F83CF2"/>
  </w:style>
  <w:style w:type="character" w:styleId="Emphasis">
    <w:name w:val="Emphasis"/>
    <w:basedOn w:val="DefaultParagraphFont"/>
    <w:uiPriority w:val="20"/>
    <w:qFormat/>
    <w:rsid w:val="00F83CF2"/>
    <w:rPr>
      <w:i/>
      <w:iCs/>
    </w:rPr>
  </w:style>
  <w:style w:type="character" w:styleId="PageNumber">
    <w:name w:val="page number"/>
    <w:basedOn w:val="DefaultParagraphFont"/>
    <w:uiPriority w:val="99"/>
    <w:semiHidden/>
    <w:unhideWhenUsed/>
    <w:rsid w:val="002E56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6D"/>
  </w:style>
  <w:style w:type="paragraph" w:styleId="Heading1">
    <w:name w:val="heading 1"/>
    <w:basedOn w:val="Normal"/>
    <w:next w:val="Normal"/>
    <w:link w:val="Heading1Char"/>
    <w:uiPriority w:val="9"/>
    <w:qFormat/>
    <w:rsid w:val="00971383"/>
    <w:pPr>
      <w:keepNext/>
      <w:keepLines/>
      <w:numPr>
        <w:numId w:val="1"/>
      </w:numPr>
      <w:spacing w:before="480" w:after="0"/>
      <w:ind w:left="357" w:hanging="357"/>
      <w:outlineLvl w:val="0"/>
    </w:pPr>
    <w:rPr>
      <w:rFonts w:ascii="Trebuchet MS" w:eastAsiaTheme="majorEastAsia" w:hAnsi="Trebuchet MS" w:cstheme="majorBidi"/>
      <w:b/>
      <w:bCs/>
      <w:color w:val="5B798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F7"/>
    <w:pPr>
      <w:ind w:left="720"/>
      <w:contextualSpacing/>
    </w:pPr>
  </w:style>
  <w:style w:type="table" w:styleId="TableGrid">
    <w:name w:val="Table Grid"/>
    <w:basedOn w:val="TableNormal"/>
    <w:uiPriority w:val="59"/>
    <w:rsid w:val="00242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7501A"/>
    <w:pPr>
      <w:spacing w:after="0" w:line="240" w:lineRule="auto"/>
    </w:pPr>
    <w:rPr>
      <w:rFonts w:eastAsiaTheme="minorEastAsia"/>
    </w:rPr>
  </w:style>
  <w:style w:type="character" w:customStyle="1" w:styleId="NoSpacingChar">
    <w:name w:val="No Spacing Char"/>
    <w:basedOn w:val="DefaultParagraphFont"/>
    <w:link w:val="NoSpacing"/>
    <w:uiPriority w:val="1"/>
    <w:rsid w:val="00E7501A"/>
    <w:rPr>
      <w:rFonts w:eastAsiaTheme="minorEastAsia"/>
      <w:lang w:val="fr-FR"/>
    </w:rPr>
  </w:style>
  <w:style w:type="paragraph" w:styleId="BalloonText">
    <w:name w:val="Balloon Text"/>
    <w:basedOn w:val="Normal"/>
    <w:link w:val="BalloonTextChar"/>
    <w:uiPriority w:val="99"/>
    <w:semiHidden/>
    <w:unhideWhenUsed/>
    <w:rsid w:val="00E75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1A"/>
    <w:rPr>
      <w:rFonts w:ascii="Tahoma" w:hAnsi="Tahoma" w:cs="Tahoma"/>
      <w:sz w:val="16"/>
      <w:szCs w:val="16"/>
    </w:rPr>
  </w:style>
  <w:style w:type="character" w:customStyle="1" w:styleId="Heading1Char">
    <w:name w:val="Heading 1 Char"/>
    <w:basedOn w:val="DefaultParagraphFont"/>
    <w:link w:val="Heading1"/>
    <w:uiPriority w:val="9"/>
    <w:rsid w:val="00971383"/>
    <w:rPr>
      <w:rFonts w:ascii="Trebuchet MS" w:eastAsiaTheme="majorEastAsia" w:hAnsi="Trebuchet MS" w:cstheme="majorBidi"/>
      <w:b/>
      <w:bCs/>
      <w:color w:val="5B7987"/>
      <w:sz w:val="28"/>
      <w:szCs w:val="28"/>
    </w:rPr>
  </w:style>
  <w:style w:type="paragraph" w:styleId="TOC1">
    <w:name w:val="toc 1"/>
    <w:basedOn w:val="Normal"/>
    <w:next w:val="Normal"/>
    <w:autoRedefine/>
    <w:uiPriority w:val="39"/>
    <w:unhideWhenUsed/>
    <w:rsid w:val="008553D6"/>
    <w:pPr>
      <w:spacing w:after="100"/>
    </w:pPr>
    <w:rPr>
      <w:rFonts w:ascii="Trebuchet MS" w:hAnsi="Trebuchet MS"/>
    </w:rPr>
  </w:style>
  <w:style w:type="paragraph" w:styleId="Header">
    <w:name w:val="header"/>
    <w:basedOn w:val="Normal"/>
    <w:link w:val="HeaderChar"/>
    <w:uiPriority w:val="99"/>
    <w:unhideWhenUsed/>
    <w:rsid w:val="00855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3D6"/>
  </w:style>
  <w:style w:type="paragraph" w:styleId="Footer">
    <w:name w:val="footer"/>
    <w:basedOn w:val="Normal"/>
    <w:link w:val="FooterChar"/>
    <w:uiPriority w:val="99"/>
    <w:unhideWhenUsed/>
    <w:rsid w:val="00855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3D6"/>
  </w:style>
  <w:style w:type="paragraph" w:customStyle="1" w:styleId="Default">
    <w:name w:val="Default"/>
    <w:rsid w:val="00B0337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06468"/>
    <w:rPr>
      <w:sz w:val="16"/>
      <w:szCs w:val="16"/>
    </w:rPr>
  </w:style>
  <w:style w:type="paragraph" w:styleId="CommentText">
    <w:name w:val="annotation text"/>
    <w:basedOn w:val="Normal"/>
    <w:link w:val="CommentTextChar"/>
    <w:uiPriority w:val="99"/>
    <w:semiHidden/>
    <w:unhideWhenUsed/>
    <w:rsid w:val="00506468"/>
    <w:pPr>
      <w:spacing w:line="240" w:lineRule="auto"/>
    </w:pPr>
    <w:rPr>
      <w:sz w:val="20"/>
      <w:szCs w:val="20"/>
    </w:rPr>
  </w:style>
  <w:style w:type="character" w:customStyle="1" w:styleId="CommentTextChar">
    <w:name w:val="Comment Text Char"/>
    <w:basedOn w:val="DefaultParagraphFont"/>
    <w:link w:val="CommentText"/>
    <w:uiPriority w:val="99"/>
    <w:semiHidden/>
    <w:rsid w:val="00506468"/>
    <w:rPr>
      <w:sz w:val="20"/>
      <w:szCs w:val="20"/>
    </w:rPr>
  </w:style>
  <w:style w:type="paragraph" w:styleId="CommentSubject">
    <w:name w:val="annotation subject"/>
    <w:basedOn w:val="CommentText"/>
    <w:next w:val="CommentText"/>
    <w:link w:val="CommentSubjectChar"/>
    <w:uiPriority w:val="99"/>
    <w:semiHidden/>
    <w:unhideWhenUsed/>
    <w:rsid w:val="00506468"/>
    <w:rPr>
      <w:b/>
      <w:bCs/>
    </w:rPr>
  </w:style>
  <w:style w:type="character" w:customStyle="1" w:styleId="CommentSubjectChar">
    <w:name w:val="Comment Subject Char"/>
    <w:basedOn w:val="CommentTextChar"/>
    <w:link w:val="CommentSubject"/>
    <w:uiPriority w:val="99"/>
    <w:semiHidden/>
    <w:rsid w:val="00506468"/>
    <w:rPr>
      <w:b/>
      <w:bCs/>
      <w:sz w:val="20"/>
      <w:szCs w:val="20"/>
    </w:rPr>
  </w:style>
  <w:style w:type="character" w:customStyle="1" w:styleId="ft">
    <w:name w:val="ft"/>
    <w:basedOn w:val="DefaultParagraphFont"/>
    <w:rsid w:val="00F83CF2"/>
  </w:style>
  <w:style w:type="character" w:customStyle="1" w:styleId="apple-converted-space">
    <w:name w:val="apple-converted-space"/>
    <w:basedOn w:val="DefaultParagraphFont"/>
    <w:rsid w:val="00F83CF2"/>
  </w:style>
  <w:style w:type="character" w:styleId="Emphasis">
    <w:name w:val="Emphasis"/>
    <w:basedOn w:val="DefaultParagraphFont"/>
    <w:uiPriority w:val="20"/>
    <w:qFormat/>
    <w:rsid w:val="00F83CF2"/>
    <w:rPr>
      <w:i/>
      <w:iCs/>
    </w:rPr>
  </w:style>
  <w:style w:type="character" w:styleId="PageNumber">
    <w:name w:val="page number"/>
    <w:basedOn w:val="DefaultParagraphFont"/>
    <w:uiPriority w:val="99"/>
    <w:semiHidden/>
    <w:unhideWhenUsed/>
    <w:rsid w:val="002E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2C83-7E50-9647-9487-D42AA6E5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3688</Words>
  <Characters>21023</Characters>
  <Application>Microsoft Macintosh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Rupert</dc:creator>
  <cp:lastModifiedBy>Katherine Hudak</cp:lastModifiedBy>
  <cp:revision>3</cp:revision>
  <cp:lastPrinted>2014-08-01T11:05:00Z</cp:lastPrinted>
  <dcterms:created xsi:type="dcterms:W3CDTF">2014-08-01T11:05:00Z</dcterms:created>
  <dcterms:modified xsi:type="dcterms:W3CDTF">2014-08-01T11:05:00Z</dcterms:modified>
</cp:coreProperties>
</file>