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882" w:type="dxa"/>
        <w:jc w:val="center"/>
        <w:tblCellMar>
          <w:left w:w="0" w:type="dxa"/>
          <w:right w:w="0" w:type="dxa"/>
        </w:tblCellMar>
        <w:tblLook w:val="04A0" w:firstRow="1" w:lastRow="0" w:firstColumn="1" w:lastColumn="0" w:noHBand="0" w:noVBand="1"/>
      </w:tblPr>
      <w:tblGrid>
        <w:gridCol w:w="12882"/>
      </w:tblGrid>
      <w:tr w:rsidR="004B704F" w:rsidTr="004B704F">
        <w:trPr>
          <w:trHeight w:val="1841"/>
          <w:jc w:val="center"/>
        </w:trPr>
        <w:tc>
          <w:tcPr>
            <w:tcW w:w="12882" w:type="dxa"/>
            <w:tcBorders>
              <w:top w:val="nil"/>
              <w:left w:val="nil"/>
              <w:bottom w:val="single" w:sz="8" w:space="0" w:color="5B9BD5"/>
              <w:right w:val="nil"/>
            </w:tcBorders>
            <w:tcMar>
              <w:top w:w="0" w:type="dxa"/>
              <w:left w:w="108" w:type="dxa"/>
              <w:bottom w:w="0" w:type="dxa"/>
              <w:right w:w="108" w:type="dxa"/>
            </w:tcMar>
            <w:hideMark/>
          </w:tcPr>
          <w:tbl>
            <w:tblPr>
              <w:tblW w:w="12666" w:type="dxa"/>
              <w:jc w:val="center"/>
              <w:tblCellMar>
                <w:left w:w="0" w:type="dxa"/>
                <w:right w:w="0" w:type="dxa"/>
              </w:tblCellMar>
              <w:tblLook w:val="04A0" w:firstRow="1" w:lastRow="0" w:firstColumn="1" w:lastColumn="0" w:noHBand="0" w:noVBand="1"/>
            </w:tblPr>
            <w:tblGrid>
              <w:gridCol w:w="9034"/>
              <w:gridCol w:w="3282"/>
              <w:gridCol w:w="350"/>
            </w:tblGrid>
            <w:tr w:rsidR="004B704F">
              <w:trPr>
                <w:trHeight w:val="1841"/>
                <w:jc w:val="center"/>
              </w:trPr>
              <w:tc>
                <w:tcPr>
                  <w:tcW w:w="12666" w:type="dxa"/>
                  <w:gridSpan w:val="3"/>
                  <w:tcBorders>
                    <w:top w:val="nil"/>
                    <w:left w:val="nil"/>
                    <w:bottom w:val="single" w:sz="8" w:space="0" w:color="5B9BD5"/>
                    <w:right w:val="nil"/>
                  </w:tcBorders>
                  <w:tcMar>
                    <w:top w:w="0" w:type="dxa"/>
                    <w:left w:w="108" w:type="dxa"/>
                    <w:bottom w:w="0" w:type="dxa"/>
                    <w:right w:w="108" w:type="dxa"/>
                  </w:tcMar>
                  <w:vAlign w:val="center"/>
                  <w:hideMark/>
                </w:tcPr>
                <w:tbl>
                  <w:tblPr>
                    <w:tblW w:w="12391" w:type="dxa"/>
                    <w:jc w:val="center"/>
                    <w:tblCellMar>
                      <w:left w:w="0" w:type="dxa"/>
                      <w:right w:w="0" w:type="dxa"/>
                    </w:tblCellMar>
                    <w:tblLook w:val="04A0" w:firstRow="1" w:lastRow="0" w:firstColumn="1" w:lastColumn="0" w:noHBand="0" w:noVBand="1"/>
                  </w:tblPr>
                  <w:tblGrid>
                    <w:gridCol w:w="12391"/>
                  </w:tblGrid>
                  <w:tr w:rsidR="004B704F">
                    <w:trPr>
                      <w:trHeight w:val="343"/>
                      <w:jc w:val="center"/>
                    </w:trPr>
                    <w:tc>
                      <w:tcPr>
                        <w:tcW w:w="12391" w:type="dxa"/>
                        <w:tcMar>
                          <w:top w:w="0" w:type="dxa"/>
                          <w:left w:w="108" w:type="dxa"/>
                          <w:bottom w:w="0" w:type="dxa"/>
                          <w:right w:w="108" w:type="dxa"/>
                        </w:tcMar>
                        <w:hideMark/>
                      </w:tcPr>
                      <w:p w:rsidR="004B704F" w:rsidRDefault="004B704F">
                        <w:pPr>
                          <w:spacing w:line="252" w:lineRule="auto"/>
                          <w:jc w:val="center"/>
                          <w:rPr>
                            <w:b/>
                            <w:bCs/>
                            <w:color w:val="70AD47"/>
                            <w:sz w:val="36"/>
                            <w:szCs w:val="36"/>
                          </w:rPr>
                        </w:pPr>
                        <w:r>
                          <w:rPr>
                            <w:b/>
                            <w:bCs/>
                            <w:color w:val="00B0F0"/>
                            <w:sz w:val="36"/>
                            <w:szCs w:val="36"/>
                          </w:rPr>
                          <w:t>AFFORDABLE HOUSING KSB NEWSLETTER</w:t>
                        </w:r>
                      </w:p>
                    </w:tc>
                  </w:tr>
                  <w:tr w:rsidR="004B704F">
                    <w:trPr>
                      <w:trHeight w:val="1167"/>
                      <w:jc w:val="center"/>
                    </w:trPr>
                    <w:tc>
                      <w:tcPr>
                        <w:tcW w:w="12391" w:type="dxa"/>
                        <w:tcMar>
                          <w:top w:w="0" w:type="dxa"/>
                          <w:left w:w="108" w:type="dxa"/>
                          <w:bottom w:w="0" w:type="dxa"/>
                          <w:right w:w="108" w:type="dxa"/>
                        </w:tcMar>
                        <w:hideMark/>
                      </w:tcPr>
                      <w:p w:rsidR="004B704F" w:rsidRDefault="004B704F">
                        <w:pPr>
                          <w:spacing w:line="252" w:lineRule="auto"/>
                          <w:rPr>
                            <w:rFonts w:ascii="Andes ExtraLight" w:hAnsi="Andes ExtraLight"/>
                            <w:b/>
                            <w:bCs/>
                            <w:sz w:val="56"/>
                            <w:szCs w:val="56"/>
                          </w:rPr>
                        </w:pPr>
                        <w:r>
                          <w:rPr>
                            <w:noProof/>
                          </w:rPr>
                          <w:drawing>
                            <wp:anchor distT="0" distB="0" distL="114300" distR="114300" simplePos="0" relativeHeight="251658240" behindDoc="1" locked="0" layoutInCell="1" allowOverlap="1">
                              <wp:simplePos x="0" y="0"/>
                              <wp:positionH relativeFrom="column">
                                <wp:posOffset>6631305</wp:posOffset>
                              </wp:positionH>
                              <wp:positionV relativeFrom="paragraph">
                                <wp:posOffset>88900</wp:posOffset>
                              </wp:positionV>
                              <wp:extent cx="762000" cy="666750"/>
                              <wp:effectExtent l="0" t="0" r="0" b="0"/>
                              <wp:wrapNone/>
                              <wp:docPr id="13" name="Picture 13" descr="CLICK HERE TO &#10;JOIN&#10;OUR KSB&#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HERE TO &#10;JOIN&#10;OUR KSB&#1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w:t>
                        </w:r>
                        <w:r>
                          <w:rPr>
                            <w:noProof/>
                          </w:rPr>
                          <w:drawing>
                            <wp:inline distT="0" distB="0" distL="0" distR="0">
                              <wp:extent cx="1095375" cy="1028700"/>
                              <wp:effectExtent l="0" t="0" r="9525" b="0"/>
                              <wp:docPr id="4" name="Picture 4" descr="cid:image002.jpg@01D2D020.020CF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2D020.020CF4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95375" cy="1028700"/>
                                      </a:xfrm>
                                      <a:prstGeom prst="rect">
                                        <a:avLst/>
                                      </a:prstGeom>
                                      <a:noFill/>
                                      <a:ln>
                                        <a:noFill/>
                                      </a:ln>
                                    </pic:spPr>
                                  </pic:pic>
                                </a:graphicData>
                              </a:graphic>
                            </wp:inline>
                          </w:drawing>
                        </w:r>
                        <w:r>
                          <w:rPr>
                            <w:color w:val="00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w:t>
                        </w:r>
                        <w:r>
                          <w:rPr>
                            <w:rFonts w:ascii="Andes ExtraLight" w:hAnsi="Andes ExtraLight"/>
                            <w:b/>
                            <w:bCs/>
                            <w:color w:val="00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HOUSE BUZZ</w:t>
                        </w:r>
                      </w:p>
                    </w:tc>
                  </w:tr>
                  <w:tr w:rsidR="004B704F">
                    <w:trPr>
                      <w:trHeight w:val="304"/>
                      <w:jc w:val="center"/>
                    </w:trPr>
                    <w:tc>
                      <w:tcPr>
                        <w:tcW w:w="12391" w:type="dxa"/>
                        <w:tcMar>
                          <w:top w:w="0" w:type="dxa"/>
                          <w:left w:w="108" w:type="dxa"/>
                          <w:bottom w:w="0" w:type="dxa"/>
                          <w:right w:w="108" w:type="dxa"/>
                        </w:tcMar>
                        <w:hideMark/>
                      </w:tcPr>
                      <w:p w:rsidR="004B704F" w:rsidRDefault="004B704F">
                        <w:pPr>
                          <w:spacing w:line="252" w:lineRule="auto"/>
                        </w:pPr>
                        <w:r>
                          <w:rPr>
                            <w:b/>
                            <w:bCs/>
                            <w:color w:val="1F497D"/>
                          </w:rPr>
                          <w:t> </w:t>
                        </w:r>
                        <w:r>
                          <w:rPr>
                            <w:b/>
                            <w:bCs/>
                            <w:color w:val="00B0F0"/>
                          </w:rPr>
                          <w:t xml:space="preserve">Quarterly Newsletter |Issue  2                                                                 </w:t>
                        </w:r>
                        <w:r>
                          <w:rPr>
                            <w:b/>
                            <w:bCs/>
                          </w:rPr>
                          <w:t xml:space="preserve">                                                                                      </w:t>
                        </w:r>
                        <w:r>
                          <w:rPr>
                            <w:b/>
                            <w:bCs/>
                            <w:color w:val="00B0F0"/>
                          </w:rPr>
                          <w:t>May 2017</w:t>
                        </w:r>
                      </w:p>
                    </w:tc>
                  </w:tr>
                </w:tbl>
                <w:p w:rsidR="004B704F" w:rsidRDefault="004B704F">
                  <w:pPr>
                    <w:jc w:val="center"/>
                    <w:rPr>
                      <w:rFonts w:ascii="Times New Roman" w:eastAsia="Times New Roman" w:hAnsi="Times New Roman" w:cs="Times New Roman"/>
                      <w:sz w:val="20"/>
                      <w:szCs w:val="20"/>
                    </w:rPr>
                  </w:pPr>
                </w:p>
              </w:tc>
            </w:tr>
            <w:tr w:rsidR="004B704F">
              <w:trPr>
                <w:trHeight w:val="429"/>
                <w:jc w:val="center"/>
              </w:trPr>
              <w:tc>
                <w:tcPr>
                  <w:tcW w:w="12666" w:type="dxa"/>
                  <w:gridSpan w:val="3"/>
                  <w:tcMar>
                    <w:top w:w="0" w:type="dxa"/>
                    <w:left w:w="108" w:type="dxa"/>
                    <w:bottom w:w="0" w:type="dxa"/>
                    <w:right w:w="108" w:type="dxa"/>
                  </w:tcMar>
                  <w:hideMark/>
                </w:tcPr>
                <w:p w:rsidR="004B704F" w:rsidRDefault="004B704F">
                  <w:pPr>
                    <w:spacing w:after="240" w:line="288" w:lineRule="auto"/>
                    <w:ind w:right="144"/>
                    <w:rPr>
                      <w:sz w:val="26"/>
                      <w:szCs w:val="26"/>
                    </w:rPr>
                  </w:pPr>
                  <w:r>
                    <w:rPr>
                      <w:b/>
                      <w:bCs/>
                      <w:color w:val="0070C0"/>
                      <w:sz w:val="26"/>
                      <w:szCs w:val="26"/>
                    </w:rPr>
                    <w:t xml:space="preserve">  HIGHLIGHTS – RECOMMENDED BY PEERS </w:t>
                  </w:r>
                </w:p>
              </w:tc>
            </w:tr>
            <w:tr w:rsidR="004B704F">
              <w:trPr>
                <w:trHeight w:val="5040"/>
                <w:jc w:val="center"/>
              </w:trPr>
              <w:tc>
                <w:tcPr>
                  <w:tcW w:w="12666" w:type="dxa"/>
                  <w:gridSpan w:val="3"/>
                  <w:tcMar>
                    <w:top w:w="0" w:type="dxa"/>
                    <w:left w:w="108" w:type="dxa"/>
                    <w:bottom w:w="0" w:type="dxa"/>
                    <w:right w:w="108" w:type="dxa"/>
                  </w:tcMar>
                  <w:hideMark/>
                </w:tcPr>
                <w:tbl>
                  <w:tblPr>
                    <w:tblW w:w="12290" w:type="dxa"/>
                    <w:tblCellMar>
                      <w:left w:w="0" w:type="dxa"/>
                      <w:right w:w="0" w:type="dxa"/>
                    </w:tblCellMar>
                    <w:tblLook w:val="04A0" w:firstRow="1" w:lastRow="0" w:firstColumn="1" w:lastColumn="0" w:noHBand="0" w:noVBand="1"/>
                  </w:tblPr>
                  <w:tblGrid>
                    <w:gridCol w:w="4010"/>
                    <w:gridCol w:w="301"/>
                    <w:gridCol w:w="3839"/>
                    <w:gridCol w:w="277"/>
                    <w:gridCol w:w="14"/>
                    <w:gridCol w:w="3849"/>
                  </w:tblGrid>
                  <w:tr w:rsidR="004B704F">
                    <w:trPr>
                      <w:trHeight w:val="1432"/>
                    </w:trPr>
                    <w:tc>
                      <w:tcPr>
                        <w:tcW w:w="4010" w:type="dxa"/>
                        <w:tcMar>
                          <w:top w:w="0" w:type="dxa"/>
                          <w:left w:w="14" w:type="dxa"/>
                          <w:bottom w:w="0" w:type="dxa"/>
                          <w:right w:w="14" w:type="dxa"/>
                        </w:tcMar>
                        <w:hideMark/>
                      </w:tcPr>
                      <w:p w:rsidR="004B704F" w:rsidRDefault="004B704F">
                        <w:pPr>
                          <w:spacing w:after="240" w:line="288" w:lineRule="auto"/>
                          <w:ind w:right="144"/>
                          <w:jc w:val="center"/>
                          <w:rPr>
                            <w:sz w:val="21"/>
                            <w:szCs w:val="21"/>
                          </w:rPr>
                        </w:pPr>
                        <w:r>
                          <w:rPr>
                            <w:noProof/>
                            <w:sz w:val="24"/>
                            <w:szCs w:val="24"/>
                          </w:rPr>
                          <w:drawing>
                            <wp:inline distT="0" distB="0" distL="0" distR="0">
                              <wp:extent cx="1952625" cy="1933575"/>
                              <wp:effectExtent l="0" t="0" r="9525" b="9525"/>
                              <wp:docPr id="3" name="Picture 3" descr="cid:image003.png@01D2D020.020CF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2D020.020CF46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52625" cy="1933575"/>
                                      </a:xfrm>
                                      <a:prstGeom prst="rect">
                                        <a:avLst/>
                                      </a:prstGeom>
                                      <a:noFill/>
                                      <a:ln>
                                        <a:noFill/>
                                      </a:ln>
                                    </pic:spPr>
                                  </pic:pic>
                                </a:graphicData>
                              </a:graphic>
                            </wp:inline>
                          </w:drawing>
                        </w:r>
                      </w:p>
                    </w:tc>
                    <w:tc>
                      <w:tcPr>
                        <w:tcW w:w="301" w:type="dxa"/>
                      </w:tcPr>
                      <w:p w:rsidR="004B704F" w:rsidRDefault="004B704F">
                        <w:pPr>
                          <w:spacing w:line="288" w:lineRule="auto"/>
                          <w:jc w:val="both"/>
                        </w:pPr>
                      </w:p>
                    </w:tc>
                    <w:tc>
                      <w:tcPr>
                        <w:tcW w:w="3839" w:type="dxa"/>
                        <w:tcMar>
                          <w:top w:w="0" w:type="dxa"/>
                          <w:left w:w="14" w:type="dxa"/>
                          <w:bottom w:w="0" w:type="dxa"/>
                          <w:right w:w="14" w:type="dxa"/>
                        </w:tcMar>
                        <w:hideMark/>
                      </w:tcPr>
                      <w:p w:rsidR="004B704F" w:rsidRDefault="004B704F">
                        <w:pPr>
                          <w:spacing w:line="288" w:lineRule="auto"/>
                          <w:jc w:val="center"/>
                          <w:rPr>
                            <w:b/>
                            <w:bCs/>
                            <w:color w:val="002060"/>
                            <w:sz w:val="26"/>
                            <w:szCs w:val="26"/>
                          </w:rPr>
                        </w:pPr>
                        <w:r>
                          <w:rPr>
                            <w:noProof/>
                            <w:sz w:val="24"/>
                            <w:szCs w:val="24"/>
                          </w:rPr>
                          <w:drawing>
                            <wp:inline distT="0" distB="0" distL="0" distR="0">
                              <wp:extent cx="1771650" cy="2047875"/>
                              <wp:effectExtent l="0" t="0" r="0" b="9525"/>
                              <wp:docPr id="2" name="Picture 2" descr="cid:image015.png@01D2D020.020CF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5.png@01D2D020.020CF46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71650" cy="2047875"/>
                                      </a:xfrm>
                                      <a:prstGeom prst="rect">
                                        <a:avLst/>
                                      </a:prstGeom>
                                      <a:noFill/>
                                      <a:ln>
                                        <a:noFill/>
                                      </a:ln>
                                    </pic:spPr>
                                  </pic:pic>
                                </a:graphicData>
                              </a:graphic>
                            </wp:inline>
                          </w:drawing>
                        </w:r>
                      </w:p>
                    </w:tc>
                    <w:tc>
                      <w:tcPr>
                        <w:tcW w:w="277" w:type="dxa"/>
                      </w:tcPr>
                      <w:p w:rsidR="004B704F" w:rsidRDefault="004B704F">
                        <w:pPr>
                          <w:spacing w:line="288" w:lineRule="auto"/>
                          <w:jc w:val="both"/>
                          <w:rPr>
                            <w:sz w:val="21"/>
                            <w:szCs w:val="21"/>
                          </w:rPr>
                        </w:pPr>
                      </w:p>
                    </w:tc>
                    <w:tc>
                      <w:tcPr>
                        <w:tcW w:w="14" w:type="dxa"/>
                      </w:tcPr>
                      <w:p w:rsidR="004B704F" w:rsidRDefault="004B704F">
                        <w:pPr>
                          <w:spacing w:line="288" w:lineRule="auto"/>
                          <w:jc w:val="both"/>
                        </w:pPr>
                      </w:p>
                    </w:tc>
                    <w:tc>
                      <w:tcPr>
                        <w:tcW w:w="3849" w:type="dxa"/>
                        <w:tcMar>
                          <w:top w:w="0" w:type="dxa"/>
                          <w:left w:w="14" w:type="dxa"/>
                          <w:bottom w:w="0" w:type="dxa"/>
                          <w:right w:w="14" w:type="dxa"/>
                        </w:tcMar>
                        <w:hideMark/>
                      </w:tcPr>
                      <w:p w:rsidR="004B704F" w:rsidRDefault="004B704F">
                        <w:pPr>
                          <w:spacing w:line="288" w:lineRule="auto"/>
                          <w:jc w:val="center"/>
                          <w:rPr>
                            <w:sz w:val="24"/>
                            <w:szCs w:val="24"/>
                          </w:rPr>
                        </w:pPr>
                        <w:r>
                          <w:rPr>
                            <w:noProof/>
                            <w:sz w:val="24"/>
                            <w:szCs w:val="24"/>
                          </w:rPr>
                          <w:drawing>
                            <wp:inline distT="0" distB="0" distL="0" distR="0">
                              <wp:extent cx="1676400" cy="2095500"/>
                              <wp:effectExtent l="0" t="0" r="0" b="0"/>
                              <wp:docPr id="1" name="Picture 1" descr="cid:image016.png@01D2D020.020CF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6.png@01D2D020.020CF46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a:ln>
                                        <a:noFill/>
                                      </a:ln>
                                    </pic:spPr>
                                  </pic:pic>
                                </a:graphicData>
                              </a:graphic>
                            </wp:inline>
                          </w:drawing>
                        </w:r>
                      </w:p>
                    </w:tc>
                  </w:tr>
                  <w:tr w:rsidR="004B704F">
                    <w:trPr>
                      <w:trHeight w:val="1485"/>
                    </w:trPr>
                    <w:tc>
                      <w:tcPr>
                        <w:tcW w:w="4010" w:type="dxa"/>
                        <w:tcBorders>
                          <w:top w:val="nil"/>
                          <w:left w:val="nil"/>
                          <w:bottom w:val="single" w:sz="8" w:space="0" w:color="5B9BD5"/>
                          <w:right w:val="nil"/>
                        </w:tcBorders>
                        <w:tcMar>
                          <w:top w:w="0" w:type="dxa"/>
                          <w:left w:w="14" w:type="dxa"/>
                          <w:bottom w:w="0" w:type="dxa"/>
                          <w:right w:w="14" w:type="dxa"/>
                        </w:tcMar>
                        <w:hideMark/>
                      </w:tcPr>
                      <w:p w:rsidR="004B704F" w:rsidRDefault="004B704F">
                        <w:pPr>
                          <w:spacing w:line="288" w:lineRule="auto"/>
                          <w:jc w:val="both"/>
                          <w:rPr>
                            <w:b/>
                            <w:bCs/>
                            <w:i/>
                            <w:iCs/>
                            <w:sz w:val="20"/>
                            <w:szCs w:val="20"/>
                          </w:rPr>
                        </w:pPr>
                        <w:r>
                          <w:rPr>
                            <w:b/>
                            <w:bCs/>
                            <w:sz w:val="20"/>
                            <w:szCs w:val="20"/>
                          </w:rPr>
                          <w:t>Understanding Housing Supply: Views from Joseph Gyourko</w:t>
                        </w:r>
                      </w:p>
                      <w:p w:rsidR="004B704F" w:rsidRDefault="004B704F">
                        <w:pPr>
                          <w:spacing w:line="288" w:lineRule="auto"/>
                          <w:jc w:val="both"/>
                          <w:rPr>
                            <w:sz w:val="20"/>
                            <w:szCs w:val="20"/>
                          </w:rPr>
                        </w:pPr>
                        <w:r>
                          <w:rPr>
                            <w:sz w:val="20"/>
                            <w:szCs w:val="20"/>
                          </w:rPr>
                          <w:t xml:space="preserve">The interview initially highlighted in IMF’s Global Housing Watch addresses the combination of strong demand with inelastic housing supply that is critical to housing affordability...  </w:t>
                        </w:r>
                        <w:hyperlink r:id="rId16" w:history="1">
                          <w:r>
                            <w:rPr>
                              <w:rStyle w:val="Hyperlink"/>
                              <w:b/>
                              <w:bCs/>
                              <w:color w:val="0000FF"/>
                              <w:sz w:val="20"/>
                              <w:szCs w:val="20"/>
                            </w:rPr>
                            <w:t>Read More</w:t>
                          </w:r>
                        </w:hyperlink>
                      </w:p>
                    </w:tc>
                    <w:tc>
                      <w:tcPr>
                        <w:tcW w:w="301" w:type="dxa"/>
                        <w:tcBorders>
                          <w:top w:val="nil"/>
                          <w:left w:val="nil"/>
                          <w:bottom w:val="single" w:sz="8" w:space="0" w:color="5B9BD5"/>
                          <w:right w:val="nil"/>
                        </w:tcBorders>
                      </w:tcPr>
                      <w:p w:rsidR="004B704F" w:rsidRDefault="004B704F">
                        <w:pPr>
                          <w:spacing w:line="288" w:lineRule="auto"/>
                          <w:jc w:val="both"/>
                        </w:pPr>
                      </w:p>
                    </w:tc>
                    <w:tc>
                      <w:tcPr>
                        <w:tcW w:w="3839" w:type="dxa"/>
                        <w:tcBorders>
                          <w:top w:val="nil"/>
                          <w:left w:val="nil"/>
                          <w:bottom w:val="single" w:sz="8" w:space="0" w:color="5B9BD5"/>
                          <w:right w:val="nil"/>
                        </w:tcBorders>
                        <w:tcMar>
                          <w:top w:w="0" w:type="dxa"/>
                          <w:left w:w="14" w:type="dxa"/>
                          <w:bottom w:w="0" w:type="dxa"/>
                          <w:right w:w="14" w:type="dxa"/>
                        </w:tcMar>
                        <w:hideMark/>
                      </w:tcPr>
                      <w:p w:rsidR="004B704F" w:rsidRDefault="004B704F">
                        <w:pPr>
                          <w:spacing w:line="288" w:lineRule="auto"/>
                          <w:rPr>
                            <w:b/>
                            <w:bCs/>
                            <w:sz w:val="20"/>
                            <w:szCs w:val="20"/>
                          </w:rPr>
                        </w:pPr>
                        <w:r>
                          <w:rPr>
                            <w:b/>
                            <w:bCs/>
                            <w:sz w:val="20"/>
                            <w:szCs w:val="20"/>
                          </w:rPr>
                          <w:t>  Sustaining Resilience</w:t>
                        </w:r>
                      </w:p>
                      <w:p w:rsidR="004B704F" w:rsidRDefault="004B704F">
                        <w:pPr>
                          <w:spacing w:line="288" w:lineRule="auto"/>
                          <w:jc w:val="both"/>
                          <w:rPr>
                            <w:sz w:val="21"/>
                            <w:szCs w:val="21"/>
                          </w:rPr>
                        </w:pPr>
                        <w:r>
                          <w:rPr>
                            <w:sz w:val="20"/>
                            <w:szCs w:val="20"/>
                          </w:rPr>
                          <w:t>  The World Bank report on East Asia and Pacific   – Sustaining Resilience looks at the Real Estate   Sector and Risks to Financial Stability...  </w:t>
                        </w:r>
                        <w:hyperlink r:id="rId17" w:history="1">
                          <w:r>
                            <w:rPr>
                              <w:rStyle w:val="Hyperlink"/>
                              <w:b/>
                              <w:bCs/>
                              <w:color w:val="0000FF"/>
                              <w:sz w:val="20"/>
                              <w:szCs w:val="20"/>
                            </w:rPr>
                            <w:t>Read More</w:t>
                          </w:r>
                        </w:hyperlink>
                        <w:r>
                          <w:rPr>
                            <w:sz w:val="20"/>
                            <w:szCs w:val="20"/>
                          </w:rPr>
                          <w:t xml:space="preserve"> </w:t>
                        </w:r>
                      </w:p>
                    </w:tc>
                    <w:tc>
                      <w:tcPr>
                        <w:tcW w:w="277" w:type="dxa"/>
                        <w:tcBorders>
                          <w:top w:val="nil"/>
                          <w:left w:val="nil"/>
                          <w:bottom w:val="single" w:sz="8" w:space="0" w:color="5B9BD5"/>
                          <w:right w:val="nil"/>
                        </w:tcBorders>
                      </w:tcPr>
                      <w:p w:rsidR="004B704F" w:rsidRDefault="004B704F">
                        <w:pPr>
                          <w:spacing w:line="288" w:lineRule="auto"/>
                          <w:jc w:val="both"/>
                        </w:pPr>
                      </w:p>
                    </w:tc>
                    <w:tc>
                      <w:tcPr>
                        <w:tcW w:w="14" w:type="dxa"/>
                        <w:tcBorders>
                          <w:top w:val="nil"/>
                          <w:left w:val="nil"/>
                          <w:bottom w:val="single" w:sz="8" w:space="0" w:color="5B9BD5"/>
                          <w:right w:val="nil"/>
                        </w:tcBorders>
                      </w:tcPr>
                      <w:p w:rsidR="004B704F" w:rsidRDefault="004B704F">
                        <w:pPr>
                          <w:spacing w:line="288" w:lineRule="auto"/>
                          <w:jc w:val="both"/>
                          <w:rPr>
                            <w:sz w:val="24"/>
                            <w:szCs w:val="24"/>
                          </w:rPr>
                        </w:pPr>
                      </w:p>
                    </w:tc>
                    <w:tc>
                      <w:tcPr>
                        <w:tcW w:w="3849" w:type="dxa"/>
                        <w:tcBorders>
                          <w:top w:val="nil"/>
                          <w:left w:val="nil"/>
                          <w:bottom w:val="single" w:sz="8" w:space="0" w:color="5B9BD5"/>
                          <w:right w:val="nil"/>
                        </w:tcBorders>
                        <w:tcMar>
                          <w:top w:w="0" w:type="dxa"/>
                          <w:left w:w="14" w:type="dxa"/>
                          <w:bottom w:w="0" w:type="dxa"/>
                          <w:right w:w="14" w:type="dxa"/>
                        </w:tcMar>
                        <w:hideMark/>
                      </w:tcPr>
                      <w:p w:rsidR="004B704F" w:rsidRDefault="004B704F">
                        <w:pPr>
                          <w:spacing w:line="288" w:lineRule="auto"/>
                          <w:jc w:val="both"/>
                          <w:rPr>
                            <w:b/>
                            <w:bCs/>
                            <w:sz w:val="20"/>
                            <w:szCs w:val="20"/>
                          </w:rPr>
                        </w:pPr>
                        <w:r>
                          <w:rPr>
                            <w:b/>
                            <w:bCs/>
                            <w:sz w:val="20"/>
                            <w:szCs w:val="20"/>
                          </w:rPr>
                          <w:t>Rethinking the Economics of Land and Housing</w:t>
                        </w:r>
                      </w:p>
                      <w:p w:rsidR="004B704F" w:rsidRDefault="004B704F">
                        <w:pPr>
                          <w:spacing w:line="288" w:lineRule="auto"/>
                          <w:jc w:val="both"/>
                          <w:rPr>
                            <w:b/>
                            <w:bCs/>
                            <w:color w:val="0000FF"/>
                            <w:sz w:val="20"/>
                            <w:szCs w:val="20"/>
                            <w:u w:val="single"/>
                          </w:rPr>
                        </w:pPr>
                        <w:r>
                          <w:rPr>
                            <w:sz w:val="20"/>
                            <w:szCs w:val="20"/>
                          </w:rPr>
                          <w:t>A comprehensive, critical but accessible guide to the role of land in housing policy and how it has been excluded from mainstream economic theory.</w:t>
                        </w:r>
                        <w:r>
                          <w:rPr>
                            <w:color w:val="000000"/>
                            <w:sz w:val="18"/>
                            <w:szCs w:val="18"/>
                          </w:rPr>
                          <w:t xml:space="preserve"> </w:t>
                        </w:r>
                        <w:hyperlink r:id="rId18" w:history="1">
                          <w:r>
                            <w:rPr>
                              <w:rStyle w:val="Hyperlink"/>
                              <w:b/>
                              <w:bCs/>
                              <w:color w:val="0000FF"/>
                              <w:sz w:val="20"/>
                              <w:szCs w:val="20"/>
                            </w:rPr>
                            <w:t>Read More</w:t>
                          </w:r>
                        </w:hyperlink>
                      </w:p>
                    </w:tc>
                  </w:tr>
                </w:tbl>
                <w:p w:rsidR="004B704F" w:rsidRDefault="004B704F">
                  <w:pPr>
                    <w:rPr>
                      <w:rFonts w:ascii="Times New Roman" w:eastAsia="Times New Roman" w:hAnsi="Times New Roman" w:cs="Times New Roman"/>
                      <w:sz w:val="20"/>
                      <w:szCs w:val="20"/>
                    </w:rPr>
                  </w:pPr>
                </w:p>
              </w:tc>
            </w:tr>
            <w:tr w:rsidR="004B704F">
              <w:trPr>
                <w:trHeight w:val="20463"/>
                <w:jc w:val="center"/>
              </w:trPr>
              <w:tc>
                <w:tcPr>
                  <w:tcW w:w="9034" w:type="dxa"/>
                  <w:tcMar>
                    <w:top w:w="0" w:type="dxa"/>
                    <w:left w:w="108" w:type="dxa"/>
                    <w:bottom w:w="0" w:type="dxa"/>
                    <w:right w:w="108" w:type="dxa"/>
                  </w:tcMar>
                </w:tcPr>
                <w:p w:rsidR="004B704F" w:rsidRDefault="004B704F">
                  <w:pPr>
                    <w:spacing w:after="240" w:line="288" w:lineRule="auto"/>
                    <w:rPr>
                      <w:b/>
                      <w:bCs/>
                      <w:color w:val="0070C0"/>
                      <w:sz w:val="24"/>
                      <w:szCs w:val="24"/>
                    </w:rPr>
                  </w:pPr>
                  <w:r>
                    <w:rPr>
                      <w:b/>
                      <w:bCs/>
                      <w:color w:val="002060"/>
                      <w:sz w:val="24"/>
                      <w:szCs w:val="24"/>
                    </w:rPr>
                    <w:t xml:space="preserve">   </w:t>
                  </w:r>
                  <w:r>
                    <w:rPr>
                      <w:b/>
                      <w:bCs/>
                      <w:color w:val="0070C0"/>
                      <w:sz w:val="26"/>
                      <w:szCs w:val="26"/>
                    </w:rPr>
                    <w:t>FEATURED NEWS</w:t>
                  </w:r>
                  <w:r>
                    <w:rPr>
                      <w:b/>
                      <w:bCs/>
                      <w:color w:val="0070C0"/>
                      <w:sz w:val="24"/>
                      <w:szCs w:val="24"/>
                    </w:rPr>
                    <w:t xml:space="preserve"> </w:t>
                  </w:r>
                </w:p>
                <w:p w:rsidR="004B704F" w:rsidRDefault="004B704F" w:rsidP="00B77227">
                  <w:pPr>
                    <w:numPr>
                      <w:ilvl w:val="0"/>
                      <w:numId w:val="1"/>
                    </w:numPr>
                    <w:spacing w:line="360" w:lineRule="auto"/>
                    <w:rPr>
                      <w:color w:val="0000FF"/>
                      <w:sz w:val="20"/>
                      <w:szCs w:val="20"/>
                      <w:u w:val="single"/>
                    </w:rPr>
                  </w:pPr>
                  <w:r>
                    <w:rPr>
                      <w:noProof/>
                    </w:rPr>
                    <w:drawing>
                      <wp:anchor distT="0" distB="0" distL="114300" distR="114300" simplePos="0" relativeHeight="251658240" behindDoc="1" locked="0" layoutInCell="1" allowOverlap="1">
                        <wp:simplePos x="0" y="0"/>
                        <wp:positionH relativeFrom="column">
                          <wp:posOffset>-182880</wp:posOffset>
                        </wp:positionH>
                        <wp:positionV relativeFrom="paragraph">
                          <wp:posOffset>-394970</wp:posOffset>
                        </wp:positionV>
                        <wp:extent cx="1924050" cy="1584960"/>
                        <wp:effectExtent l="0" t="0" r="0" b="0"/>
                        <wp:wrapTight wrapText="bothSides">
                          <wp:wrapPolygon edited="0">
                            <wp:start x="0" y="0"/>
                            <wp:lineTo x="0" y="21288"/>
                            <wp:lineTo x="21386" y="21288"/>
                            <wp:lineTo x="213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158496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Pr>
                        <w:rStyle w:val="Hyperlink"/>
                        <w:color w:val="0000FF"/>
                        <w:sz w:val="20"/>
                        <w:szCs w:val="20"/>
                      </w:rPr>
                      <w:t>Housing Microfinance – Learning from Implementation</w:t>
                    </w:r>
                  </w:hyperlink>
                </w:p>
                <w:p w:rsidR="004B704F" w:rsidRDefault="004B704F" w:rsidP="00B77227">
                  <w:pPr>
                    <w:numPr>
                      <w:ilvl w:val="0"/>
                      <w:numId w:val="1"/>
                    </w:numPr>
                    <w:spacing w:line="360" w:lineRule="auto"/>
                    <w:rPr>
                      <w:color w:val="0000FF"/>
                      <w:sz w:val="20"/>
                      <w:szCs w:val="20"/>
                      <w:u w:val="single"/>
                    </w:rPr>
                  </w:pPr>
                  <w:hyperlink r:id="rId21" w:history="1">
                    <w:r>
                      <w:rPr>
                        <w:rStyle w:val="Hyperlink"/>
                        <w:color w:val="0000FF"/>
                        <w:sz w:val="20"/>
                        <w:szCs w:val="20"/>
                      </w:rPr>
                      <w:t>New OECD Affordable Housing Database</w:t>
                    </w:r>
                  </w:hyperlink>
                </w:p>
                <w:p w:rsidR="004B704F" w:rsidRDefault="004B704F" w:rsidP="00B77227">
                  <w:pPr>
                    <w:numPr>
                      <w:ilvl w:val="0"/>
                      <w:numId w:val="1"/>
                    </w:numPr>
                    <w:spacing w:line="360" w:lineRule="auto"/>
                    <w:rPr>
                      <w:color w:val="0000FF"/>
                      <w:sz w:val="20"/>
                      <w:szCs w:val="20"/>
                      <w:u w:val="single"/>
                    </w:rPr>
                  </w:pPr>
                  <w:hyperlink r:id="rId22" w:history="1">
                    <w:r>
                      <w:rPr>
                        <w:rStyle w:val="Hyperlink"/>
                        <w:color w:val="0000FF"/>
                        <w:sz w:val="20"/>
                        <w:szCs w:val="20"/>
                      </w:rPr>
                      <w:t>Low cost houses to remedy slum development in Rwanda</w:t>
                    </w:r>
                  </w:hyperlink>
                </w:p>
                <w:p w:rsidR="004B704F" w:rsidRDefault="004B704F" w:rsidP="00B77227">
                  <w:pPr>
                    <w:numPr>
                      <w:ilvl w:val="0"/>
                      <w:numId w:val="1"/>
                    </w:numPr>
                    <w:spacing w:line="360" w:lineRule="auto"/>
                    <w:rPr>
                      <w:color w:val="0000FF"/>
                      <w:sz w:val="20"/>
                      <w:szCs w:val="20"/>
                      <w:u w:val="single"/>
                    </w:rPr>
                  </w:pPr>
                  <w:hyperlink r:id="rId23" w:history="1">
                    <w:r>
                      <w:rPr>
                        <w:rStyle w:val="Hyperlink"/>
                        <w:color w:val="0000FF"/>
                        <w:sz w:val="20"/>
                        <w:szCs w:val="20"/>
                      </w:rPr>
                      <w:t>National Social Security Fund in Uganda to build low cost houses</w:t>
                    </w:r>
                  </w:hyperlink>
                </w:p>
                <w:p w:rsidR="004B704F" w:rsidRDefault="004B704F" w:rsidP="00B77227">
                  <w:pPr>
                    <w:numPr>
                      <w:ilvl w:val="0"/>
                      <w:numId w:val="1"/>
                    </w:numPr>
                    <w:spacing w:line="360" w:lineRule="auto"/>
                    <w:rPr>
                      <w:color w:val="0000FF"/>
                      <w:sz w:val="20"/>
                      <w:szCs w:val="20"/>
                      <w:u w:val="single"/>
                    </w:rPr>
                  </w:pPr>
                  <w:hyperlink r:id="rId24" w:history="1">
                    <w:r>
                      <w:rPr>
                        <w:rStyle w:val="Hyperlink"/>
                        <w:color w:val="0000FF"/>
                        <w:sz w:val="20"/>
                        <w:szCs w:val="20"/>
                      </w:rPr>
                      <w:t>Exploitation and short-sightedness in Africa’s slums</w:t>
                    </w:r>
                  </w:hyperlink>
                </w:p>
                <w:p w:rsidR="004B704F" w:rsidRDefault="004B704F" w:rsidP="00B77227">
                  <w:pPr>
                    <w:numPr>
                      <w:ilvl w:val="4"/>
                      <w:numId w:val="1"/>
                    </w:numPr>
                    <w:spacing w:line="360" w:lineRule="auto"/>
                    <w:rPr>
                      <w:color w:val="0000FF"/>
                      <w:sz w:val="20"/>
                      <w:szCs w:val="20"/>
                      <w:u w:val="single"/>
                    </w:rPr>
                  </w:pPr>
                  <w:r>
                    <w:rPr>
                      <w:color w:val="0000FF"/>
                      <w:sz w:val="20"/>
                      <w:szCs w:val="20"/>
                      <w:u w:val="single"/>
                    </w:rPr>
                    <w:t>Why Housing Policy Should Be Health Policy</w:t>
                  </w:r>
                  <w:r>
                    <w:rPr>
                      <w:b/>
                      <w:bCs/>
                      <w:sz w:val="24"/>
                      <w:szCs w:val="24"/>
                    </w:rPr>
                    <w:t xml:space="preserve"> </w:t>
                  </w:r>
                </w:p>
                <w:p w:rsidR="004B704F" w:rsidRDefault="004B704F" w:rsidP="00B77227">
                  <w:pPr>
                    <w:numPr>
                      <w:ilvl w:val="4"/>
                      <w:numId w:val="1"/>
                    </w:numPr>
                    <w:spacing w:line="360" w:lineRule="auto"/>
                    <w:rPr>
                      <w:color w:val="0000FF"/>
                      <w:sz w:val="20"/>
                      <w:szCs w:val="20"/>
                      <w:u w:val="single"/>
                    </w:rPr>
                  </w:pPr>
                  <w:r>
                    <w:rPr>
                      <w:noProof/>
                    </w:rPr>
                    <w:drawing>
                      <wp:anchor distT="0" distB="0" distL="114300" distR="114300" simplePos="0" relativeHeight="251658240" behindDoc="0" locked="0" layoutInCell="1" allowOverlap="0">
                        <wp:simplePos x="0" y="0"/>
                        <wp:positionH relativeFrom="column">
                          <wp:align>left</wp:align>
                        </wp:positionH>
                        <wp:positionV relativeFrom="line">
                          <wp:align>top</wp:align>
                        </wp:positionV>
                        <wp:extent cx="1914525" cy="1487805"/>
                        <wp:effectExtent l="0" t="0" r="9525" b="0"/>
                        <wp:wrapTight wrapText="bothSides">
                          <wp:wrapPolygon edited="0">
                            <wp:start x="0" y="0"/>
                            <wp:lineTo x="0" y="21296"/>
                            <wp:lineTo x="21493" y="21296"/>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525" cy="1487805"/>
                                </a:xfrm>
                                <a:prstGeom prst="rect">
                                  <a:avLst/>
                                </a:prstGeom>
                                <a:noFill/>
                              </pic:spPr>
                            </pic:pic>
                          </a:graphicData>
                        </a:graphic>
                        <wp14:sizeRelH relativeFrom="page">
                          <wp14:pctWidth>0</wp14:pctWidth>
                        </wp14:sizeRelH>
                        <wp14:sizeRelV relativeFrom="page">
                          <wp14:pctHeight>0</wp14:pctHeight>
                        </wp14:sizeRelV>
                      </wp:anchor>
                    </w:drawing>
                  </w:r>
                  <w:hyperlink r:id="rId26" w:history="1">
                    <w:r>
                      <w:rPr>
                        <w:rStyle w:val="Hyperlink"/>
                        <w:color w:val="0000FF"/>
                        <w:sz w:val="20"/>
                        <w:szCs w:val="20"/>
                      </w:rPr>
                      <w:t>Foreign buyers push up global house prices</w:t>
                    </w:r>
                  </w:hyperlink>
                </w:p>
                <w:p w:rsidR="004B704F" w:rsidRDefault="004B704F" w:rsidP="00B77227">
                  <w:pPr>
                    <w:numPr>
                      <w:ilvl w:val="4"/>
                      <w:numId w:val="1"/>
                    </w:numPr>
                    <w:spacing w:line="360" w:lineRule="auto"/>
                    <w:rPr>
                      <w:color w:val="0000FF"/>
                      <w:sz w:val="20"/>
                      <w:szCs w:val="20"/>
                      <w:u w:val="single"/>
                    </w:rPr>
                  </w:pPr>
                  <w:hyperlink r:id="rId27" w:history="1">
                    <w:r>
                      <w:rPr>
                        <w:rStyle w:val="Hyperlink"/>
                        <w:color w:val="0000FF"/>
                        <w:sz w:val="20"/>
                        <w:szCs w:val="20"/>
                      </w:rPr>
                      <w:t>Report of the UN Special Rapporteur on adequate housing as a component of the right to an adequate standard of living, and on the right to non-discrimination in this context</w:t>
                    </w:r>
                  </w:hyperlink>
                </w:p>
                <w:p w:rsidR="004B704F" w:rsidRDefault="004B704F" w:rsidP="00B77227">
                  <w:pPr>
                    <w:numPr>
                      <w:ilvl w:val="4"/>
                      <w:numId w:val="1"/>
                    </w:numPr>
                    <w:spacing w:line="360" w:lineRule="auto"/>
                    <w:rPr>
                      <w:color w:val="0000FF"/>
                      <w:sz w:val="20"/>
                      <w:szCs w:val="20"/>
                      <w:u w:val="single"/>
                    </w:rPr>
                  </w:pPr>
                  <w:hyperlink r:id="rId28" w:history="1">
                    <w:r>
                      <w:rPr>
                        <w:rStyle w:val="Hyperlink"/>
                        <w:sz w:val="20"/>
                        <w:szCs w:val="20"/>
                      </w:rPr>
                      <w:t>IMF Report - Understanding Turkish Residential Real Estate Dynamics</w:t>
                    </w:r>
                  </w:hyperlink>
                </w:p>
                <w:p w:rsidR="004B704F" w:rsidRDefault="004B704F" w:rsidP="00B77227">
                  <w:pPr>
                    <w:numPr>
                      <w:ilvl w:val="4"/>
                      <w:numId w:val="1"/>
                    </w:numPr>
                    <w:spacing w:line="360" w:lineRule="auto"/>
                    <w:rPr>
                      <w:color w:val="0000FF"/>
                      <w:sz w:val="20"/>
                      <w:szCs w:val="20"/>
                      <w:u w:val="single"/>
                    </w:rPr>
                  </w:pPr>
                  <w:hyperlink r:id="rId29" w:history="1">
                    <w:r>
                      <w:rPr>
                        <w:rStyle w:val="Hyperlink"/>
                        <w:sz w:val="20"/>
                        <w:szCs w:val="20"/>
                      </w:rPr>
                      <w:t>Housing</w:t>
                    </w:r>
                    <w:r>
                      <w:rPr>
                        <w:rStyle w:val="Hyperlink"/>
                        <w:color w:val="0000FF"/>
                        <w:sz w:val="20"/>
                        <w:szCs w:val="20"/>
                      </w:rPr>
                      <w:t xml:space="preserve"> and Slum Upgrading – UN-Habitat</w:t>
                    </w:r>
                  </w:hyperlink>
                </w:p>
                <w:p w:rsidR="004B704F" w:rsidRDefault="004B704F">
                  <w:pPr>
                    <w:spacing w:line="288" w:lineRule="auto"/>
                    <w:rPr>
                      <w:b/>
                      <w:bCs/>
                      <w:sz w:val="24"/>
                      <w:szCs w:val="24"/>
                    </w:rPr>
                  </w:pPr>
                  <w:r>
                    <w:rPr>
                      <w:noProof/>
                    </w:rPr>
                    <w:drawing>
                      <wp:anchor distT="0" distB="0" distL="114300" distR="114300" simplePos="0" relativeHeight="251658240" behindDoc="0" locked="0" layoutInCell="1" allowOverlap="1">
                        <wp:simplePos x="0" y="0"/>
                        <wp:positionH relativeFrom="column">
                          <wp:posOffset>62230</wp:posOffset>
                        </wp:positionH>
                        <wp:positionV relativeFrom="paragraph">
                          <wp:posOffset>114935</wp:posOffset>
                        </wp:positionV>
                        <wp:extent cx="5534025" cy="19050"/>
                        <wp:effectExtent l="0" t="0" r="9525"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4025" cy="19050"/>
                                </a:xfrm>
                                <a:prstGeom prst="rect">
                                  <a:avLst/>
                                </a:prstGeom>
                                <a:noFill/>
                              </pic:spPr>
                            </pic:pic>
                          </a:graphicData>
                        </a:graphic>
                        <wp14:sizeRelH relativeFrom="page">
                          <wp14:pctWidth>0</wp14:pctWidth>
                        </wp14:sizeRelH>
                        <wp14:sizeRelV relativeFrom="page">
                          <wp14:pctHeight>0</wp14:pctHeight>
                        </wp14:sizeRelV>
                      </wp:anchor>
                    </w:drawing>
                  </w:r>
                </w:p>
                <w:p w:rsidR="004B704F" w:rsidRDefault="004B704F" w:rsidP="004B704F">
                  <w:pPr>
                    <w:spacing w:line="288" w:lineRule="auto"/>
                    <w:rPr>
                      <w:rFonts w:eastAsia="Times New Roman"/>
                      <w:b/>
                      <w:bCs/>
                      <w:sz w:val="24"/>
                      <w:szCs w:val="24"/>
                    </w:rPr>
                  </w:pPr>
                  <w:r>
                    <w:rPr>
                      <w:rFonts w:eastAsia="Times New Roman"/>
                      <w:b/>
                      <w:bCs/>
                      <w:sz w:val="24"/>
                      <w:szCs w:val="24"/>
                    </w:rPr>
                    <w:pict>
                      <v:rect id="_x0000_i1029" style="width:1022.25pt;height:.75pt" o:hrstd="t" o:hrnoshade="t" o:hr="t" fillcolor="#00b0f0" stroked="f"/>
                    </w:pict>
                  </w:r>
                </w:p>
                <w:p w:rsidR="004B704F" w:rsidRDefault="004B704F">
                  <w:pPr>
                    <w:spacing w:line="360" w:lineRule="auto"/>
                    <w:ind w:left="360"/>
                    <w:rPr>
                      <w:color w:val="0000FF"/>
                      <w:sz w:val="20"/>
                      <w:szCs w:val="20"/>
                      <w:u w:val="single"/>
                    </w:rPr>
                  </w:pPr>
                  <w:r>
                    <w:rPr>
                      <w:b/>
                      <w:bCs/>
                      <w:color w:val="0070C0"/>
                      <w:sz w:val="26"/>
                      <w:szCs w:val="26"/>
                    </w:rPr>
                    <w:t>UPCOMING EVENTS</w:t>
                  </w:r>
                </w:p>
                <w:p w:rsidR="004B704F" w:rsidRDefault="004B704F" w:rsidP="00B77227">
                  <w:pPr>
                    <w:numPr>
                      <w:ilvl w:val="0"/>
                      <w:numId w:val="1"/>
                    </w:numPr>
                    <w:spacing w:line="360" w:lineRule="auto"/>
                  </w:pPr>
                  <w:r>
                    <w:rPr>
                      <w:noProof/>
                    </w:rPr>
                    <w:drawing>
                      <wp:anchor distT="0" distB="0" distL="114300" distR="114300" simplePos="0" relativeHeight="251658240" behindDoc="1" locked="0" layoutInCell="1" allowOverlap="1">
                        <wp:simplePos x="0" y="0"/>
                        <wp:positionH relativeFrom="column">
                          <wp:posOffset>-182880</wp:posOffset>
                        </wp:positionH>
                        <wp:positionV relativeFrom="paragraph">
                          <wp:posOffset>-3806825</wp:posOffset>
                        </wp:positionV>
                        <wp:extent cx="1714500" cy="1905000"/>
                        <wp:effectExtent l="0" t="0" r="0" b="0"/>
                        <wp:wrapThrough wrapText="bothSides">
                          <wp:wrapPolygon edited="0">
                            <wp:start x="0" y="0"/>
                            <wp:lineTo x="0" y="21384"/>
                            <wp:lineTo x="21360" y="21384"/>
                            <wp:lineTo x="2136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1905000"/>
                                </a:xfrm>
                                <a:prstGeom prst="rect">
                                  <a:avLst/>
                                </a:prstGeom>
                                <a:noFill/>
                              </pic:spPr>
                            </pic:pic>
                          </a:graphicData>
                        </a:graphic>
                        <wp14:sizeRelH relativeFrom="page">
                          <wp14:pctWidth>0</wp14:pctWidth>
                        </wp14:sizeRelH>
                        <wp14:sizeRelV relativeFrom="page">
                          <wp14:pctHeight>0</wp14:pctHeight>
                        </wp14:sizeRelV>
                      </wp:anchor>
                    </w:drawing>
                  </w:r>
                  <w:r>
                    <w:rPr>
                      <w:color w:val="333333"/>
                      <w:sz w:val="20"/>
                      <w:szCs w:val="20"/>
                    </w:rPr>
                    <w:t xml:space="preserve">June 5–15, 2017: </w:t>
                  </w:r>
                  <w:hyperlink r:id="rId32" w:history="1">
                    <w:r>
                      <w:rPr>
                        <w:rStyle w:val="Hyperlink"/>
                        <w:color w:val="0000FF"/>
                        <w:sz w:val="20"/>
                        <w:szCs w:val="20"/>
                      </w:rPr>
                      <w:t>2017 International Housing Finance Program</w:t>
                    </w:r>
                  </w:hyperlink>
                  <w:r>
                    <w:rPr>
                      <w:color w:val="333333"/>
                      <w:sz w:val="20"/>
                      <w:szCs w:val="20"/>
                    </w:rPr>
                    <w:t xml:space="preserve"> organized by of the Wharton School</w:t>
                  </w:r>
                  <w:r>
                    <w:rPr>
                      <w:color w:val="333333"/>
                      <w:sz w:val="20"/>
                      <w:szCs w:val="20"/>
                      <w:lang w:val="en"/>
                    </w:rPr>
                    <w:t>.</w:t>
                  </w:r>
                </w:p>
                <w:p w:rsidR="004B704F" w:rsidRDefault="004B704F" w:rsidP="00B77227">
                  <w:pPr>
                    <w:numPr>
                      <w:ilvl w:val="0"/>
                      <w:numId w:val="1"/>
                    </w:numPr>
                    <w:spacing w:line="360" w:lineRule="auto"/>
                    <w:rPr>
                      <w:color w:val="0563C1"/>
                      <w:sz w:val="24"/>
                      <w:szCs w:val="24"/>
                      <w:u w:val="single"/>
                    </w:rPr>
                  </w:pPr>
                  <w:r>
                    <w:rPr>
                      <w:color w:val="333333"/>
                      <w:sz w:val="20"/>
                      <w:szCs w:val="20"/>
                      <w:lang w:val="en"/>
                    </w:rPr>
                    <w:t xml:space="preserve">June 16-17, 2017: </w:t>
                  </w:r>
                  <w:hyperlink r:id="rId33" w:history="1">
                    <w:r>
                      <w:rPr>
                        <w:rStyle w:val="Hyperlink"/>
                        <w:color w:val="0000FF"/>
                        <w:sz w:val="20"/>
                        <w:szCs w:val="20"/>
                        <w:lang w:val="en"/>
                      </w:rPr>
                      <w:t>“Workshop on Securitization and Mortgage Bonds”.</w:t>
                    </w:r>
                  </w:hyperlink>
                  <w:r>
                    <w:rPr>
                      <w:color w:val="333333"/>
                      <w:sz w:val="20"/>
                      <w:szCs w:val="20"/>
                    </w:rPr>
                    <w:t xml:space="preserve"> organized by of the Wharton School</w:t>
                  </w:r>
                  <w:r>
                    <w:rPr>
                      <w:color w:val="333333"/>
                      <w:sz w:val="20"/>
                      <w:szCs w:val="20"/>
                      <w:lang w:val="en"/>
                    </w:rPr>
                    <w:t>.</w:t>
                  </w:r>
                </w:p>
                <w:p w:rsidR="004B704F" w:rsidRDefault="004B704F" w:rsidP="00B77227">
                  <w:pPr>
                    <w:numPr>
                      <w:ilvl w:val="0"/>
                      <w:numId w:val="1"/>
                    </w:numPr>
                    <w:spacing w:line="360" w:lineRule="auto"/>
                    <w:rPr>
                      <w:color w:val="0563C1"/>
                      <w:sz w:val="24"/>
                      <w:szCs w:val="24"/>
                      <w:u w:val="single"/>
                    </w:rPr>
                  </w:pPr>
                  <w:r>
                    <w:rPr>
                      <w:sz w:val="20"/>
                      <w:szCs w:val="20"/>
                    </w:rPr>
                    <w:t xml:space="preserve">June 13-21, 2017: </w:t>
                  </w:r>
                  <w:hyperlink r:id="rId34" w:history="1">
                    <w:r>
                      <w:rPr>
                        <w:rStyle w:val="Hyperlink"/>
                        <w:color w:val="0000FF"/>
                        <w:sz w:val="20"/>
                        <w:szCs w:val="20"/>
                      </w:rPr>
                      <w:t>2017 International Social Housing Festival</w:t>
                    </w:r>
                  </w:hyperlink>
                  <w:r>
                    <w:rPr>
                      <w:sz w:val="20"/>
                      <w:szCs w:val="20"/>
                    </w:rPr>
                    <w:t xml:space="preserve"> will take place in Amsterdam.</w:t>
                  </w:r>
                </w:p>
                <w:p w:rsidR="004B704F" w:rsidRDefault="004B704F" w:rsidP="00B77227">
                  <w:pPr>
                    <w:numPr>
                      <w:ilvl w:val="0"/>
                      <w:numId w:val="1"/>
                    </w:numPr>
                    <w:spacing w:line="360" w:lineRule="auto"/>
                    <w:jc w:val="both"/>
                    <w:rPr>
                      <w:sz w:val="20"/>
                      <w:szCs w:val="20"/>
                    </w:rPr>
                  </w:pPr>
                  <w:r>
                    <w:rPr>
                      <w:sz w:val="20"/>
                      <w:szCs w:val="20"/>
                    </w:rPr>
                    <w:t>June 25-27, 2017</w:t>
                  </w:r>
                  <w:r>
                    <w:rPr>
                      <w:color w:val="0563C1"/>
                      <w:sz w:val="20"/>
                      <w:szCs w:val="20"/>
                      <w:u w:val="single"/>
                    </w:rPr>
                    <w:t xml:space="preserve">: </w:t>
                  </w:r>
                  <w:hyperlink r:id="rId35" w:history="1">
                    <w:r>
                      <w:rPr>
                        <w:rStyle w:val="Hyperlink"/>
                        <w:color w:val="0000FF"/>
                        <w:sz w:val="20"/>
                        <w:szCs w:val="20"/>
                      </w:rPr>
                      <w:t>International Union for Housing Finance World Congress</w:t>
                    </w:r>
                  </w:hyperlink>
                  <w:r>
                    <w:rPr>
                      <w:color w:val="0563C1"/>
                      <w:sz w:val="20"/>
                      <w:szCs w:val="20"/>
                      <w:u w:val="single"/>
                    </w:rPr>
                    <w:t xml:space="preserve"> </w:t>
                  </w:r>
                  <w:r>
                    <w:rPr>
                      <w:color w:val="0563C1"/>
                      <w:sz w:val="20"/>
                      <w:szCs w:val="20"/>
                    </w:rPr>
                    <w:t xml:space="preserve">– </w:t>
                  </w:r>
                  <w:r>
                    <w:rPr>
                      <w:sz w:val="20"/>
                      <w:szCs w:val="20"/>
                    </w:rPr>
                    <w:t>the event will take place in Washington DC</w:t>
                  </w:r>
                  <w:r>
                    <w:rPr>
                      <w:sz w:val="24"/>
                      <w:szCs w:val="24"/>
                    </w:rPr>
                    <w:t xml:space="preserve">. </w:t>
                  </w:r>
                  <w:r>
                    <w:rPr>
                      <w:sz w:val="20"/>
                      <w:szCs w:val="20"/>
                    </w:rPr>
                    <w:t xml:space="preserve">The program covers both emerging and developed economies and takes place every 2 years. It is a good opportunity to learn about different housing finance systems around the World. Simon Walley has kindly secured free registration for World Bank Group staff with the organizers. Those interested should register by contacting </w:t>
                  </w:r>
                  <w:hyperlink r:id="rId36" w:history="1">
                    <w:r>
                      <w:rPr>
                        <w:rStyle w:val="Hyperlink"/>
                        <w:sz w:val="20"/>
                        <w:szCs w:val="20"/>
                      </w:rPr>
                      <w:t>info@housingfinance2017.org</w:t>
                    </w:r>
                  </w:hyperlink>
                  <w:r>
                    <w:rPr>
                      <w:sz w:val="20"/>
                      <w:szCs w:val="20"/>
                    </w:rPr>
                    <w:t xml:space="preserve"> putting Simon in copy </w:t>
                  </w:r>
                  <w:hyperlink r:id="rId37" w:history="1">
                    <w:r>
                      <w:rPr>
                        <w:rStyle w:val="Hyperlink"/>
                        <w:color w:val="0000FF"/>
                        <w:sz w:val="20"/>
                        <w:szCs w:val="20"/>
                      </w:rPr>
                      <w:t>swalley@worldbank.org</w:t>
                    </w:r>
                  </w:hyperlink>
                  <w:r>
                    <w:rPr>
                      <w:sz w:val="20"/>
                      <w:szCs w:val="20"/>
                    </w:rPr>
                    <w:t xml:space="preserve"> explaining that they are World Bank staff.</w:t>
                  </w:r>
                </w:p>
                <w:p w:rsidR="004B704F" w:rsidRDefault="004B704F">
                  <w:pPr>
                    <w:spacing w:line="288" w:lineRule="auto"/>
                    <w:rPr>
                      <w:b/>
                      <w:bCs/>
                      <w:color w:val="1F497D"/>
                      <w:sz w:val="26"/>
                      <w:szCs w:val="26"/>
                    </w:rPr>
                  </w:pPr>
                  <w:r>
                    <w:rPr>
                      <w:noProof/>
                    </w:rPr>
                    <w:drawing>
                      <wp:anchor distT="0" distB="0" distL="114300" distR="114300" simplePos="0" relativeHeight="251658240" behindDoc="0" locked="0" layoutInCell="1" allowOverlap="1">
                        <wp:simplePos x="0" y="0"/>
                        <wp:positionH relativeFrom="column">
                          <wp:posOffset>52705</wp:posOffset>
                        </wp:positionH>
                        <wp:positionV relativeFrom="paragraph">
                          <wp:posOffset>140335</wp:posOffset>
                        </wp:positionV>
                        <wp:extent cx="5619750" cy="47625"/>
                        <wp:effectExtent l="0" t="0" r="0" b="952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0" cy="47625"/>
                                </a:xfrm>
                                <a:prstGeom prst="rect">
                                  <a:avLst/>
                                </a:prstGeom>
                                <a:noFill/>
                              </pic:spPr>
                            </pic:pic>
                          </a:graphicData>
                        </a:graphic>
                        <wp14:sizeRelH relativeFrom="page">
                          <wp14:pctWidth>0</wp14:pctWidth>
                        </wp14:sizeRelH>
                        <wp14:sizeRelV relativeFrom="page">
                          <wp14:pctHeight>0</wp14:pctHeight>
                        </wp14:sizeRelV>
                      </wp:anchor>
                    </w:drawing>
                  </w:r>
                </w:p>
                <w:p w:rsidR="004B704F" w:rsidRDefault="004B704F">
                  <w:pPr>
                    <w:spacing w:line="288" w:lineRule="auto"/>
                    <w:rPr>
                      <w:b/>
                      <w:bCs/>
                      <w:color w:val="0070C0"/>
                      <w:sz w:val="26"/>
                      <w:szCs w:val="26"/>
                    </w:rPr>
                  </w:pPr>
                  <w:r>
                    <w:rPr>
                      <w:b/>
                      <w:bCs/>
                      <w:color w:val="0070C0"/>
                      <w:sz w:val="26"/>
                      <w:szCs w:val="26"/>
                    </w:rPr>
                    <w:t>FEATURED BLOGS AND BOOKS</w:t>
                  </w:r>
                </w:p>
                <w:p w:rsidR="004B704F" w:rsidRDefault="004B704F">
                  <w:pPr>
                    <w:spacing w:line="288" w:lineRule="auto"/>
                    <w:rPr>
                      <w:color w:val="0000FF"/>
                      <w:sz w:val="20"/>
                      <w:szCs w:val="20"/>
                      <w:u w:val="single"/>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635</wp:posOffset>
                        </wp:positionV>
                        <wp:extent cx="1579245" cy="1475105"/>
                        <wp:effectExtent l="0" t="0" r="1905" b="0"/>
                        <wp:wrapTight wrapText="bothSides">
                          <wp:wrapPolygon edited="0">
                            <wp:start x="0" y="0"/>
                            <wp:lineTo x="0" y="21200"/>
                            <wp:lineTo x="21366" y="21200"/>
                            <wp:lineTo x="213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9245" cy="1475105"/>
                                </a:xfrm>
                                <a:prstGeom prst="rect">
                                  <a:avLst/>
                                </a:prstGeom>
                                <a:noFill/>
                              </pic:spPr>
                            </pic:pic>
                          </a:graphicData>
                        </a:graphic>
                        <wp14:sizeRelH relativeFrom="page">
                          <wp14:pctWidth>0</wp14:pctWidth>
                        </wp14:sizeRelH>
                        <wp14:sizeRelV relativeFrom="page">
                          <wp14:pctHeight>0</wp14:pctHeight>
                        </wp14:sizeRelV>
                      </wp:anchor>
                    </w:drawing>
                  </w:r>
                  <w:hyperlink r:id="rId40" w:history="1">
                    <w:r>
                      <w:rPr>
                        <w:rStyle w:val="Hyperlink"/>
                        <w:color w:val="0000FF"/>
                        <w:sz w:val="20"/>
                        <w:szCs w:val="20"/>
                      </w:rPr>
                      <w:t>A first look at housing “affordability” in New Jersey and the United States</w:t>
                    </w:r>
                  </w:hyperlink>
                  <w:r>
                    <w:rPr>
                      <w:color w:val="0000FF"/>
                      <w:sz w:val="20"/>
                      <w:szCs w:val="20"/>
                      <w:u w:val="single"/>
                    </w:rPr>
                    <w:t xml:space="preserve"> </w:t>
                  </w:r>
                </w:p>
                <w:p w:rsidR="004B704F" w:rsidRDefault="004B704F">
                  <w:pPr>
                    <w:spacing w:line="252" w:lineRule="auto"/>
                    <w:ind w:right="162"/>
                    <w:contextualSpacing/>
                    <w:jc w:val="both"/>
                  </w:pPr>
                  <w:r>
                    <w:rPr>
                      <w:sz w:val="20"/>
                      <w:szCs w:val="20"/>
                    </w:rPr>
                    <w:t xml:space="preserve">Housing “affordability” is one of those complicated topics that are similar to macroeconomics or string theory: if you’re not a little confused, you’re probably not yet thinking clearly. </w:t>
                  </w:r>
                </w:p>
                <w:p w:rsidR="004B704F" w:rsidRDefault="004B704F">
                  <w:pPr>
                    <w:spacing w:line="252" w:lineRule="auto"/>
                    <w:ind w:right="162"/>
                    <w:contextualSpacing/>
                    <w:jc w:val="both"/>
                    <w:rPr>
                      <w:sz w:val="20"/>
                      <w:szCs w:val="20"/>
                    </w:rPr>
                  </w:pPr>
                  <w:r>
                    <w:rPr>
                      <w:sz w:val="20"/>
                      <w:szCs w:val="20"/>
                    </w:rPr>
                    <w:t>The term “affordable” has several meanings such that the term can obscure more than it illuminates.  Nonetheless various measures confirm that New Jersey, and to a large extent our neighbors New York and Connecticut, spend a lot on housing.  In particular, our lowest income citizens spend a lot of their income on housing.</w:t>
                  </w:r>
                </w:p>
                <w:p w:rsidR="004B704F" w:rsidRDefault="004B704F">
                  <w:pPr>
                    <w:spacing w:line="360" w:lineRule="auto"/>
                    <w:ind w:left="720"/>
                    <w:rPr>
                      <w:color w:val="0000FF"/>
                      <w:u w:val="single"/>
                    </w:rPr>
                  </w:pPr>
                </w:p>
                <w:p w:rsidR="004B704F" w:rsidRDefault="004B704F">
                  <w:pPr>
                    <w:spacing w:line="252" w:lineRule="auto"/>
                    <w:ind w:right="162"/>
                    <w:contextualSpacing/>
                    <w:jc w:val="both"/>
                    <w:rPr>
                      <w:color w:val="0000FF"/>
                      <w:sz w:val="20"/>
                      <w:szCs w:val="20"/>
                      <w:u w:val="single"/>
                    </w:rPr>
                  </w:pPr>
                  <w:r>
                    <w:rPr>
                      <w:noProof/>
                    </w:rPr>
                    <w:drawing>
                      <wp:anchor distT="0" distB="0" distL="114300" distR="114300" simplePos="0" relativeHeight="251658240" behindDoc="1" locked="0" layoutInCell="1" allowOverlap="1">
                        <wp:simplePos x="0" y="0"/>
                        <wp:positionH relativeFrom="column">
                          <wp:posOffset>-182880</wp:posOffset>
                        </wp:positionH>
                        <wp:positionV relativeFrom="paragraph">
                          <wp:posOffset>-7747635</wp:posOffset>
                        </wp:positionV>
                        <wp:extent cx="1366520" cy="1562100"/>
                        <wp:effectExtent l="0" t="0" r="5080" b="0"/>
                        <wp:wrapTight wrapText="bothSides">
                          <wp:wrapPolygon edited="0">
                            <wp:start x="0" y="0"/>
                            <wp:lineTo x="0" y="21337"/>
                            <wp:lineTo x="21379" y="21337"/>
                            <wp:lineTo x="213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6520" cy="1562100"/>
                                </a:xfrm>
                                <a:prstGeom prst="rect">
                                  <a:avLst/>
                                </a:prstGeom>
                                <a:noFill/>
                              </pic:spPr>
                            </pic:pic>
                          </a:graphicData>
                        </a:graphic>
                        <wp14:sizeRelH relativeFrom="page">
                          <wp14:pctWidth>0</wp14:pctWidth>
                        </wp14:sizeRelH>
                        <wp14:sizeRelV relativeFrom="page">
                          <wp14:pctHeight>0</wp14:pctHeight>
                        </wp14:sizeRelV>
                      </wp:anchor>
                    </w:drawing>
                  </w:r>
                  <w:hyperlink r:id="rId42" w:history="1">
                    <w:r>
                      <w:rPr>
                        <w:rStyle w:val="Hyperlink"/>
                        <w:color w:val="0000FF"/>
                        <w:sz w:val="20"/>
                        <w:szCs w:val="20"/>
                      </w:rPr>
                      <w:t>Science and City</w:t>
                    </w:r>
                  </w:hyperlink>
                  <w:r>
                    <w:rPr>
                      <w:color w:val="0000FF"/>
                      <w:sz w:val="20"/>
                      <w:szCs w:val="20"/>
                      <w:u w:val="single"/>
                    </w:rPr>
                    <w:t xml:space="preserve"> </w:t>
                  </w:r>
                </w:p>
                <w:p w:rsidR="004B704F" w:rsidRDefault="004B704F">
                  <w:pPr>
                    <w:spacing w:line="252" w:lineRule="auto"/>
                    <w:ind w:right="162"/>
                    <w:contextualSpacing/>
                    <w:jc w:val="both"/>
                    <w:rPr>
                      <w:sz w:val="24"/>
                      <w:szCs w:val="24"/>
                    </w:rPr>
                  </w:pPr>
                  <w:r>
                    <w:rPr>
                      <w:sz w:val="20"/>
                      <w:szCs w:val="20"/>
                    </w:rPr>
                    <w:t>It is very accessible easy reading and covers all issues from waste, energy roads, construction, power, water etc. It breaks down the science behind all of this and gives a really fresh and engaging perspective on some of the big issues around urban living.</w:t>
                  </w:r>
                </w:p>
                <w:tbl>
                  <w:tblPr>
                    <w:tblW w:w="4999" w:type="pct"/>
                    <w:jc w:val="center"/>
                    <w:tblCellSpacing w:w="0" w:type="dxa"/>
                    <w:tblCellMar>
                      <w:left w:w="0" w:type="dxa"/>
                      <w:right w:w="0" w:type="dxa"/>
                    </w:tblCellMar>
                    <w:tblLook w:val="04A0" w:firstRow="1" w:lastRow="0" w:firstColumn="1" w:lastColumn="0" w:noHBand="0" w:noVBand="1"/>
                  </w:tblPr>
                  <w:tblGrid>
                    <w:gridCol w:w="8816"/>
                  </w:tblGrid>
                  <w:tr w:rsidR="004B704F">
                    <w:trPr>
                      <w:trHeight w:val="223"/>
                      <w:tblCellSpacing w:w="0" w:type="dxa"/>
                      <w:jc w:val="center"/>
                    </w:trPr>
                    <w:tc>
                      <w:tcPr>
                        <w:tcW w:w="0" w:type="auto"/>
                        <w:vAlign w:val="center"/>
                      </w:tcPr>
                      <w:p w:rsidR="004B704F" w:rsidRDefault="004B704F">
                        <w:pPr>
                          <w:spacing w:line="252" w:lineRule="auto"/>
                          <w:ind w:right="162"/>
                          <w:contextualSpacing/>
                          <w:jc w:val="both"/>
                          <w:rPr>
                            <w:i/>
                            <w:iCs/>
                            <w:sz w:val="20"/>
                            <w:szCs w:val="20"/>
                          </w:rPr>
                        </w:pPr>
                      </w:p>
                    </w:tc>
                  </w:tr>
                </w:tbl>
                <w:p w:rsidR="004B704F" w:rsidRDefault="004B704F">
                  <w:pPr>
                    <w:spacing w:line="288" w:lineRule="auto"/>
                    <w:rPr>
                      <w:sz w:val="20"/>
                      <w:szCs w:val="20"/>
                    </w:rPr>
                  </w:pPr>
                  <w:r>
                    <w:rPr>
                      <w:noProof/>
                    </w:rPr>
                    <w:drawing>
                      <wp:anchor distT="0" distB="0" distL="114300" distR="114300" simplePos="0" relativeHeight="251658240" behindDoc="0" locked="0" layoutInCell="1" allowOverlap="1">
                        <wp:simplePos x="0" y="0"/>
                        <wp:positionH relativeFrom="column">
                          <wp:posOffset>5080</wp:posOffset>
                        </wp:positionH>
                        <wp:positionV relativeFrom="paragraph">
                          <wp:posOffset>121920</wp:posOffset>
                        </wp:positionV>
                        <wp:extent cx="5600700" cy="9525"/>
                        <wp:effectExtent l="0" t="0" r="0" b="952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3"/>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700" cy="9525"/>
                                </a:xfrm>
                                <a:prstGeom prst="rect">
                                  <a:avLst/>
                                </a:prstGeom>
                                <a:noFill/>
                              </pic:spPr>
                            </pic:pic>
                          </a:graphicData>
                        </a:graphic>
                        <wp14:sizeRelH relativeFrom="page">
                          <wp14:pctWidth>0</wp14:pctWidth>
                        </wp14:sizeRelH>
                        <wp14:sizeRelV relativeFrom="page">
                          <wp14:pctHeight>0</wp14:pctHeight>
                        </wp14:sizeRelV>
                      </wp:anchor>
                    </w:drawing>
                  </w:r>
                </w:p>
                <w:p w:rsidR="004B704F" w:rsidRDefault="004B704F" w:rsidP="004B704F">
                  <w:pPr>
                    <w:spacing w:line="288" w:lineRule="auto"/>
                    <w:rPr>
                      <w:rFonts w:eastAsia="Times New Roman"/>
                      <w:sz w:val="20"/>
                      <w:szCs w:val="20"/>
                    </w:rPr>
                  </w:pPr>
                  <w:r>
                    <w:rPr>
                      <w:rFonts w:eastAsia="Times New Roman"/>
                      <w:sz w:val="20"/>
                      <w:szCs w:val="20"/>
                    </w:rPr>
                    <w:pict>
                      <v:rect id="_x0000_i1030" style="width:1022.25pt;height:.75pt" o:hrstd="t" o:hrnoshade="t" o:hr="t" fillcolor="#00b0f0" stroked="f"/>
                    </w:pict>
                  </w:r>
                </w:p>
                <w:p w:rsidR="004B704F" w:rsidRDefault="004B704F">
                  <w:pPr>
                    <w:shd w:val="clear" w:color="auto" w:fill="FFFFFF"/>
                    <w:spacing w:after="60" w:line="288" w:lineRule="auto"/>
                    <w:textAlignment w:val="baseline"/>
                    <w:rPr>
                      <w:color w:val="000000"/>
                      <w:sz w:val="20"/>
                      <w:szCs w:val="20"/>
                      <w:shd w:val="clear" w:color="auto" w:fill="FFFFFF"/>
                    </w:rPr>
                  </w:pPr>
                  <w:r>
                    <w:rPr>
                      <w:b/>
                      <w:bCs/>
                      <w:color w:val="0070C0"/>
                      <w:sz w:val="26"/>
                      <w:szCs w:val="26"/>
                    </w:rPr>
                    <w:t>NETWORTHY ACADEMIC RESEARCH</w:t>
                  </w:r>
                </w:p>
                <w:p w:rsidR="004B704F" w:rsidRDefault="004B704F">
                  <w:pPr>
                    <w:spacing w:line="252" w:lineRule="auto"/>
                    <w:ind w:left="162" w:right="162"/>
                    <w:jc w:val="both"/>
                    <w:rPr>
                      <w:sz w:val="20"/>
                      <w:szCs w:val="20"/>
                    </w:rPr>
                  </w:pPr>
                </w:p>
                <w:p w:rsidR="004B704F" w:rsidRDefault="004B704F">
                  <w:pPr>
                    <w:spacing w:line="252" w:lineRule="auto"/>
                    <w:ind w:right="432"/>
                    <w:jc w:val="both"/>
                    <w:rPr>
                      <w:b/>
                      <w:bCs/>
                      <w:color w:val="0000FF"/>
                      <w:sz w:val="20"/>
                      <w:szCs w:val="20"/>
                      <w:u w:val="single"/>
                    </w:rPr>
                  </w:pPr>
                  <w:hyperlink r:id="rId44" w:history="1">
                    <w:r>
                      <w:rPr>
                        <w:rStyle w:val="Hyperlink"/>
                        <w:b/>
                        <w:bCs/>
                        <w:color w:val="0000FF"/>
                        <w:sz w:val="20"/>
                        <w:szCs w:val="20"/>
                      </w:rPr>
                      <w:t>Community-supported slum-upgrading: Innovations from Kibera, Nairobi, Kenya (View Details)</w:t>
                    </w:r>
                  </w:hyperlink>
                </w:p>
                <w:p w:rsidR="004B704F" w:rsidRDefault="004B704F">
                  <w:pPr>
                    <w:spacing w:line="252" w:lineRule="auto"/>
                    <w:ind w:right="162"/>
                    <w:rPr>
                      <w:sz w:val="20"/>
                      <w:szCs w:val="20"/>
                    </w:rPr>
                  </w:pPr>
                  <w:r>
                    <w:rPr>
                      <w:sz w:val="20"/>
                      <w:szCs w:val="20"/>
                    </w:rPr>
                    <w:t>Meredith, Thomas ; Macdonald, Melanie</w:t>
                  </w:r>
                </w:p>
                <w:p w:rsidR="004B704F" w:rsidRDefault="004B704F">
                  <w:pPr>
                    <w:spacing w:line="252" w:lineRule="auto"/>
                    <w:ind w:right="162"/>
                    <w:jc w:val="both"/>
                    <w:rPr>
                      <w:sz w:val="20"/>
                      <w:szCs w:val="20"/>
                    </w:rPr>
                  </w:pPr>
                  <w:r>
                    <w:rPr>
                      <w:b/>
                      <w:bCs/>
                      <w:sz w:val="20"/>
                      <w:szCs w:val="20"/>
                    </w:rPr>
                    <w:t>Abstract</w:t>
                  </w:r>
                  <w:r>
                    <w:rPr>
                      <w:sz w:val="20"/>
                      <w:szCs w:val="20"/>
                    </w:rPr>
                    <w:t>: Slum upgrading is accepted as a priority for sustainable development. While there are clear challenges to upgrading, local support and community engagement are seen as essential to success. Typical “top-down” approaches led by institutions with power and resources may fail to generate local engagement. Conversely, initiatives led by non-governmental organizations (NGOs), community-based organizations (CBOs) or other self-help groups may garner good community support but may lack institutional and material resources to meet objectives. A hybrid approach that engages the community while mobilizing the resources of governments and large agencies can overcome some of these limitations, but it is not without complications. We examine the process and impact of a slum upgrading pilot project in Kibera, Nairobi, Kenya, that operationalized this hybrid approach by adopting an adaptive management model to promote community engagement. The project was part of the Government of Kenya's Kenya Slum Upgrading Program and involved the Kibera Water and Sanitation Project led by UN-Habitat's Urban Basic Services Branch.</w:t>
                  </w:r>
                </w:p>
                <w:p w:rsidR="004B704F" w:rsidRDefault="004B704F">
                  <w:pPr>
                    <w:spacing w:line="252" w:lineRule="auto"/>
                    <w:ind w:right="432"/>
                    <w:jc w:val="both"/>
                    <w:rPr>
                      <w:color w:val="909090"/>
                      <w:sz w:val="20"/>
                      <w:szCs w:val="20"/>
                    </w:rPr>
                  </w:pPr>
                  <w:r>
                    <w:rPr>
                      <w:color w:val="909090"/>
                      <w:sz w:val="20"/>
                      <w:szCs w:val="20"/>
                    </w:rPr>
                    <w:t>Habitat International, February 2017, Vol.60, pp.1-9 [Peer Reviewed Journal]</w:t>
                  </w:r>
                </w:p>
                <w:p w:rsidR="004B704F" w:rsidRDefault="004B704F">
                  <w:pPr>
                    <w:spacing w:line="252" w:lineRule="auto"/>
                    <w:ind w:right="432"/>
                    <w:jc w:val="both"/>
                    <w:rPr>
                      <w:color w:val="909090"/>
                      <w:sz w:val="20"/>
                      <w:szCs w:val="20"/>
                    </w:rPr>
                  </w:pPr>
                </w:p>
                <w:p w:rsidR="004B704F" w:rsidRDefault="004B704F">
                  <w:pPr>
                    <w:spacing w:line="252" w:lineRule="auto"/>
                    <w:ind w:right="432"/>
                    <w:jc w:val="both"/>
                    <w:rPr>
                      <w:b/>
                      <w:bCs/>
                      <w:color w:val="0000FF"/>
                      <w:sz w:val="20"/>
                      <w:szCs w:val="20"/>
                      <w:u w:val="single"/>
                    </w:rPr>
                  </w:pPr>
                  <w:hyperlink r:id="rId45" w:history="1">
                    <w:r>
                      <w:rPr>
                        <w:rStyle w:val="Hyperlink"/>
                        <w:b/>
                        <w:bCs/>
                        <w:color w:val="0000FF"/>
                        <w:sz w:val="20"/>
                        <w:szCs w:val="20"/>
                      </w:rPr>
                      <w:t>Changing ability to pay for housing into effective demand: Evidence of institutional constraints from the slums in India (View Details)</w:t>
                    </w:r>
                  </w:hyperlink>
                </w:p>
                <w:p w:rsidR="004B704F" w:rsidRDefault="004B704F">
                  <w:pPr>
                    <w:spacing w:line="252" w:lineRule="auto"/>
                    <w:ind w:right="162"/>
                    <w:rPr>
                      <w:sz w:val="20"/>
                      <w:szCs w:val="20"/>
                    </w:rPr>
                  </w:pPr>
                  <w:r>
                    <w:rPr>
                      <w:sz w:val="20"/>
                      <w:szCs w:val="20"/>
                    </w:rPr>
                    <w:t>Ram, Padmini ; Needham, Barrie</w:t>
                  </w:r>
                </w:p>
                <w:p w:rsidR="004B704F" w:rsidRDefault="004B704F">
                  <w:pPr>
                    <w:spacing w:line="252" w:lineRule="auto"/>
                    <w:ind w:right="162"/>
                    <w:rPr>
                      <w:sz w:val="20"/>
                      <w:szCs w:val="20"/>
                    </w:rPr>
                  </w:pPr>
                  <w:r>
                    <w:rPr>
                      <w:b/>
                      <w:bCs/>
                      <w:sz w:val="20"/>
                      <w:szCs w:val="20"/>
                    </w:rPr>
                    <w:t>Abstract</w:t>
                  </w:r>
                  <w:r>
                    <w:rPr>
                      <w:sz w:val="20"/>
                      <w:szCs w:val="20"/>
                    </w:rPr>
                    <w:t>: Informal land and housing markets operating in the slums of Raipur give further evidence about what was already known: that, slums do not consist of homogeneous households and that some households are capable and willing to pay for their dwelling in the formal market if the institutional constraints are addressed. Then, what are the demand constraints they face? The existing literature about creating an affordable housing market focusses on the constraints in getting credit and mortgages. In our opinion, this is too narrow, for it ignores the institutional setting and the political context in which the slum dwellers are operating. This paper presents the perspective of the slum dwellers, and the barriers they face in accessing formal affordable housing. The constraints have been classified as those relating to housing as a commodity and those related to the process of acquiring the commodity. It uses descriptive statistics from a survey of 211 households conducted in the slums of Raipur, India, along with anecdotal and personal accounts of the slum dwellers gathered through the informal discussions.</w:t>
                  </w:r>
                </w:p>
                <w:p w:rsidR="004B704F" w:rsidRDefault="004B704F">
                  <w:pPr>
                    <w:spacing w:line="252" w:lineRule="auto"/>
                    <w:ind w:right="432"/>
                    <w:jc w:val="both"/>
                    <w:rPr>
                      <w:color w:val="909090"/>
                      <w:sz w:val="20"/>
                      <w:szCs w:val="20"/>
                    </w:rPr>
                  </w:pPr>
                  <w:r>
                    <w:rPr>
                      <w:color w:val="909090"/>
                      <w:sz w:val="20"/>
                      <w:szCs w:val="20"/>
                    </w:rPr>
                    <w:t>Cities, February 2017, Vol.62, pp.71-77 [Peer Reviewed Journal]</w:t>
                  </w:r>
                </w:p>
                <w:p w:rsidR="004B704F" w:rsidRDefault="004B704F">
                  <w:pPr>
                    <w:spacing w:line="252" w:lineRule="auto"/>
                    <w:ind w:right="432"/>
                    <w:jc w:val="both"/>
                    <w:rPr>
                      <w:color w:val="909090"/>
                      <w:sz w:val="20"/>
                      <w:szCs w:val="20"/>
                    </w:rPr>
                  </w:pPr>
                </w:p>
                <w:p w:rsidR="004B704F" w:rsidRDefault="004B704F">
                  <w:pPr>
                    <w:spacing w:line="252" w:lineRule="auto"/>
                    <w:ind w:right="162"/>
                    <w:rPr>
                      <w:color w:val="1770B0"/>
                      <w:sz w:val="20"/>
                      <w:szCs w:val="20"/>
                      <w:u w:val="single"/>
                    </w:rPr>
                  </w:pPr>
                  <w:hyperlink r:id="rId46" w:history="1">
                    <w:r>
                      <w:rPr>
                        <w:rStyle w:val="Hyperlink"/>
                        <w:b/>
                        <w:bCs/>
                        <w:color w:val="0000FF"/>
                        <w:sz w:val="20"/>
                        <w:szCs w:val="20"/>
                      </w:rPr>
                      <w:t xml:space="preserve">Shelter from the storm: Upgrading housing infrastructure in Latin American slums (View Details) </w:t>
                    </w:r>
                  </w:hyperlink>
                  <w:r>
                    <w:rPr>
                      <w:color w:val="1770B0"/>
                      <w:sz w:val="20"/>
                      <w:szCs w:val="20"/>
                      <w:u w:val="single"/>
                    </w:rPr>
                    <w:t> </w:t>
                  </w:r>
                </w:p>
                <w:p w:rsidR="004B704F" w:rsidRDefault="004B704F">
                  <w:pPr>
                    <w:spacing w:line="252" w:lineRule="auto"/>
                    <w:ind w:right="162"/>
                    <w:rPr>
                      <w:sz w:val="20"/>
                      <w:szCs w:val="20"/>
                    </w:rPr>
                  </w:pPr>
                  <w:r>
                    <w:rPr>
                      <w:sz w:val="20"/>
                      <w:szCs w:val="20"/>
                    </w:rPr>
                    <w:t>Galiani, Sebastián ; Gertler, Paul J. ; Undurraga, Raimundo ; Cooper, Ryan ; Martínez, Sebastián ; Ross, Adam</w:t>
                  </w:r>
                </w:p>
                <w:p w:rsidR="004B704F" w:rsidRDefault="004B704F">
                  <w:pPr>
                    <w:spacing w:line="252" w:lineRule="auto"/>
                    <w:ind w:right="162"/>
                    <w:jc w:val="both"/>
                    <w:rPr>
                      <w:i/>
                      <w:iCs/>
                      <w:sz w:val="20"/>
                      <w:szCs w:val="20"/>
                    </w:rPr>
                  </w:pPr>
                  <w:r>
                    <w:rPr>
                      <w:b/>
                      <w:bCs/>
                      <w:sz w:val="20"/>
                      <w:szCs w:val="20"/>
                    </w:rPr>
                    <w:t>Abstract</w:t>
                  </w:r>
                  <w:r>
                    <w:rPr>
                      <w:sz w:val="20"/>
                      <w:szCs w:val="20"/>
                    </w:rPr>
                    <w:t>:  This paper provides empirical evidence regarding the causal effects that upgrading slum dwellings has on the living conditions of the extremely poor. In particular, we study the impact of providing better houses in situ to slum dwellers in El Salvador, Mexico and Uruguay. We experimentally evaluate the impact of a housing project run by the NGO TECHO (“roof”), which provides basic pre-fabricated houses to members of extremely poor population groups in Latin America. The main objective of the program is to improve household well-being. Our findings show that better houses have a positive effect on overall housing conditions and general well-being: the members of treated households are happier with their quality of life. In two countries, we also document improvements in children’s health; in El Salvador, slum dwellers who have received the TECHO houses also feel that they are safer. We do not find this result, however, in the other two experimental samples. There are no other noticeable robust effects in relation to the possession of durable goods or labor outcomes.</w:t>
                  </w:r>
                </w:p>
                <w:p w:rsidR="004B704F" w:rsidRDefault="004B704F">
                  <w:pPr>
                    <w:spacing w:line="252" w:lineRule="auto"/>
                    <w:ind w:right="432"/>
                    <w:jc w:val="both"/>
                    <w:rPr>
                      <w:color w:val="909090"/>
                      <w:sz w:val="20"/>
                      <w:szCs w:val="20"/>
                    </w:rPr>
                  </w:pPr>
                  <w:r>
                    <w:rPr>
                      <w:color w:val="909090"/>
                      <w:sz w:val="20"/>
                      <w:szCs w:val="20"/>
                    </w:rPr>
                    <w:t xml:space="preserve">  Journal of Urban Economics, March 2017, Vol.98, pp.187-213 [Peer Reviewed Journal] </w:t>
                  </w:r>
                </w:p>
                <w:p w:rsidR="004B704F" w:rsidRDefault="004B704F">
                  <w:pPr>
                    <w:spacing w:line="252" w:lineRule="auto"/>
                    <w:ind w:right="432"/>
                    <w:jc w:val="both"/>
                    <w:rPr>
                      <w:color w:val="909090"/>
                      <w:sz w:val="20"/>
                      <w:szCs w:val="20"/>
                    </w:rPr>
                  </w:pPr>
                </w:p>
                <w:p w:rsidR="004B704F" w:rsidRDefault="004B704F">
                  <w:pPr>
                    <w:spacing w:line="252" w:lineRule="auto"/>
                    <w:ind w:right="432"/>
                    <w:jc w:val="both"/>
                    <w:rPr>
                      <w:b/>
                      <w:bCs/>
                      <w:color w:val="0000FF"/>
                      <w:sz w:val="20"/>
                      <w:szCs w:val="20"/>
                      <w:u w:val="single"/>
                    </w:rPr>
                  </w:pPr>
                  <w:hyperlink r:id="rId47" w:history="1">
                    <w:r>
                      <w:rPr>
                        <w:rStyle w:val="Hyperlink"/>
                        <w:b/>
                        <w:bCs/>
                        <w:color w:val="0000FF"/>
                        <w:sz w:val="20"/>
                        <w:szCs w:val="20"/>
                      </w:rPr>
                      <w:t>Titling the desert: Land formalization and tenure (in)security in Nouakchott (Mauritania) View Details</w:t>
                    </w:r>
                  </w:hyperlink>
                </w:p>
                <w:p w:rsidR="004B704F" w:rsidRDefault="004B704F">
                  <w:pPr>
                    <w:spacing w:line="252" w:lineRule="auto"/>
                    <w:ind w:right="162"/>
                    <w:rPr>
                      <w:sz w:val="20"/>
                      <w:szCs w:val="20"/>
                    </w:rPr>
                  </w:pPr>
                  <w:r>
                    <w:rPr>
                      <w:sz w:val="20"/>
                      <w:szCs w:val="20"/>
                    </w:rPr>
                    <w:t>Choplin, Armelle ; Dessie, Elizabeth</w:t>
                  </w:r>
                </w:p>
                <w:p w:rsidR="004B704F" w:rsidRDefault="004B704F">
                  <w:pPr>
                    <w:spacing w:line="252" w:lineRule="auto"/>
                    <w:ind w:right="162"/>
                    <w:jc w:val="both"/>
                    <w:rPr>
                      <w:sz w:val="20"/>
                      <w:szCs w:val="20"/>
                    </w:rPr>
                  </w:pPr>
                  <w:r>
                    <w:rPr>
                      <w:b/>
                      <w:bCs/>
                      <w:sz w:val="20"/>
                      <w:szCs w:val="20"/>
                    </w:rPr>
                    <w:t>Abstract</w:t>
                  </w:r>
                  <w:r>
                    <w:rPr>
                      <w:sz w:val="20"/>
                      <w:szCs w:val="20"/>
                    </w:rPr>
                    <w:t>: In the Global South, urban sprawl, informality and tenure insecurity embody some of the principal issues faced by State and municipal authorities. While plotting processes are stretching out the outskirts of cities, questions surrounding land tenure and poverty are at the heart of policies voiced and advocated by international institutions. The World Bank, the United Nations, as well as numerous donors and governments, have provided support for programs aimed at formalizing property rights, increasing tenure security, securing investment and expanding access to credit for poor urban dwellers (Choplin and Denis, 2016 ;  Durand-Lasserve, 2015Durand-Lasserve and Selod, 2009; Land Tenure and Development Technical Committee, 2015 ;  Zevenbergen et al., 2013).1 Consequently, in many instances, land titling processes play a central role in encouraging individualized property rights as means to fight and alleviate poverty in cities across the Global South.</w:t>
                  </w:r>
                </w:p>
                <w:p w:rsidR="004B704F" w:rsidRDefault="004B704F">
                  <w:pPr>
                    <w:spacing w:line="252" w:lineRule="auto"/>
                    <w:ind w:right="432"/>
                    <w:jc w:val="both"/>
                    <w:rPr>
                      <w:color w:val="909090"/>
                      <w:sz w:val="20"/>
                      <w:szCs w:val="20"/>
                    </w:rPr>
                  </w:pPr>
                  <w:r>
                    <w:rPr>
                      <w:color w:val="909090"/>
                      <w:sz w:val="20"/>
                      <w:szCs w:val="20"/>
                    </w:rPr>
                    <w:t>Habitat International [Peer Reviewed Journal]</w:t>
                  </w:r>
                </w:p>
                <w:p w:rsidR="004B704F" w:rsidRDefault="004B704F">
                  <w:pPr>
                    <w:spacing w:line="252" w:lineRule="auto"/>
                    <w:ind w:right="432"/>
                    <w:jc w:val="both"/>
                    <w:rPr>
                      <w:color w:val="909090"/>
                      <w:sz w:val="20"/>
                      <w:szCs w:val="20"/>
                    </w:rPr>
                  </w:pPr>
                </w:p>
                <w:p w:rsidR="004B704F" w:rsidRDefault="004B704F">
                  <w:pPr>
                    <w:spacing w:line="252" w:lineRule="auto"/>
                    <w:ind w:right="432"/>
                    <w:jc w:val="both"/>
                    <w:rPr>
                      <w:b/>
                      <w:bCs/>
                      <w:color w:val="0000FF"/>
                      <w:sz w:val="20"/>
                      <w:szCs w:val="20"/>
                      <w:u w:val="single"/>
                    </w:rPr>
                  </w:pPr>
                  <w:hyperlink r:id="rId48" w:history="1">
                    <w:r>
                      <w:rPr>
                        <w:rStyle w:val="Hyperlink"/>
                        <w:b/>
                        <w:bCs/>
                        <w:color w:val="0000FF"/>
                        <w:sz w:val="20"/>
                        <w:szCs w:val="20"/>
                      </w:rPr>
                      <w:t>Housing the knowledge economy in China: An examination of housing provision in support of science parks (View Details)</w:t>
                    </w:r>
                  </w:hyperlink>
                  <w:r>
                    <w:rPr>
                      <w:b/>
                      <w:bCs/>
                      <w:color w:val="0000FF"/>
                      <w:sz w:val="20"/>
                      <w:szCs w:val="20"/>
                      <w:u w:val="single"/>
                    </w:rPr>
                    <w:t xml:space="preserve"> </w:t>
                  </w:r>
                </w:p>
                <w:p w:rsidR="004B704F" w:rsidRDefault="004B704F">
                  <w:pPr>
                    <w:spacing w:line="252" w:lineRule="auto"/>
                    <w:ind w:right="432"/>
                    <w:jc w:val="both"/>
                    <w:rPr>
                      <w:sz w:val="20"/>
                      <w:szCs w:val="20"/>
                    </w:rPr>
                  </w:pPr>
                  <w:r>
                    <w:rPr>
                      <w:sz w:val="20"/>
                      <w:szCs w:val="20"/>
                    </w:rPr>
                    <w:t>Miao, Julie Tian</w:t>
                  </w:r>
                </w:p>
                <w:p w:rsidR="004B704F" w:rsidRDefault="004B704F">
                  <w:pPr>
                    <w:spacing w:line="252" w:lineRule="auto"/>
                    <w:ind w:right="432"/>
                    <w:jc w:val="both"/>
                    <w:rPr>
                      <w:sz w:val="20"/>
                      <w:szCs w:val="20"/>
                    </w:rPr>
                  </w:pPr>
                  <w:r>
                    <w:rPr>
                      <w:b/>
                      <w:bCs/>
                      <w:sz w:val="20"/>
                      <w:szCs w:val="20"/>
                    </w:rPr>
                    <w:t>Abstract</w:t>
                  </w:r>
                  <w:r>
                    <w:rPr>
                      <w:sz w:val="20"/>
                      <w:szCs w:val="20"/>
                    </w:rPr>
                    <w:t>: Little attention is paid in the extant academic literature to the question of housing knowledge workers despite the potential mismatches between housing supply and demand. This paper provides an initial examination of housing the knowledge economy in China, focusing on three science parks (SPs): Zhongguancun (Z-Park, Beijing), Zhangjiang (Z-SHIP, Shanghai) and Optics Valley of China (OVC, Wuhan). It discusses to what extent, and how these three SPs have factored in the housing dimension in connection with the knowledge economy, paying particular attention to housing affordability, location (inside the SPs or outside in the wider city-region) and the mode of provision (market or state). Insights were drawn from documentary analysis and in-depth interviews in the three chosen case studies. Initial evaluation of policies geared towards housing supply in China suggests that the housing question needs to come to the fore in discussions of structural transformation towards the knowledge economy.</w:t>
                  </w:r>
                </w:p>
                <w:p w:rsidR="004B704F" w:rsidRDefault="004B704F">
                  <w:pPr>
                    <w:spacing w:line="252" w:lineRule="auto"/>
                    <w:ind w:right="432"/>
                    <w:jc w:val="both"/>
                    <w:rPr>
                      <w:color w:val="909090"/>
                      <w:sz w:val="20"/>
                      <w:szCs w:val="20"/>
                    </w:rPr>
                  </w:pPr>
                  <w:r>
                    <w:rPr>
                      <w:color w:val="909090"/>
                      <w:sz w:val="20"/>
                      <w:szCs w:val="20"/>
                    </w:rPr>
                    <w:t>Urban Studies, May 2017, Vol.54(6), pp.1426-1445 [Peer Reviewed Journal]</w:t>
                  </w:r>
                </w:p>
                <w:p w:rsidR="004B704F" w:rsidRDefault="004B704F">
                  <w:pPr>
                    <w:spacing w:line="252" w:lineRule="auto"/>
                    <w:ind w:right="432"/>
                    <w:jc w:val="both"/>
                    <w:rPr>
                      <w:color w:val="909090"/>
                      <w:sz w:val="20"/>
                      <w:szCs w:val="20"/>
                    </w:rPr>
                  </w:pPr>
                </w:p>
                <w:p w:rsidR="004B704F" w:rsidRDefault="004B704F" w:rsidP="004B704F">
                  <w:pPr>
                    <w:spacing w:line="288" w:lineRule="auto"/>
                    <w:rPr>
                      <w:rFonts w:eastAsia="Times New Roman"/>
                      <w:sz w:val="20"/>
                      <w:szCs w:val="20"/>
                    </w:rPr>
                  </w:pPr>
                  <w:r>
                    <w:rPr>
                      <w:rFonts w:eastAsia="Times New Roman"/>
                      <w:sz w:val="20"/>
                      <w:szCs w:val="20"/>
                    </w:rPr>
                    <w:pict>
                      <v:rect id="_x0000_i1031" style="width:981.35pt;height:.75pt" o:hrpct="960" o:hrstd="t" o:hrnoshade="t" o:hr="t" fillcolor="#00b0f0" stroked="f"/>
                    </w:pict>
                  </w:r>
                </w:p>
                <w:p w:rsidR="004B704F" w:rsidRDefault="004B704F">
                  <w:pPr>
                    <w:spacing w:line="288" w:lineRule="auto"/>
                    <w:rPr>
                      <w:b/>
                      <w:bCs/>
                      <w:color w:val="0070C0"/>
                      <w:sz w:val="26"/>
                      <w:szCs w:val="26"/>
                    </w:rPr>
                  </w:pPr>
                  <w:r>
                    <w:rPr>
                      <w:b/>
                      <w:bCs/>
                      <w:color w:val="0070C0"/>
                      <w:sz w:val="26"/>
                      <w:szCs w:val="26"/>
                    </w:rPr>
                    <w:t>LET’s DISCUSS ONLINE</w:t>
                  </w:r>
                </w:p>
                <w:p w:rsidR="004B704F" w:rsidRDefault="004B704F">
                  <w:pPr>
                    <w:spacing w:line="288" w:lineRule="auto"/>
                    <w:rPr>
                      <w:sz w:val="20"/>
                      <w:szCs w:val="20"/>
                    </w:rPr>
                  </w:pPr>
                  <w:r>
                    <w:rPr>
                      <w:sz w:val="20"/>
                      <w:szCs w:val="20"/>
                    </w:rPr>
                    <w:t xml:space="preserve">In case you’re interested to discuss on one of the topics highlighted in the studies/academic research included in our newsletter, please let us know by posting here: </w:t>
                  </w:r>
                  <w:hyperlink r:id="rId49" w:history="1">
                    <w:r>
                      <w:rPr>
                        <w:rStyle w:val="Hyperlink"/>
                        <w:color w:val="0000FF"/>
                        <w:sz w:val="20"/>
                        <w:szCs w:val="20"/>
                      </w:rPr>
                      <w:t>Affordable Housing KSB Spark Page</w:t>
                    </w:r>
                  </w:hyperlink>
                </w:p>
                <w:p w:rsidR="004B704F" w:rsidRDefault="004B704F">
                  <w:pPr>
                    <w:spacing w:line="288" w:lineRule="auto"/>
                    <w:rPr>
                      <w:sz w:val="20"/>
                      <w:szCs w:val="20"/>
                    </w:rPr>
                  </w:pPr>
                </w:p>
              </w:tc>
              <w:tc>
                <w:tcPr>
                  <w:tcW w:w="3631" w:type="dxa"/>
                  <w:gridSpan w:val="2"/>
                  <w:tcMar>
                    <w:top w:w="0" w:type="dxa"/>
                    <w:left w:w="108" w:type="dxa"/>
                    <w:bottom w:w="0" w:type="dxa"/>
                    <w:right w:w="108" w:type="dxa"/>
                  </w:tcMar>
                </w:tcPr>
                <w:p w:rsidR="004B704F" w:rsidRDefault="004B704F">
                  <w:pPr>
                    <w:spacing w:line="288" w:lineRule="auto"/>
                    <w:rPr>
                      <w:b/>
                      <w:bCs/>
                      <w:color w:val="0070C0"/>
                      <w:sz w:val="26"/>
                      <w:szCs w:val="26"/>
                    </w:rPr>
                  </w:pPr>
                  <w:r>
                    <w:rPr>
                      <w:b/>
                      <w:bCs/>
                      <w:color w:val="0070C0"/>
                      <w:sz w:val="26"/>
                      <w:szCs w:val="26"/>
                    </w:rPr>
                    <w:t>NEWS FROM ACROSS MDB’S</w:t>
                  </w:r>
                </w:p>
                <w:p w:rsidR="004B704F" w:rsidRDefault="004B704F">
                  <w:pPr>
                    <w:spacing w:line="288" w:lineRule="auto"/>
                    <w:rPr>
                      <w:b/>
                      <w:bCs/>
                      <w:color w:val="0070C0"/>
                      <w:sz w:val="20"/>
                      <w:szCs w:val="20"/>
                    </w:rPr>
                  </w:pPr>
                </w:p>
                <w:p w:rsidR="004B704F" w:rsidRDefault="004B704F">
                  <w:pPr>
                    <w:spacing w:line="288" w:lineRule="auto"/>
                    <w:rPr>
                      <w:color w:val="0000FF"/>
                      <w:sz w:val="20"/>
                      <w:szCs w:val="20"/>
                      <w:u w:val="single"/>
                    </w:rPr>
                  </w:pPr>
                  <w:hyperlink r:id="rId50" w:history="1">
                    <w:r>
                      <w:rPr>
                        <w:rStyle w:val="Hyperlink"/>
                        <w:color w:val="0000FF"/>
                        <w:sz w:val="20"/>
                        <w:szCs w:val="20"/>
                      </w:rPr>
                      <w:t>World Bank approves new financing to support affordable housing in Indonesia</w:t>
                    </w:r>
                  </w:hyperlink>
                </w:p>
                <w:p w:rsidR="004B704F" w:rsidRDefault="004B704F">
                  <w:pPr>
                    <w:spacing w:line="252" w:lineRule="auto"/>
                    <w:rPr>
                      <w:sz w:val="20"/>
                      <w:szCs w:val="20"/>
                    </w:rPr>
                  </w:pPr>
                  <w:r>
                    <w:rPr>
                      <w:sz w:val="20"/>
                      <w:szCs w:val="20"/>
                    </w:rPr>
                    <w:t>Approval Date: March 20, 2017</w:t>
                  </w:r>
                </w:p>
                <w:p w:rsidR="004B704F" w:rsidRDefault="004B704F">
                  <w:pPr>
                    <w:spacing w:line="252" w:lineRule="auto"/>
                    <w:rPr>
                      <w:sz w:val="20"/>
                      <w:szCs w:val="20"/>
                    </w:rPr>
                  </w:pPr>
                </w:p>
                <w:p w:rsidR="004B704F" w:rsidRDefault="004B704F">
                  <w:pPr>
                    <w:spacing w:line="252" w:lineRule="auto"/>
                    <w:ind w:right="162"/>
                    <w:jc w:val="both"/>
                    <w:rPr>
                      <w:color w:val="333333"/>
                      <w:sz w:val="20"/>
                      <w:szCs w:val="20"/>
                      <w:lang w:val="en"/>
                    </w:rPr>
                  </w:pPr>
                  <w:r>
                    <w:rPr>
                      <w:b/>
                      <w:bCs/>
                      <w:color w:val="333333"/>
                      <w:sz w:val="20"/>
                      <w:szCs w:val="20"/>
                      <w:lang w:val="en"/>
                    </w:rPr>
                    <w:t>Project Description:</w:t>
                  </w:r>
                  <w:r>
                    <w:rPr>
                      <w:color w:val="333333"/>
                      <w:sz w:val="20"/>
                      <w:szCs w:val="20"/>
                      <w:lang w:val="en"/>
                    </w:rPr>
                    <w:t xml:space="preserve"> The World Bank’s Board of Executive Directors has approved $450 million in financing to support the Government of Indonesia’s efforts to expand access to affordable housing for low-income families.</w:t>
                  </w:r>
                </w:p>
                <w:p w:rsidR="004B704F" w:rsidRDefault="004B704F">
                  <w:pPr>
                    <w:spacing w:line="252" w:lineRule="auto"/>
                    <w:ind w:right="162"/>
                    <w:jc w:val="both"/>
                    <w:rPr>
                      <w:color w:val="333333"/>
                      <w:sz w:val="20"/>
                      <w:szCs w:val="20"/>
                      <w:lang w:val="en"/>
                    </w:rPr>
                  </w:pPr>
                </w:p>
                <w:p w:rsidR="004B704F" w:rsidRDefault="004B704F">
                  <w:pPr>
                    <w:spacing w:line="252" w:lineRule="auto"/>
                    <w:ind w:right="162"/>
                    <w:jc w:val="both"/>
                    <w:rPr>
                      <w:color w:val="333333"/>
                      <w:sz w:val="20"/>
                      <w:szCs w:val="20"/>
                      <w:lang w:val="en"/>
                    </w:rPr>
                  </w:pPr>
                  <w:r>
                    <w:rPr>
                      <w:color w:val="333333"/>
                      <w:sz w:val="20"/>
                      <w:szCs w:val="20"/>
                      <w:lang w:val="en"/>
                    </w:rPr>
                    <w:t>Part of the financing will support the government’s Mortgage-Linked Down Payment Assistance (BP2BT) scheme, which targets low-income, first-time homeowners. The scheme provides down payment assistance to match beneficiary savings and a market-rate mortgage from a participating lending institution. Additionally, the financing will also support the scaling up of the Home Improvement Assistance Program (BSPS), which targets the bottom 40 percent of the Indonesian families.</w:t>
                  </w:r>
                </w:p>
                <w:p w:rsidR="004B704F" w:rsidRDefault="004B704F">
                  <w:pPr>
                    <w:spacing w:line="252" w:lineRule="auto"/>
                    <w:ind w:right="162"/>
                    <w:jc w:val="both"/>
                    <w:rPr>
                      <w:sz w:val="20"/>
                      <w:szCs w:val="20"/>
                      <w:lang w:val="en"/>
                    </w:rPr>
                  </w:pPr>
                </w:p>
                <w:p w:rsidR="004B704F" w:rsidRDefault="004B704F">
                  <w:pPr>
                    <w:spacing w:line="252" w:lineRule="auto"/>
                    <w:ind w:right="162"/>
                    <w:jc w:val="both"/>
                    <w:rPr>
                      <w:color w:val="0000FF"/>
                      <w:sz w:val="20"/>
                      <w:szCs w:val="20"/>
                      <w:u w:val="single"/>
                    </w:rPr>
                  </w:pPr>
                  <w:hyperlink r:id="rId51" w:history="1">
                    <w:r>
                      <w:rPr>
                        <w:rStyle w:val="Hyperlink"/>
                        <w:color w:val="0000FF"/>
                        <w:sz w:val="20"/>
                        <w:szCs w:val="20"/>
                      </w:rPr>
                      <w:t>New Housing Finance Project for Kenya</w:t>
                    </w:r>
                  </w:hyperlink>
                </w:p>
                <w:p w:rsidR="004B704F" w:rsidRDefault="004B704F">
                  <w:pPr>
                    <w:spacing w:line="252" w:lineRule="auto"/>
                    <w:ind w:right="162"/>
                    <w:jc w:val="both"/>
                    <w:rPr>
                      <w:color w:val="333333"/>
                      <w:sz w:val="20"/>
                      <w:szCs w:val="20"/>
                      <w:lang w:val="en"/>
                    </w:rPr>
                  </w:pPr>
                  <w:r>
                    <w:rPr>
                      <w:color w:val="333333"/>
                      <w:sz w:val="20"/>
                      <w:szCs w:val="20"/>
                      <w:lang w:val="en"/>
                    </w:rPr>
                    <w:t>Preparation of a housing finance project has been approved for delivery in FY19 pipeline. The project will focus on providing long term funding to the Savings and Credit Cooperatives Organizations (SACCOs) who provide most of the housing finance at present, especially in the more affordable segments. This will in part be achieved through the establishment of the Kenya Mortgage Refinance Company. The project will aim to work on other aspects of the housing and housing finance value chain in conjunction with SURR existing projects such as Kenya Informal Settlements Improvement Project (KISIP) and alongside IFC who are invested in a number of mortgage lenders. Some of the background work on housing finance in Kenya was featured in the most recent Kenya Economic Update which devoted the issue to affordable housing</w:t>
                  </w:r>
                </w:p>
                <w:p w:rsidR="004B704F" w:rsidRDefault="004B704F">
                  <w:pPr>
                    <w:spacing w:line="252" w:lineRule="auto"/>
                    <w:ind w:right="162"/>
                    <w:jc w:val="both"/>
                    <w:rPr>
                      <w:color w:val="333333"/>
                      <w:sz w:val="20"/>
                      <w:szCs w:val="20"/>
                      <w:lang w:val="en"/>
                    </w:rPr>
                  </w:pPr>
                </w:p>
                <w:p w:rsidR="004B704F" w:rsidRDefault="004B704F">
                  <w:pPr>
                    <w:spacing w:line="288" w:lineRule="auto"/>
                    <w:rPr>
                      <w:rStyle w:val="Hyperlink"/>
                      <w:color w:val="0000FF"/>
                    </w:rPr>
                  </w:pPr>
                  <w:r>
                    <w:rPr>
                      <w:rStyle w:val="Hyperlink"/>
                      <w:color w:val="0000FF"/>
                      <w:sz w:val="20"/>
                      <w:szCs w:val="20"/>
                    </w:rPr>
                    <w:t>IFC’s Advisory Services in Housing Microfinance – Indonesia</w:t>
                  </w:r>
                </w:p>
                <w:p w:rsidR="004B704F" w:rsidRDefault="004B704F">
                  <w:pPr>
                    <w:spacing w:line="288" w:lineRule="auto"/>
                    <w:jc w:val="both"/>
                    <w:rPr>
                      <w:rStyle w:val="Hyperlink"/>
                      <w:color w:val="auto"/>
                      <w:sz w:val="20"/>
                      <w:szCs w:val="20"/>
                      <w:u w:val="none"/>
                    </w:rPr>
                  </w:pPr>
                  <w:r>
                    <w:rPr>
                      <w:rStyle w:val="Hyperlink"/>
                      <w:color w:val="auto"/>
                      <w:sz w:val="20"/>
                      <w:szCs w:val="20"/>
                      <w:u w:val="none"/>
                    </w:rPr>
                    <w:t xml:space="preserve">IFC is supporting Mandala Finance, a mid-sized multi-finance company, for advisory services in housing microfinance. In this 13-month project engagement, the IFC team will support the financial institution in conducting a market study, institutional gap analysis, product and processes refinement, delivery of training, and piloting of the housing microfinance loan product in three regions. </w:t>
                  </w:r>
                </w:p>
                <w:p w:rsidR="004B704F" w:rsidRDefault="004B704F">
                  <w:pPr>
                    <w:spacing w:line="288" w:lineRule="auto"/>
                    <w:jc w:val="both"/>
                    <w:rPr>
                      <w:rStyle w:val="Hyperlink"/>
                      <w:color w:val="auto"/>
                      <w:sz w:val="20"/>
                      <w:szCs w:val="20"/>
                      <w:u w:val="none"/>
                    </w:rPr>
                  </w:pPr>
                  <w:r>
                    <w:rPr>
                      <w:rStyle w:val="Hyperlink"/>
                      <w:color w:val="auto"/>
                      <w:sz w:val="20"/>
                      <w:szCs w:val="20"/>
                      <w:u w:val="none"/>
                    </w:rPr>
                    <w:t>The team is also in close coordination with the WB’s team in Jakarta in developing a synergy between the WB’s Housing Program with the Government of Indonesia (mentioned above) and the privately-owned financial sector.</w:t>
                  </w:r>
                </w:p>
                <w:p w:rsidR="004B704F" w:rsidRDefault="004B704F">
                  <w:pPr>
                    <w:spacing w:line="288" w:lineRule="auto"/>
                    <w:rPr>
                      <w:color w:val="00B0F0"/>
                    </w:rPr>
                  </w:pPr>
                </w:p>
                <w:p w:rsidR="004B704F" w:rsidRDefault="004B704F">
                  <w:pPr>
                    <w:spacing w:line="288" w:lineRule="auto"/>
                    <w:rPr>
                      <w:color w:val="0000FF"/>
                      <w:sz w:val="20"/>
                      <w:szCs w:val="20"/>
                      <w:u w:val="single"/>
                    </w:rPr>
                  </w:pPr>
                  <w:hyperlink r:id="rId52" w:history="1">
                    <w:r>
                      <w:rPr>
                        <w:rStyle w:val="Hyperlink"/>
                        <w:color w:val="0000FF"/>
                        <w:sz w:val="20"/>
                        <w:szCs w:val="20"/>
                      </w:rPr>
                      <w:t>World Bank Approves New Financing to Support Infrastructure Development across Indonesia</w:t>
                    </w:r>
                  </w:hyperlink>
                </w:p>
                <w:p w:rsidR="004B704F" w:rsidRDefault="004B704F">
                  <w:pPr>
                    <w:spacing w:line="252" w:lineRule="auto"/>
                    <w:rPr>
                      <w:sz w:val="20"/>
                      <w:szCs w:val="20"/>
                    </w:rPr>
                  </w:pPr>
                  <w:r>
                    <w:rPr>
                      <w:sz w:val="20"/>
                      <w:szCs w:val="20"/>
                    </w:rPr>
                    <w:t>Approval Date: March 10, 2017</w:t>
                  </w:r>
                </w:p>
                <w:p w:rsidR="004B704F" w:rsidRDefault="004B704F">
                  <w:pPr>
                    <w:spacing w:line="252" w:lineRule="auto"/>
                    <w:jc w:val="both"/>
                    <w:rPr>
                      <w:sz w:val="20"/>
                      <w:szCs w:val="20"/>
                    </w:rPr>
                  </w:pPr>
                  <w:r>
                    <w:rPr>
                      <w:sz w:val="20"/>
                      <w:szCs w:val="20"/>
                    </w:rPr>
                    <w:t>The World Bank’s Board of Executive Directors approved on March 10, 2017, $100 million in financing that will enable subnational governments to scale up investments in infrastructure and improve the welfare of communities and the competitiveness of districts across Indonesia.</w:t>
                  </w:r>
                </w:p>
                <w:p w:rsidR="004B704F" w:rsidRDefault="004B704F">
                  <w:pPr>
                    <w:spacing w:line="252" w:lineRule="auto"/>
                    <w:jc w:val="both"/>
                    <w:rPr>
                      <w:sz w:val="20"/>
                      <w:szCs w:val="20"/>
                    </w:rPr>
                  </w:pPr>
                </w:p>
                <w:p w:rsidR="004B704F" w:rsidRDefault="004B704F">
                  <w:pPr>
                    <w:spacing w:line="252" w:lineRule="auto"/>
                    <w:jc w:val="both"/>
                    <w:rPr>
                      <w:sz w:val="20"/>
                      <w:szCs w:val="20"/>
                    </w:rPr>
                  </w:pPr>
                  <w:hyperlink r:id="rId53" w:history="1">
                    <w:r>
                      <w:rPr>
                        <w:rStyle w:val="Hyperlink"/>
                        <w:color w:val="0000FF"/>
                        <w:sz w:val="20"/>
                        <w:szCs w:val="20"/>
                      </w:rPr>
                      <w:t>Capacity Building Workshop (Ghana, March 16-17)</w:t>
                    </w:r>
                  </w:hyperlink>
                </w:p>
                <w:p w:rsidR="004B704F" w:rsidRDefault="004B704F">
                  <w:pPr>
                    <w:spacing w:line="252" w:lineRule="auto"/>
                    <w:jc w:val="both"/>
                    <w:rPr>
                      <w:sz w:val="20"/>
                      <w:szCs w:val="20"/>
                    </w:rPr>
                  </w:pPr>
                  <w:r>
                    <w:rPr>
                      <w:sz w:val="20"/>
                      <w:szCs w:val="20"/>
                    </w:rPr>
                    <w:t>The pilot workshop/seminar Accra, Ghana, was organized in partnership with the Centre for Affordable Housing Finance in Africa (CAHF) and the International Finance Corporation (IFC).</w:t>
                  </w:r>
                </w:p>
                <w:p w:rsidR="004B704F" w:rsidRDefault="004B704F">
                  <w:pPr>
                    <w:spacing w:line="252" w:lineRule="auto"/>
                    <w:jc w:val="both"/>
                    <w:rPr>
                      <w:sz w:val="20"/>
                      <w:szCs w:val="20"/>
                    </w:rPr>
                  </w:pPr>
                  <w:r>
                    <w:rPr>
                      <w:sz w:val="20"/>
                      <w:szCs w:val="20"/>
                    </w:rPr>
                    <w:t xml:space="preserve">  </w:t>
                  </w:r>
                </w:p>
                <w:p w:rsidR="004B704F" w:rsidRDefault="004B704F">
                  <w:pPr>
                    <w:spacing w:line="252" w:lineRule="auto"/>
                    <w:jc w:val="both"/>
                    <w:rPr>
                      <w:sz w:val="20"/>
                      <w:szCs w:val="20"/>
                    </w:rPr>
                  </w:pPr>
                  <w:r>
                    <w:rPr>
                      <w:sz w:val="20"/>
                      <w:szCs w:val="20"/>
                    </w:rPr>
                    <w:t>The seminar focused on Mortgage Product Design and Portfolio Management: Building viable and sustainable housing finance operations across the value chain and to all income segments in Africa. The objective of the course was to provide participants with models and tools to assess the challenges for affordable housing programs and to evaluate solutions in terms of their effectiveness and efficiency.</w:t>
                  </w:r>
                </w:p>
                <w:p w:rsidR="004B704F" w:rsidRDefault="004B704F">
                  <w:pPr>
                    <w:spacing w:line="252" w:lineRule="auto"/>
                    <w:jc w:val="both"/>
                    <w:rPr>
                      <w:sz w:val="20"/>
                      <w:szCs w:val="20"/>
                    </w:rPr>
                  </w:pPr>
                </w:p>
                <w:p w:rsidR="004B704F" w:rsidRDefault="004B704F">
                  <w:pPr>
                    <w:spacing w:line="252" w:lineRule="auto"/>
                    <w:jc w:val="both"/>
                    <w:rPr>
                      <w:sz w:val="20"/>
                      <w:szCs w:val="20"/>
                    </w:rPr>
                  </w:pPr>
                  <w:r>
                    <w:rPr>
                      <w:color w:val="0000FF"/>
                      <w:sz w:val="20"/>
                      <w:szCs w:val="20"/>
                      <w:u w:val="single"/>
                    </w:rPr>
                    <w:t>West Africa Economic and Monetary Union – Housing Finance Project</w:t>
                  </w:r>
                  <w:r>
                    <w:rPr>
                      <w:sz w:val="20"/>
                      <w:szCs w:val="20"/>
                    </w:rPr>
                    <w:t xml:space="preserve"> – World Bank and West African Development Bank hosted a joint workshop in Lomé in February this year attended by delegates including Minsters of Housing and Ministers of Finance from the 8 member countries of the region. The results of a study done by the Affordable Housing Institute were presented which form the analytical basis for a project currently under preparation and scheduled to go to Board in July 2017. The objective is to support the expansion of refinancing activities of the Regional Refinance agency, CRRH so that they can provide funding for lower income loans, loans to those working in the informal sector and funding to non-bank financial institutions. Presentation of the study attached (in French) – Final report will be published in coming weeks (also in French).</w:t>
                  </w:r>
                </w:p>
                <w:p w:rsidR="004B704F" w:rsidRDefault="004B704F">
                  <w:pPr>
                    <w:spacing w:line="252" w:lineRule="auto"/>
                    <w:jc w:val="both"/>
                    <w:rPr>
                      <w:sz w:val="20"/>
                      <w:szCs w:val="20"/>
                    </w:rPr>
                  </w:pPr>
                </w:p>
                <w:p w:rsidR="004B704F" w:rsidRDefault="004B704F" w:rsidP="004B704F">
                  <w:pPr>
                    <w:spacing w:line="288" w:lineRule="auto"/>
                    <w:rPr>
                      <w:rFonts w:eastAsia="Times New Roman"/>
                      <w:color w:val="00B0F0"/>
                      <w:sz w:val="20"/>
                      <w:szCs w:val="20"/>
                    </w:rPr>
                  </w:pPr>
                  <w:r>
                    <w:rPr>
                      <w:rFonts w:eastAsia="Times New Roman"/>
                      <w:color w:val="00B0F0"/>
                      <w:sz w:val="20"/>
                      <w:szCs w:val="20"/>
                    </w:rPr>
                    <w:pict>
                      <v:rect id="_x0000_i1032" style="width:1022.25pt;height:.75pt" o:hrstd="t" o:hrnoshade="t" o:hr="t" fillcolor="#00b0f0" stroked="f"/>
                    </w:pict>
                  </w:r>
                </w:p>
                <w:p w:rsidR="004B704F" w:rsidRDefault="004B704F">
                  <w:pPr>
                    <w:spacing w:line="288" w:lineRule="auto"/>
                    <w:rPr>
                      <w:b/>
                      <w:bCs/>
                      <w:color w:val="0070C0"/>
                      <w:sz w:val="26"/>
                      <w:szCs w:val="26"/>
                    </w:rPr>
                  </w:pPr>
                  <w:r>
                    <w:rPr>
                      <w:b/>
                      <w:bCs/>
                      <w:color w:val="0070C0"/>
                      <w:sz w:val="26"/>
                      <w:szCs w:val="26"/>
                    </w:rPr>
                    <w:t>SOCIAL MEDIA</w:t>
                  </w:r>
                </w:p>
                <w:p w:rsidR="004B704F" w:rsidRDefault="004B704F">
                  <w:pPr>
                    <w:spacing w:line="288" w:lineRule="auto"/>
                    <w:rPr>
                      <w:b/>
                      <w:bCs/>
                      <w:color w:val="0070C0"/>
                      <w:sz w:val="20"/>
                      <w:szCs w:val="20"/>
                    </w:rPr>
                  </w:pPr>
                </w:p>
                <w:p w:rsidR="004B704F" w:rsidRDefault="004B704F">
                  <w:pPr>
                    <w:spacing w:line="288" w:lineRule="auto"/>
                    <w:rPr>
                      <w:sz w:val="20"/>
                      <w:szCs w:val="20"/>
                    </w:rPr>
                  </w:pPr>
                  <w:hyperlink r:id="rId54" w:history="1">
                    <w:r>
                      <w:rPr>
                        <w:rStyle w:val="Hyperlink"/>
                        <w:color w:val="0000FF"/>
                        <w:sz w:val="20"/>
                        <w:szCs w:val="20"/>
                      </w:rPr>
                      <w:t>A County Map of the American Affordable Housing Crisis - CityLab</w:t>
                    </w:r>
                  </w:hyperlink>
                  <w:r>
                    <w:rPr>
                      <w:sz w:val="20"/>
                      <w:szCs w:val="20"/>
                    </w:rPr>
                    <w:t xml:space="preserve"> from CityLab’s </w:t>
                  </w:r>
                  <w:hyperlink r:id="rId55" w:history="1">
                    <w:r>
                      <w:rPr>
                        <w:rStyle w:val="Hyperlink"/>
                        <w:color w:val="0000FF"/>
                        <w:sz w:val="20"/>
                        <w:szCs w:val="20"/>
                      </w:rPr>
                      <w:t>Tweet</w:t>
                    </w:r>
                  </w:hyperlink>
                </w:p>
                <w:p w:rsidR="004B704F" w:rsidRDefault="004B704F" w:rsidP="004B704F">
                  <w:pPr>
                    <w:spacing w:line="288" w:lineRule="auto"/>
                    <w:rPr>
                      <w:rFonts w:eastAsia="Times New Roman"/>
                      <w:b/>
                      <w:bCs/>
                      <w:color w:val="0070C0"/>
                      <w:sz w:val="20"/>
                      <w:szCs w:val="20"/>
                    </w:rPr>
                  </w:pPr>
                  <w:r>
                    <w:rPr>
                      <w:rFonts w:eastAsia="Times New Roman"/>
                      <w:b/>
                      <w:bCs/>
                      <w:color w:val="0070C0"/>
                      <w:sz w:val="20"/>
                      <w:szCs w:val="20"/>
                    </w:rPr>
                    <w:pict>
                      <v:rect id="_x0000_i1033" style="width:1022.25pt;height:.75pt" o:hrstd="t" o:hrnoshade="t" o:hr="t" fillcolor="#00b0f0" stroked="f"/>
                    </w:pict>
                  </w:r>
                </w:p>
                <w:p w:rsidR="004B704F" w:rsidRDefault="004B704F">
                  <w:pPr>
                    <w:spacing w:line="288" w:lineRule="auto"/>
                    <w:rPr>
                      <w:b/>
                      <w:bCs/>
                      <w:color w:val="0070C0"/>
                      <w:sz w:val="26"/>
                      <w:szCs w:val="26"/>
                    </w:rPr>
                  </w:pPr>
                  <w:r>
                    <w:rPr>
                      <w:b/>
                      <w:bCs/>
                      <w:color w:val="0070C0"/>
                      <w:sz w:val="26"/>
                      <w:szCs w:val="26"/>
                    </w:rPr>
                    <w:t>USEFUL LINKS</w:t>
                  </w:r>
                </w:p>
                <w:p w:rsidR="004B704F" w:rsidRDefault="004B704F" w:rsidP="00B77227">
                  <w:pPr>
                    <w:numPr>
                      <w:ilvl w:val="0"/>
                      <w:numId w:val="2"/>
                    </w:numPr>
                    <w:shd w:val="clear" w:color="auto" w:fill="FFFFFF"/>
                    <w:snapToGrid w:val="0"/>
                    <w:spacing w:before="100" w:beforeAutospacing="1" w:after="100" w:afterAutospacing="1" w:line="288" w:lineRule="auto"/>
                    <w:ind w:left="360"/>
                    <w:textAlignment w:val="top"/>
                    <w:rPr>
                      <w:color w:val="0000FF"/>
                      <w:sz w:val="20"/>
                      <w:szCs w:val="20"/>
                      <w:u w:val="single"/>
                      <w:lang w:val="en"/>
                    </w:rPr>
                  </w:pPr>
                  <w:hyperlink r:id="rId56" w:history="1">
                    <w:r>
                      <w:rPr>
                        <w:rStyle w:val="Hyperlink"/>
                        <w:color w:val="0000FF"/>
                        <w:sz w:val="20"/>
                        <w:szCs w:val="20"/>
                        <w:lang w:val="en"/>
                      </w:rPr>
                      <w:t>Housing Finance Information Network</w:t>
                    </w:r>
                  </w:hyperlink>
                </w:p>
                <w:p w:rsidR="004B704F" w:rsidRDefault="004B704F" w:rsidP="00B77227">
                  <w:pPr>
                    <w:numPr>
                      <w:ilvl w:val="0"/>
                      <w:numId w:val="2"/>
                    </w:numPr>
                    <w:shd w:val="clear" w:color="auto" w:fill="FFFFFF"/>
                    <w:spacing w:before="100" w:beforeAutospacing="1" w:after="100" w:afterAutospacing="1" w:line="360" w:lineRule="auto"/>
                    <w:ind w:left="360"/>
                    <w:textAlignment w:val="top"/>
                    <w:rPr>
                      <w:color w:val="0000FF"/>
                      <w:sz w:val="20"/>
                      <w:szCs w:val="20"/>
                      <w:u w:val="single"/>
                      <w:lang w:val="en"/>
                    </w:rPr>
                  </w:pPr>
                  <w:hyperlink r:id="rId57" w:history="1">
                    <w:r>
                      <w:rPr>
                        <w:rStyle w:val="Hyperlink"/>
                        <w:color w:val="0000FF"/>
                        <w:sz w:val="20"/>
                        <w:szCs w:val="20"/>
                        <w:lang w:val="en"/>
                      </w:rPr>
                      <w:t>World Bank Housing Finance Unit</w:t>
                    </w:r>
                  </w:hyperlink>
                </w:p>
                <w:p w:rsidR="004B704F" w:rsidRDefault="004B704F" w:rsidP="00B77227">
                  <w:pPr>
                    <w:numPr>
                      <w:ilvl w:val="0"/>
                      <w:numId w:val="2"/>
                    </w:numPr>
                    <w:shd w:val="clear" w:color="auto" w:fill="FFFFFF"/>
                    <w:spacing w:before="100" w:beforeAutospacing="1" w:after="100" w:afterAutospacing="1" w:line="360" w:lineRule="auto"/>
                    <w:ind w:left="360"/>
                    <w:textAlignment w:val="top"/>
                    <w:rPr>
                      <w:color w:val="0000FF"/>
                      <w:sz w:val="20"/>
                      <w:szCs w:val="20"/>
                      <w:u w:val="single"/>
                      <w:lang w:val="en"/>
                    </w:rPr>
                  </w:pPr>
                  <w:hyperlink r:id="rId58" w:history="1">
                    <w:r>
                      <w:rPr>
                        <w:rStyle w:val="Hyperlink"/>
                        <w:color w:val="0000FF"/>
                        <w:sz w:val="20"/>
                        <w:szCs w:val="20"/>
                        <w:lang w:val="en"/>
                      </w:rPr>
                      <w:t>IMF Global Housing Watch</w:t>
                    </w:r>
                  </w:hyperlink>
                </w:p>
                <w:p w:rsidR="004B704F" w:rsidRDefault="004B704F" w:rsidP="00B77227">
                  <w:pPr>
                    <w:numPr>
                      <w:ilvl w:val="0"/>
                      <w:numId w:val="2"/>
                    </w:numPr>
                    <w:shd w:val="clear" w:color="auto" w:fill="FFFFFF"/>
                    <w:spacing w:before="100" w:beforeAutospacing="1" w:after="100" w:afterAutospacing="1" w:line="360" w:lineRule="auto"/>
                    <w:ind w:left="360"/>
                    <w:textAlignment w:val="top"/>
                    <w:rPr>
                      <w:color w:val="000000"/>
                      <w:sz w:val="20"/>
                      <w:szCs w:val="20"/>
                    </w:rPr>
                  </w:pPr>
                  <w:hyperlink r:id="rId59" w:tgtFrame="_blank" w:history="1">
                    <w:r>
                      <w:rPr>
                        <w:rStyle w:val="Hyperlink"/>
                        <w:color w:val="0000FF"/>
                        <w:sz w:val="20"/>
                        <w:szCs w:val="20"/>
                        <w:lang w:val="en"/>
                      </w:rPr>
                      <w:t>Asian Coalition for Housing Rights</w:t>
                    </w:r>
                  </w:hyperlink>
                  <w:r>
                    <w:rPr>
                      <w:color w:val="000000"/>
                      <w:sz w:val="20"/>
                      <w:szCs w:val="20"/>
                    </w:rPr>
                    <w:t xml:space="preserve"> </w:t>
                  </w:r>
                </w:p>
                <w:p w:rsidR="004B704F" w:rsidRDefault="004B704F" w:rsidP="00B77227">
                  <w:pPr>
                    <w:numPr>
                      <w:ilvl w:val="0"/>
                      <w:numId w:val="2"/>
                    </w:numPr>
                    <w:shd w:val="clear" w:color="auto" w:fill="FFFFFF"/>
                    <w:spacing w:before="100" w:beforeAutospacing="1" w:after="100" w:afterAutospacing="1" w:line="360" w:lineRule="auto"/>
                    <w:ind w:left="360"/>
                    <w:textAlignment w:val="top"/>
                    <w:rPr>
                      <w:color w:val="000000"/>
                      <w:sz w:val="20"/>
                      <w:szCs w:val="20"/>
                      <w:lang w:val="en"/>
                    </w:rPr>
                  </w:pPr>
                  <w:hyperlink r:id="rId60" w:tgtFrame="_blank" w:history="1">
                    <w:r>
                      <w:rPr>
                        <w:rStyle w:val="Hyperlink"/>
                        <w:color w:val="0000FF"/>
                        <w:sz w:val="20"/>
                        <w:szCs w:val="20"/>
                        <w:lang w:val="en"/>
                      </w:rPr>
                      <w:t>Housing and Land Rights Network.</w:t>
                    </w:r>
                  </w:hyperlink>
                  <w:r>
                    <w:rPr>
                      <w:color w:val="000000"/>
                      <w:sz w:val="20"/>
                      <w:szCs w:val="20"/>
                    </w:rPr>
                    <w:t xml:space="preserve"> </w:t>
                  </w:r>
                </w:p>
                <w:p w:rsidR="004B704F" w:rsidRDefault="004B704F" w:rsidP="00B77227">
                  <w:pPr>
                    <w:numPr>
                      <w:ilvl w:val="0"/>
                      <w:numId w:val="2"/>
                    </w:numPr>
                    <w:shd w:val="clear" w:color="auto" w:fill="FFFFFF"/>
                    <w:spacing w:before="100" w:beforeAutospacing="1" w:after="100" w:afterAutospacing="1" w:line="288" w:lineRule="auto"/>
                    <w:ind w:left="360"/>
                    <w:textAlignment w:val="top"/>
                    <w:rPr>
                      <w:color w:val="000000"/>
                      <w:sz w:val="20"/>
                      <w:szCs w:val="20"/>
                      <w:lang w:val="en"/>
                    </w:rPr>
                  </w:pPr>
                  <w:hyperlink r:id="rId61" w:tgtFrame="_blank" w:history="1">
                    <w:r>
                      <w:rPr>
                        <w:rStyle w:val="Hyperlink"/>
                        <w:color w:val="0000FF"/>
                        <w:sz w:val="20"/>
                        <w:szCs w:val="20"/>
                        <w:lang w:val="en"/>
                      </w:rPr>
                      <w:t>International Federation for Housing and Planning</w:t>
                    </w:r>
                  </w:hyperlink>
                  <w:r>
                    <w:rPr>
                      <w:color w:val="000000"/>
                      <w:sz w:val="20"/>
                      <w:szCs w:val="20"/>
                    </w:rPr>
                    <w:t xml:space="preserve"> </w:t>
                  </w:r>
                </w:p>
                <w:p w:rsidR="004B704F" w:rsidRDefault="004B704F" w:rsidP="00B77227">
                  <w:pPr>
                    <w:numPr>
                      <w:ilvl w:val="0"/>
                      <w:numId w:val="2"/>
                    </w:numPr>
                    <w:shd w:val="clear" w:color="auto" w:fill="FFFFFF"/>
                    <w:spacing w:before="100" w:beforeAutospacing="1" w:after="100" w:afterAutospacing="1" w:line="360" w:lineRule="auto"/>
                    <w:ind w:left="360"/>
                    <w:textAlignment w:val="top"/>
                    <w:rPr>
                      <w:color w:val="000000"/>
                      <w:sz w:val="20"/>
                      <w:szCs w:val="20"/>
                      <w:lang w:val="en"/>
                    </w:rPr>
                  </w:pPr>
                  <w:hyperlink r:id="rId62" w:tgtFrame="_blank" w:history="1">
                    <w:r>
                      <w:rPr>
                        <w:rStyle w:val="Hyperlink"/>
                        <w:color w:val="0000FF"/>
                        <w:sz w:val="20"/>
                        <w:szCs w:val="20"/>
                        <w:lang w:val="en"/>
                      </w:rPr>
                      <w:t>Shack/Slum Dwellers International</w:t>
                    </w:r>
                  </w:hyperlink>
                  <w:r>
                    <w:rPr>
                      <w:color w:val="000000"/>
                      <w:sz w:val="20"/>
                      <w:szCs w:val="20"/>
                    </w:rPr>
                    <w:t xml:space="preserve"> </w:t>
                  </w:r>
                </w:p>
                <w:p w:rsidR="004B704F" w:rsidRDefault="004B704F" w:rsidP="00B77227">
                  <w:pPr>
                    <w:numPr>
                      <w:ilvl w:val="0"/>
                      <w:numId w:val="2"/>
                    </w:numPr>
                    <w:shd w:val="clear" w:color="auto" w:fill="FFFFFF"/>
                    <w:spacing w:before="100" w:beforeAutospacing="1" w:after="100" w:afterAutospacing="1" w:line="360" w:lineRule="auto"/>
                    <w:ind w:left="360"/>
                    <w:textAlignment w:val="top"/>
                    <w:rPr>
                      <w:color w:val="000000"/>
                      <w:sz w:val="20"/>
                      <w:szCs w:val="20"/>
                      <w:lang w:val="en"/>
                    </w:rPr>
                  </w:pPr>
                  <w:hyperlink r:id="rId63" w:tgtFrame="_blank" w:history="1">
                    <w:r>
                      <w:rPr>
                        <w:rStyle w:val="Hyperlink"/>
                        <w:color w:val="0000FF"/>
                        <w:sz w:val="20"/>
                        <w:szCs w:val="20"/>
                        <w:lang w:val="en"/>
                      </w:rPr>
                      <w:t>U.N. Habitat</w:t>
                    </w:r>
                  </w:hyperlink>
                  <w:r>
                    <w:rPr>
                      <w:color w:val="000000"/>
                      <w:sz w:val="20"/>
                      <w:szCs w:val="20"/>
                    </w:rPr>
                    <w:t xml:space="preserve"> </w:t>
                  </w:r>
                </w:p>
                <w:p w:rsidR="004B704F" w:rsidRDefault="004B704F" w:rsidP="00B77227">
                  <w:pPr>
                    <w:numPr>
                      <w:ilvl w:val="0"/>
                      <w:numId w:val="2"/>
                    </w:numPr>
                    <w:shd w:val="clear" w:color="auto" w:fill="FFFFFF"/>
                    <w:spacing w:before="100" w:beforeAutospacing="1" w:after="100" w:afterAutospacing="1" w:line="360" w:lineRule="auto"/>
                    <w:ind w:left="360"/>
                    <w:textAlignment w:val="top"/>
                    <w:rPr>
                      <w:color w:val="000000"/>
                      <w:sz w:val="20"/>
                      <w:szCs w:val="20"/>
                      <w:lang w:val="en"/>
                    </w:rPr>
                  </w:pPr>
                  <w:hyperlink r:id="rId64" w:tgtFrame="_blank" w:history="1">
                    <w:r>
                      <w:rPr>
                        <w:rStyle w:val="Hyperlink"/>
                        <w:color w:val="0000FF"/>
                        <w:sz w:val="20"/>
                        <w:szCs w:val="20"/>
                        <w:lang w:val="en"/>
                      </w:rPr>
                      <w:t>USAid: Making Cities Work</w:t>
                    </w:r>
                  </w:hyperlink>
                  <w:r>
                    <w:rPr>
                      <w:color w:val="000000"/>
                      <w:sz w:val="20"/>
                      <w:szCs w:val="20"/>
                    </w:rPr>
                    <w:t xml:space="preserve"> </w:t>
                  </w:r>
                </w:p>
                <w:p w:rsidR="004B704F" w:rsidRDefault="004B704F" w:rsidP="00B77227">
                  <w:pPr>
                    <w:numPr>
                      <w:ilvl w:val="0"/>
                      <w:numId w:val="2"/>
                    </w:numPr>
                    <w:shd w:val="clear" w:color="auto" w:fill="FFFFFF"/>
                    <w:spacing w:before="100" w:beforeAutospacing="1" w:after="100" w:afterAutospacing="1" w:line="360" w:lineRule="auto"/>
                    <w:ind w:left="360"/>
                    <w:textAlignment w:val="top"/>
                    <w:rPr>
                      <w:color w:val="000000"/>
                      <w:sz w:val="20"/>
                      <w:szCs w:val="20"/>
                      <w:lang w:val="en"/>
                    </w:rPr>
                  </w:pPr>
                  <w:hyperlink r:id="rId65" w:tgtFrame="_blank" w:history="1">
                    <w:r>
                      <w:rPr>
                        <w:rStyle w:val="Hyperlink"/>
                        <w:color w:val="0000FF"/>
                        <w:sz w:val="20"/>
                        <w:szCs w:val="20"/>
                        <w:lang w:val="en"/>
                      </w:rPr>
                      <w:t>Urban Poor Fund International</w:t>
                    </w:r>
                  </w:hyperlink>
                  <w:r>
                    <w:rPr>
                      <w:color w:val="000000"/>
                      <w:sz w:val="20"/>
                      <w:szCs w:val="20"/>
                    </w:rPr>
                    <w:t xml:space="preserve"> </w:t>
                  </w:r>
                </w:p>
                <w:p w:rsidR="004B704F" w:rsidRDefault="004B704F">
                  <w:pPr>
                    <w:spacing w:line="288" w:lineRule="auto"/>
                    <w:rPr>
                      <w:sz w:val="20"/>
                      <w:szCs w:val="20"/>
                    </w:rPr>
                  </w:pPr>
                </w:p>
              </w:tc>
            </w:tr>
            <w:tr w:rsidR="004B704F">
              <w:trPr>
                <w:trHeight w:val="937"/>
                <w:jc w:val="center"/>
              </w:trPr>
              <w:tc>
                <w:tcPr>
                  <w:tcW w:w="12316" w:type="dxa"/>
                  <w:gridSpan w:val="2"/>
                  <w:shd w:val="clear" w:color="auto" w:fill="0070C0"/>
                  <w:tcMar>
                    <w:top w:w="0" w:type="dxa"/>
                    <w:left w:w="108" w:type="dxa"/>
                    <w:bottom w:w="0" w:type="dxa"/>
                    <w:right w:w="108" w:type="dxa"/>
                  </w:tcMar>
                </w:tcPr>
                <w:p w:rsidR="004B704F" w:rsidRDefault="004B704F">
                  <w:pPr>
                    <w:spacing w:line="252" w:lineRule="auto"/>
                    <w:ind w:right="179"/>
                    <w:jc w:val="center"/>
                    <w:rPr>
                      <w:color w:val="FFFFFF"/>
                      <w:sz w:val="24"/>
                      <w:szCs w:val="24"/>
                    </w:rPr>
                  </w:pPr>
                  <w:r>
                    <w:rPr>
                      <w:sz w:val="20"/>
                      <w:szCs w:val="20"/>
                    </w:rPr>
                    <w:br/>
                  </w:r>
                  <w:hyperlink r:id="rId66" w:history="1">
                    <w:r>
                      <w:rPr>
                        <w:rStyle w:val="Hyperlink"/>
                        <w:b/>
                        <w:bCs/>
                        <w:color w:val="FF0000"/>
                        <w:sz w:val="24"/>
                        <w:szCs w:val="24"/>
                      </w:rPr>
                      <w:t>Join us</w:t>
                    </w:r>
                  </w:hyperlink>
                  <w:r>
                    <w:rPr>
                      <w:color w:val="FFFFFF"/>
                      <w:sz w:val="24"/>
                      <w:szCs w:val="24"/>
                    </w:rPr>
                    <w:t xml:space="preserve">, find out more about our library and past and future events, or tell us how to better serve this KSB à </w:t>
                  </w:r>
                  <w:hyperlink r:id="rId67" w:history="1">
                    <w:r>
                      <w:rPr>
                        <w:rStyle w:val="Hyperlink"/>
                        <w:color w:val="FF0000"/>
                        <w:sz w:val="24"/>
                        <w:szCs w:val="24"/>
                      </w:rPr>
                      <w:t>C4D Page</w:t>
                    </w:r>
                  </w:hyperlink>
                </w:p>
                <w:p w:rsidR="004B704F" w:rsidRDefault="004B704F">
                  <w:pPr>
                    <w:spacing w:line="252" w:lineRule="auto"/>
                    <w:ind w:right="179"/>
                    <w:jc w:val="center"/>
                    <w:rPr>
                      <w:i/>
                      <w:iCs/>
                      <w:sz w:val="8"/>
                      <w:szCs w:val="8"/>
                    </w:rPr>
                  </w:pPr>
                </w:p>
                <w:p w:rsidR="004B704F" w:rsidRDefault="004B704F">
                  <w:pPr>
                    <w:spacing w:line="252" w:lineRule="auto"/>
                    <w:ind w:right="-65"/>
                    <w:rPr>
                      <w:color w:val="FFFFFF"/>
                      <w:sz w:val="18"/>
                      <w:szCs w:val="18"/>
                    </w:rPr>
                  </w:pPr>
                  <w:r>
                    <w:rPr>
                      <w:color w:val="FFFFFF"/>
                      <w:sz w:val="18"/>
                      <w:szCs w:val="18"/>
                    </w:rPr>
                    <w:t>                                        Affordable Housing KSB Core Team: Yan Zhang, Angelica Nunez, Simon Walley, Britt Gwinner, Rodica Tomescu-Olariu</w:t>
                  </w:r>
                </w:p>
                <w:p w:rsidR="004B704F" w:rsidRDefault="004B704F">
                  <w:pPr>
                    <w:spacing w:line="252" w:lineRule="auto"/>
                    <w:ind w:right="-65"/>
                    <w:jc w:val="center"/>
                    <w:rPr>
                      <w:color w:val="FFFFFF"/>
                      <w:sz w:val="16"/>
                      <w:szCs w:val="16"/>
                    </w:rPr>
                  </w:pPr>
                </w:p>
              </w:tc>
              <w:tc>
                <w:tcPr>
                  <w:tcW w:w="349" w:type="dxa"/>
                  <w:vAlign w:val="center"/>
                  <w:hideMark/>
                </w:tcPr>
                <w:p w:rsidR="004B704F" w:rsidRDefault="004B704F">
                  <w:pPr>
                    <w:spacing w:line="288" w:lineRule="auto"/>
                    <w:rPr>
                      <w:sz w:val="21"/>
                      <w:szCs w:val="21"/>
                    </w:rPr>
                  </w:pPr>
                  <w:r>
                    <w:rPr>
                      <w:sz w:val="24"/>
                      <w:szCs w:val="24"/>
                    </w:rPr>
                    <w:t> </w:t>
                  </w:r>
                </w:p>
              </w:tc>
            </w:tr>
            <w:tr w:rsidR="004B704F">
              <w:trPr>
                <w:trHeight w:val="462"/>
                <w:jc w:val="center"/>
              </w:trPr>
              <w:tc>
                <w:tcPr>
                  <w:tcW w:w="9034" w:type="dxa"/>
                  <w:vAlign w:val="center"/>
                  <w:hideMark/>
                </w:tcPr>
                <w:p w:rsidR="004B704F" w:rsidRDefault="004B704F">
                  <w:pPr>
                    <w:rPr>
                      <w:sz w:val="21"/>
                      <w:szCs w:val="21"/>
                    </w:rPr>
                  </w:pPr>
                </w:p>
              </w:tc>
              <w:tc>
                <w:tcPr>
                  <w:tcW w:w="3281" w:type="dxa"/>
                  <w:vAlign w:val="center"/>
                  <w:hideMark/>
                </w:tcPr>
                <w:p w:rsidR="004B704F" w:rsidRDefault="004B704F">
                  <w:pPr>
                    <w:rPr>
                      <w:rFonts w:ascii="Times New Roman" w:eastAsia="Times New Roman" w:hAnsi="Times New Roman" w:cs="Times New Roman"/>
                      <w:sz w:val="20"/>
                      <w:szCs w:val="20"/>
                    </w:rPr>
                  </w:pPr>
                </w:p>
              </w:tc>
              <w:tc>
                <w:tcPr>
                  <w:tcW w:w="349" w:type="dxa"/>
                  <w:vAlign w:val="center"/>
                  <w:hideMark/>
                </w:tcPr>
                <w:p w:rsidR="004B704F" w:rsidRDefault="004B704F">
                  <w:pPr>
                    <w:rPr>
                      <w:rFonts w:ascii="Times New Roman" w:eastAsia="Times New Roman" w:hAnsi="Times New Roman" w:cs="Times New Roman"/>
                      <w:sz w:val="20"/>
                      <w:szCs w:val="20"/>
                    </w:rPr>
                  </w:pPr>
                </w:p>
              </w:tc>
            </w:tr>
          </w:tbl>
          <w:p w:rsidR="004B704F" w:rsidRDefault="004B704F">
            <w:pPr>
              <w:jc w:val="center"/>
              <w:rPr>
                <w:rFonts w:ascii="Times New Roman" w:eastAsia="Times New Roman" w:hAnsi="Times New Roman" w:cs="Times New Roman"/>
                <w:sz w:val="20"/>
                <w:szCs w:val="20"/>
              </w:rPr>
            </w:pPr>
          </w:p>
        </w:tc>
      </w:tr>
    </w:tbl>
    <w:p w:rsidR="00863C89" w:rsidRPr="00457E01" w:rsidRDefault="00863C89" w:rsidP="00457E01">
      <w:pPr>
        <w:jc w:val="both"/>
        <w:rPr>
          <w:color w:val="000000" w:themeColor="text1"/>
        </w:rPr>
      </w:pPr>
      <w:bookmarkStart w:id="0" w:name="_GoBack"/>
      <w:bookmarkEnd w:id="0"/>
    </w:p>
    <w:sectPr w:rsidR="00863C89" w:rsidRPr="00457E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es ExtraLight">
    <w:panose1 w:val="02000000000000000000"/>
    <w:charset w:val="00"/>
    <w:family w:val="modern"/>
    <w:notTrueType/>
    <w:pitch w:val="variable"/>
    <w:sig w:usb0="A000002F" w:usb1="50000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26DBB"/>
    <w:multiLevelType w:val="multilevel"/>
    <w:tmpl w:val="6AE665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4F24710F"/>
    <w:multiLevelType w:val="multilevel"/>
    <w:tmpl w:val="33D84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C89"/>
    <w:rsid w:val="00224DF2"/>
    <w:rsid w:val="00275EE3"/>
    <w:rsid w:val="002F0F97"/>
    <w:rsid w:val="00357AC9"/>
    <w:rsid w:val="003F1ECF"/>
    <w:rsid w:val="00457E01"/>
    <w:rsid w:val="00476E75"/>
    <w:rsid w:val="004B704F"/>
    <w:rsid w:val="005B6B6B"/>
    <w:rsid w:val="00602BFE"/>
    <w:rsid w:val="00670FF9"/>
    <w:rsid w:val="00766200"/>
    <w:rsid w:val="00863C89"/>
    <w:rsid w:val="00AA0537"/>
    <w:rsid w:val="00EB6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7F22E524-4EA9-4149-AD09-72C97AB8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B704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02BFE"/>
    <w:rPr>
      <w:color w:val="0563C1"/>
      <w:u w:val="single"/>
    </w:rPr>
  </w:style>
  <w:style w:type="character" w:styleId="FollowedHyperlink">
    <w:name w:val="FollowedHyperlink"/>
    <w:basedOn w:val="DefaultParagraphFont"/>
    <w:uiPriority w:val="99"/>
    <w:semiHidden/>
    <w:unhideWhenUsed/>
    <w:rsid w:val="00357AC9"/>
    <w:rPr>
      <w:color w:val="954F72" w:themeColor="followedHyperlink"/>
      <w:u w:val="single"/>
    </w:rPr>
  </w:style>
  <w:style w:type="paragraph" w:styleId="BalloonText">
    <w:name w:val="Balloon Text"/>
    <w:basedOn w:val="Normal"/>
    <w:link w:val="BalloonTextChar"/>
    <w:uiPriority w:val="99"/>
    <w:semiHidden/>
    <w:unhideWhenUsed/>
    <w:rsid w:val="00224D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D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485583">
      <w:bodyDiv w:val="1"/>
      <w:marLeft w:val="0"/>
      <w:marRight w:val="0"/>
      <w:marTop w:val="0"/>
      <w:marBottom w:val="0"/>
      <w:divBdr>
        <w:top w:val="none" w:sz="0" w:space="0" w:color="auto"/>
        <w:left w:val="none" w:sz="0" w:space="0" w:color="auto"/>
        <w:bottom w:val="none" w:sz="0" w:space="0" w:color="auto"/>
        <w:right w:val="none" w:sz="0" w:space="0" w:color="auto"/>
      </w:divBdr>
    </w:div>
    <w:div w:id="287049972">
      <w:bodyDiv w:val="1"/>
      <w:marLeft w:val="0"/>
      <w:marRight w:val="0"/>
      <w:marTop w:val="0"/>
      <w:marBottom w:val="0"/>
      <w:divBdr>
        <w:top w:val="none" w:sz="0" w:space="0" w:color="auto"/>
        <w:left w:val="none" w:sz="0" w:space="0" w:color="auto"/>
        <w:bottom w:val="none" w:sz="0" w:space="0" w:color="auto"/>
        <w:right w:val="none" w:sz="0" w:space="0" w:color="auto"/>
      </w:divBdr>
      <w:divsChild>
        <w:div w:id="798231186">
          <w:marLeft w:val="0"/>
          <w:marRight w:val="0"/>
          <w:marTop w:val="0"/>
          <w:marBottom w:val="0"/>
          <w:divBdr>
            <w:top w:val="none" w:sz="0" w:space="0" w:color="auto"/>
            <w:left w:val="none" w:sz="0" w:space="0" w:color="auto"/>
            <w:bottom w:val="none" w:sz="0" w:space="0" w:color="auto"/>
            <w:right w:val="none" w:sz="0" w:space="0" w:color="auto"/>
          </w:divBdr>
          <w:divsChild>
            <w:div w:id="1879589977">
              <w:marLeft w:val="0"/>
              <w:marRight w:val="0"/>
              <w:marTop w:val="0"/>
              <w:marBottom w:val="0"/>
              <w:divBdr>
                <w:top w:val="none" w:sz="0" w:space="0" w:color="auto"/>
                <w:left w:val="none" w:sz="0" w:space="0" w:color="auto"/>
                <w:bottom w:val="none" w:sz="0" w:space="0" w:color="auto"/>
                <w:right w:val="none" w:sz="0" w:space="0" w:color="auto"/>
              </w:divBdr>
              <w:divsChild>
                <w:div w:id="452595462">
                  <w:marLeft w:val="0"/>
                  <w:marRight w:val="0"/>
                  <w:marTop w:val="0"/>
                  <w:marBottom w:val="0"/>
                  <w:divBdr>
                    <w:top w:val="none" w:sz="0" w:space="0" w:color="auto"/>
                    <w:left w:val="none" w:sz="0" w:space="0" w:color="auto"/>
                    <w:bottom w:val="none" w:sz="0" w:space="0" w:color="auto"/>
                    <w:right w:val="none" w:sz="0" w:space="0" w:color="auto"/>
                  </w:divBdr>
                  <w:divsChild>
                    <w:div w:id="1568881112">
                      <w:marLeft w:val="-150"/>
                      <w:marRight w:val="-150"/>
                      <w:marTop w:val="0"/>
                      <w:marBottom w:val="0"/>
                      <w:divBdr>
                        <w:top w:val="single" w:sz="2" w:space="0" w:color="auto"/>
                        <w:left w:val="single" w:sz="2" w:space="0" w:color="auto"/>
                        <w:bottom w:val="single" w:sz="2" w:space="0" w:color="auto"/>
                        <w:right w:val="single" w:sz="2" w:space="0" w:color="auto"/>
                      </w:divBdr>
                      <w:divsChild>
                        <w:div w:id="1011028048">
                          <w:marLeft w:val="0"/>
                          <w:marRight w:val="0"/>
                          <w:marTop w:val="0"/>
                          <w:marBottom w:val="0"/>
                          <w:divBdr>
                            <w:top w:val="single" w:sz="2" w:space="0" w:color="auto"/>
                            <w:left w:val="single" w:sz="2" w:space="0" w:color="auto"/>
                            <w:bottom w:val="single" w:sz="2" w:space="0" w:color="auto"/>
                            <w:right w:val="single" w:sz="2" w:space="0" w:color="auto"/>
                          </w:divBdr>
                          <w:divsChild>
                            <w:div w:id="897864114">
                              <w:marLeft w:val="0"/>
                              <w:marRight w:val="0"/>
                              <w:marTop w:val="0"/>
                              <w:marBottom w:val="0"/>
                              <w:divBdr>
                                <w:top w:val="none" w:sz="0" w:space="0" w:color="auto"/>
                                <w:left w:val="none" w:sz="0" w:space="0" w:color="auto"/>
                                <w:bottom w:val="none" w:sz="0" w:space="0" w:color="auto"/>
                                <w:right w:val="none" w:sz="0" w:space="0" w:color="auto"/>
                              </w:divBdr>
                              <w:divsChild>
                                <w:div w:id="1392653677">
                                  <w:marLeft w:val="0"/>
                                  <w:marRight w:val="0"/>
                                  <w:marTop w:val="0"/>
                                  <w:marBottom w:val="0"/>
                                  <w:divBdr>
                                    <w:top w:val="none" w:sz="0" w:space="0" w:color="auto"/>
                                    <w:left w:val="none" w:sz="0" w:space="0" w:color="auto"/>
                                    <w:bottom w:val="none" w:sz="0" w:space="0" w:color="auto"/>
                                    <w:right w:val="none" w:sz="0" w:space="0" w:color="auto"/>
                                  </w:divBdr>
                                  <w:divsChild>
                                    <w:div w:id="1425764345">
                                      <w:marLeft w:val="0"/>
                                      <w:marRight w:val="0"/>
                                      <w:marTop w:val="0"/>
                                      <w:marBottom w:val="0"/>
                                      <w:divBdr>
                                        <w:top w:val="none" w:sz="0" w:space="0" w:color="auto"/>
                                        <w:left w:val="none" w:sz="0" w:space="0" w:color="auto"/>
                                        <w:bottom w:val="none" w:sz="0" w:space="0" w:color="auto"/>
                                        <w:right w:val="none" w:sz="0" w:space="0" w:color="auto"/>
                                      </w:divBdr>
                                      <w:divsChild>
                                        <w:div w:id="183447844">
                                          <w:marLeft w:val="0"/>
                                          <w:marRight w:val="0"/>
                                          <w:marTop w:val="0"/>
                                          <w:marBottom w:val="0"/>
                                          <w:divBdr>
                                            <w:top w:val="none" w:sz="0" w:space="0" w:color="auto"/>
                                            <w:left w:val="none" w:sz="0" w:space="0" w:color="auto"/>
                                            <w:bottom w:val="none" w:sz="0" w:space="0" w:color="auto"/>
                                            <w:right w:val="none" w:sz="0" w:space="0" w:color="auto"/>
                                          </w:divBdr>
                                          <w:divsChild>
                                            <w:div w:id="1638417700">
                                              <w:marLeft w:val="-150"/>
                                              <w:marRight w:val="-150"/>
                                              <w:marTop w:val="0"/>
                                              <w:marBottom w:val="0"/>
                                              <w:divBdr>
                                                <w:top w:val="single" w:sz="2" w:space="0" w:color="auto"/>
                                                <w:left w:val="single" w:sz="2" w:space="0" w:color="auto"/>
                                                <w:bottom w:val="single" w:sz="2" w:space="0" w:color="auto"/>
                                                <w:right w:val="single" w:sz="2" w:space="0" w:color="auto"/>
                                              </w:divBdr>
                                              <w:divsChild>
                                                <w:div w:id="1162041182">
                                                  <w:marLeft w:val="0"/>
                                                  <w:marRight w:val="0"/>
                                                  <w:marTop w:val="0"/>
                                                  <w:marBottom w:val="0"/>
                                                  <w:divBdr>
                                                    <w:top w:val="single" w:sz="2" w:space="0" w:color="auto"/>
                                                    <w:left w:val="single" w:sz="2" w:space="0" w:color="auto"/>
                                                    <w:bottom w:val="single" w:sz="2" w:space="0" w:color="auto"/>
                                                    <w:right w:val="single" w:sz="2" w:space="0" w:color="auto"/>
                                                  </w:divBdr>
                                                  <w:divsChild>
                                                    <w:div w:id="76830785">
                                                      <w:marLeft w:val="0"/>
                                                      <w:marRight w:val="0"/>
                                                      <w:marTop w:val="0"/>
                                                      <w:marBottom w:val="0"/>
                                                      <w:divBdr>
                                                        <w:top w:val="none" w:sz="0" w:space="0" w:color="auto"/>
                                                        <w:left w:val="none" w:sz="0" w:space="0" w:color="auto"/>
                                                        <w:bottom w:val="none" w:sz="0" w:space="0" w:color="auto"/>
                                                        <w:right w:val="none" w:sz="0" w:space="0" w:color="auto"/>
                                                      </w:divBdr>
                                                      <w:divsChild>
                                                        <w:div w:id="1870604808">
                                                          <w:marLeft w:val="0"/>
                                                          <w:marRight w:val="0"/>
                                                          <w:marTop w:val="0"/>
                                                          <w:marBottom w:val="0"/>
                                                          <w:divBdr>
                                                            <w:top w:val="none" w:sz="0" w:space="0" w:color="auto"/>
                                                            <w:left w:val="none" w:sz="0" w:space="0" w:color="auto"/>
                                                            <w:bottom w:val="none" w:sz="0" w:space="0" w:color="auto"/>
                                                            <w:right w:val="none" w:sz="0" w:space="0" w:color="auto"/>
                                                          </w:divBdr>
                                                          <w:divsChild>
                                                            <w:div w:id="336690538">
                                                              <w:marLeft w:val="0"/>
                                                              <w:marRight w:val="0"/>
                                                              <w:marTop w:val="0"/>
                                                              <w:marBottom w:val="0"/>
                                                              <w:divBdr>
                                                                <w:top w:val="none" w:sz="0" w:space="0" w:color="auto"/>
                                                                <w:left w:val="none" w:sz="0" w:space="0" w:color="auto"/>
                                                                <w:bottom w:val="none" w:sz="0" w:space="0" w:color="auto"/>
                                                                <w:right w:val="none" w:sz="0" w:space="0" w:color="auto"/>
                                                              </w:divBdr>
                                                              <w:divsChild>
                                                                <w:div w:id="164638517">
                                                                  <w:marLeft w:val="0"/>
                                                                  <w:marRight w:val="0"/>
                                                                  <w:marTop w:val="0"/>
                                                                  <w:marBottom w:val="0"/>
                                                                  <w:divBdr>
                                                                    <w:top w:val="none" w:sz="0" w:space="0" w:color="auto"/>
                                                                    <w:left w:val="none" w:sz="0" w:space="0" w:color="auto"/>
                                                                    <w:bottom w:val="none" w:sz="0" w:space="0" w:color="auto"/>
                                                                    <w:right w:val="none" w:sz="0" w:space="0" w:color="auto"/>
                                                                  </w:divBdr>
                                                                  <w:divsChild>
                                                                    <w:div w:id="19858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7743484">
      <w:bodyDiv w:val="1"/>
      <w:marLeft w:val="0"/>
      <w:marRight w:val="0"/>
      <w:marTop w:val="0"/>
      <w:marBottom w:val="0"/>
      <w:divBdr>
        <w:top w:val="none" w:sz="0" w:space="0" w:color="auto"/>
        <w:left w:val="none" w:sz="0" w:space="0" w:color="auto"/>
        <w:bottom w:val="none" w:sz="0" w:space="0" w:color="auto"/>
        <w:right w:val="none" w:sz="0" w:space="0" w:color="auto"/>
      </w:divBdr>
    </w:div>
    <w:div w:id="499394532">
      <w:bodyDiv w:val="1"/>
      <w:marLeft w:val="0"/>
      <w:marRight w:val="0"/>
      <w:marTop w:val="0"/>
      <w:marBottom w:val="0"/>
      <w:divBdr>
        <w:top w:val="none" w:sz="0" w:space="0" w:color="auto"/>
        <w:left w:val="none" w:sz="0" w:space="0" w:color="auto"/>
        <w:bottom w:val="none" w:sz="0" w:space="0" w:color="auto"/>
        <w:right w:val="none" w:sz="0" w:space="0" w:color="auto"/>
      </w:divBdr>
      <w:divsChild>
        <w:div w:id="1596212590">
          <w:marLeft w:val="0"/>
          <w:marRight w:val="0"/>
          <w:marTop w:val="0"/>
          <w:marBottom w:val="0"/>
          <w:divBdr>
            <w:top w:val="none" w:sz="0" w:space="0" w:color="auto"/>
            <w:left w:val="none" w:sz="0" w:space="0" w:color="auto"/>
            <w:bottom w:val="none" w:sz="0" w:space="0" w:color="auto"/>
            <w:right w:val="none" w:sz="0" w:space="0" w:color="auto"/>
          </w:divBdr>
        </w:div>
        <w:div w:id="457726670">
          <w:marLeft w:val="0"/>
          <w:marRight w:val="0"/>
          <w:marTop w:val="0"/>
          <w:marBottom w:val="0"/>
          <w:divBdr>
            <w:top w:val="none" w:sz="0" w:space="0" w:color="auto"/>
            <w:left w:val="none" w:sz="0" w:space="0" w:color="auto"/>
            <w:bottom w:val="none" w:sz="0" w:space="0" w:color="auto"/>
            <w:right w:val="none" w:sz="0" w:space="0" w:color="auto"/>
          </w:divBdr>
        </w:div>
        <w:div w:id="844130562">
          <w:marLeft w:val="0"/>
          <w:marRight w:val="0"/>
          <w:marTop w:val="0"/>
          <w:marBottom w:val="0"/>
          <w:divBdr>
            <w:top w:val="none" w:sz="0" w:space="0" w:color="auto"/>
            <w:left w:val="none" w:sz="0" w:space="0" w:color="auto"/>
            <w:bottom w:val="none" w:sz="0" w:space="0" w:color="auto"/>
            <w:right w:val="none" w:sz="0" w:space="0" w:color="auto"/>
          </w:divBdr>
        </w:div>
        <w:div w:id="520439399">
          <w:marLeft w:val="0"/>
          <w:marRight w:val="0"/>
          <w:marTop w:val="0"/>
          <w:marBottom w:val="0"/>
          <w:divBdr>
            <w:top w:val="none" w:sz="0" w:space="0" w:color="auto"/>
            <w:left w:val="none" w:sz="0" w:space="0" w:color="auto"/>
            <w:bottom w:val="none" w:sz="0" w:space="0" w:color="auto"/>
            <w:right w:val="none" w:sz="0" w:space="0" w:color="auto"/>
          </w:divBdr>
        </w:div>
        <w:div w:id="2031374294">
          <w:marLeft w:val="0"/>
          <w:marRight w:val="0"/>
          <w:marTop w:val="0"/>
          <w:marBottom w:val="0"/>
          <w:divBdr>
            <w:top w:val="none" w:sz="0" w:space="0" w:color="auto"/>
            <w:left w:val="none" w:sz="0" w:space="0" w:color="auto"/>
            <w:bottom w:val="none" w:sz="0" w:space="0" w:color="auto"/>
            <w:right w:val="none" w:sz="0" w:space="0" w:color="auto"/>
          </w:divBdr>
        </w:div>
      </w:divsChild>
    </w:div>
    <w:div w:id="837698684">
      <w:bodyDiv w:val="1"/>
      <w:marLeft w:val="0"/>
      <w:marRight w:val="0"/>
      <w:marTop w:val="0"/>
      <w:marBottom w:val="0"/>
      <w:divBdr>
        <w:top w:val="none" w:sz="0" w:space="0" w:color="auto"/>
        <w:left w:val="none" w:sz="0" w:space="0" w:color="auto"/>
        <w:bottom w:val="none" w:sz="0" w:space="0" w:color="auto"/>
        <w:right w:val="none" w:sz="0" w:space="0" w:color="auto"/>
      </w:divBdr>
      <w:divsChild>
        <w:div w:id="1751465242">
          <w:marLeft w:val="0"/>
          <w:marRight w:val="0"/>
          <w:marTop w:val="0"/>
          <w:marBottom w:val="0"/>
          <w:divBdr>
            <w:top w:val="none" w:sz="0" w:space="0" w:color="auto"/>
            <w:left w:val="none" w:sz="0" w:space="0" w:color="auto"/>
            <w:bottom w:val="none" w:sz="0" w:space="0" w:color="auto"/>
            <w:right w:val="none" w:sz="0" w:space="0" w:color="auto"/>
          </w:divBdr>
          <w:divsChild>
            <w:div w:id="500966986">
              <w:marLeft w:val="0"/>
              <w:marRight w:val="0"/>
              <w:marTop w:val="0"/>
              <w:marBottom w:val="0"/>
              <w:divBdr>
                <w:top w:val="none" w:sz="0" w:space="0" w:color="auto"/>
                <w:left w:val="none" w:sz="0" w:space="0" w:color="auto"/>
                <w:bottom w:val="none" w:sz="0" w:space="0" w:color="auto"/>
                <w:right w:val="none" w:sz="0" w:space="0" w:color="auto"/>
              </w:divBdr>
              <w:divsChild>
                <w:div w:id="1139036240">
                  <w:marLeft w:val="0"/>
                  <w:marRight w:val="0"/>
                  <w:marTop w:val="0"/>
                  <w:marBottom w:val="0"/>
                  <w:divBdr>
                    <w:top w:val="none" w:sz="0" w:space="0" w:color="auto"/>
                    <w:left w:val="none" w:sz="0" w:space="0" w:color="auto"/>
                    <w:bottom w:val="none" w:sz="0" w:space="0" w:color="auto"/>
                    <w:right w:val="none" w:sz="0" w:space="0" w:color="auto"/>
                  </w:divBdr>
                  <w:divsChild>
                    <w:div w:id="403920850">
                      <w:marLeft w:val="-150"/>
                      <w:marRight w:val="-150"/>
                      <w:marTop w:val="0"/>
                      <w:marBottom w:val="0"/>
                      <w:divBdr>
                        <w:top w:val="single" w:sz="2" w:space="0" w:color="auto"/>
                        <w:left w:val="single" w:sz="2" w:space="0" w:color="auto"/>
                        <w:bottom w:val="single" w:sz="2" w:space="0" w:color="auto"/>
                        <w:right w:val="single" w:sz="2" w:space="0" w:color="auto"/>
                      </w:divBdr>
                      <w:divsChild>
                        <w:div w:id="609044772">
                          <w:marLeft w:val="0"/>
                          <w:marRight w:val="0"/>
                          <w:marTop w:val="0"/>
                          <w:marBottom w:val="0"/>
                          <w:divBdr>
                            <w:top w:val="single" w:sz="2" w:space="0" w:color="auto"/>
                            <w:left w:val="single" w:sz="2" w:space="0" w:color="auto"/>
                            <w:bottom w:val="single" w:sz="2" w:space="0" w:color="auto"/>
                            <w:right w:val="single" w:sz="2" w:space="0" w:color="auto"/>
                          </w:divBdr>
                          <w:divsChild>
                            <w:div w:id="1718747611">
                              <w:marLeft w:val="0"/>
                              <w:marRight w:val="0"/>
                              <w:marTop w:val="0"/>
                              <w:marBottom w:val="0"/>
                              <w:divBdr>
                                <w:top w:val="none" w:sz="0" w:space="0" w:color="auto"/>
                                <w:left w:val="none" w:sz="0" w:space="0" w:color="auto"/>
                                <w:bottom w:val="none" w:sz="0" w:space="0" w:color="auto"/>
                                <w:right w:val="none" w:sz="0" w:space="0" w:color="auto"/>
                              </w:divBdr>
                              <w:divsChild>
                                <w:div w:id="328364773">
                                  <w:marLeft w:val="0"/>
                                  <w:marRight w:val="0"/>
                                  <w:marTop w:val="0"/>
                                  <w:marBottom w:val="0"/>
                                  <w:divBdr>
                                    <w:top w:val="none" w:sz="0" w:space="0" w:color="auto"/>
                                    <w:left w:val="none" w:sz="0" w:space="0" w:color="auto"/>
                                    <w:bottom w:val="none" w:sz="0" w:space="0" w:color="auto"/>
                                    <w:right w:val="none" w:sz="0" w:space="0" w:color="auto"/>
                                  </w:divBdr>
                                  <w:divsChild>
                                    <w:div w:id="673189856">
                                      <w:marLeft w:val="0"/>
                                      <w:marRight w:val="0"/>
                                      <w:marTop w:val="0"/>
                                      <w:marBottom w:val="0"/>
                                      <w:divBdr>
                                        <w:top w:val="none" w:sz="0" w:space="0" w:color="auto"/>
                                        <w:left w:val="none" w:sz="0" w:space="0" w:color="auto"/>
                                        <w:bottom w:val="none" w:sz="0" w:space="0" w:color="auto"/>
                                        <w:right w:val="none" w:sz="0" w:space="0" w:color="auto"/>
                                      </w:divBdr>
                                      <w:divsChild>
                                        <w:div w:id="1690402068">
                                          <w:marLeft w:val="0"/>
                                          <w:marRight w:val="0"/>
                                          <w:marTop w:val="0"/>
                                          <w:marBottom w:val="0"/>
                                          <w:divBdr>
                                            <w:top w:val="none" w:sz="0" w:space="0" w:color="auto"/>
                                            <w:left w:val="none" w:sz="0" w:space="0" w:color="auto"/>
                                            <w:bottom w:val="none" w:sz="0" w:space="0" w:color="auto"/>
                                            <w:right w:val="none" w:sz="0" w:space="0" w:color="auto"/>
                                          </w:divBdr>
                                          <w:divsChild>
                                            <w:div w:id="1675721449">
                                              <w:marLeft w:val="-150"/>
                                              <w:marRight w:val="-150"/>
                                              <w:marTop w:val="0"/>
                                              <w:marBottom w:val="0"/>
                                              <w:divBdr>
                                                <w:top w:val="single" w:sz="2" w:space="0" w:color="auto"/>
                                                <w:left w:val="single" w:sz="2" w:space="0" w:color="auto"/>
                                                <w:bottom w:val="single" w:sz="2" w:space="0" w:color="auto"/>
                                                <w:right w:val="single" w:sz="2" w:space="0" w:color="auto"/>
                                              </w:divBdr>
                                              <w:divsChild>
                                                <w:div w:id="1608543656">
                                                  <w:marLeft w:val="0"/>
                                                  <w:marRight w:val="0"/>
                                                  <w:marTop w:val="0"/>
                                                  <w:marBottom w:val="0"/>
                                                  <w:divBdr>
                                                    <w:top w:val="single" w:sz="2" w:space="0" w:color="auto"/>
                                                    <w:left w:val="single" w:sz="2" w:space="0" w:color="auto"/>
                                                    <w:bottom w:val="single" w:sz="2" w:space="0" w:color="auto"/>
                                                    <w:right w:val="single" w:sz="2" w:space="0" w:color="auto"/>
                                                  </w:divBdr>
                                                  <w:divsChild>
                                                    <w:div w:id="2002004720">
                                                      <w:marLeft w:val="0"/>
                                                      <w:marRight w:val="0"/>
                                                      <w:marTop w:val="0"/>
                                                      <w:marBottom w:val="0"/>
                                                      <w:divBdr>
                                                        <w:top w:val="none" w:sz="0" w:space="0" w:color="auto"/>
                                                        <w:left w:val="none" w:sz="0" w:space="0" w:color="auto"/>
                                                        <w:bottom w:val="none" w:sz="0" w:space="0" w:color="auto"/>
                                                        <w:right w:val="none" w:sz="0" w:space="0" w:color="auto"/>
                                                      </w:divBdr>
                                                      <w:divsChild>
                                                        <w:div w:id="1354263973">
                                                          <w:marLeft w:val="0"/>
                                                          <w:marRight w:val="0"/>
                                                          <w:marTop w:val="0"/>
                                                          <w:marBottom w:val="0"/>
                                                          <w:divBdr>
                                                            <w:top w:val="none" w:sz="0" w:space="0" w:color="auto"/>
                                                            <w:left w:val="none" w:sz="0" w:space="0" w:color="auto"/>
                                                            <w:bottom w:val="none" w:sz="0" w:space="0" w:color="auto"/>
                                                            <w:right w:val="none" w:sz="0" w:space="0" w:color="auto"/>
                                                          </w:divBdr>
                                                          <w:divsChild>
                                                            <w:div w:id="2119135669">
                                                              <w:marLeft w:val="0"/>
                                                              <w:marRight w:val="0"/>
                                                              <w:marTop w:val="0"/>
                                                              <w:marBottom w:val="0"/>
                                                              <w:divBdr>
                                                                <w:top w:val="none" w:sz="0" w:space="0" w:color="auto"/>
                                                                <w:left w:val="none" w:sz="0" w:space="0" w:color="auto"/>
                                                                <w:bottom w:val="none" w:sz="0" w:space="0" w:color="auto"/>
                                                                <w:right w:val="none" w:sz="0" w:space="0" w:color="auto"/>
                                                              </w:divBdr>
                                                              <w:divsChild>
                                                                <w:div w:id="1250650199">
                                                                  <w:marLeft w:val="0"/>
                                                                  <w:marRight w:val="0"/>
                                                                  <w:marTop w:val="0"/>
                                                                  <w:marBottom w:val="0"/>
                                                                  <w:divBdr>
                                                                    <w:top w:val="none" w:sz="0" w:space="0" w:color="auto"/>
                                                                    <w:left w:val="none" w:sz="0" w:space="0" w:color="auto"/>
                                                                    <w:bottom w:val="none" w:sz="0" w:space="0" w:color="auto"/>
                                                                    <w:right w:val="none" w:sz="0" w:space="0" w:color="auto"/>
                                                                  </w:divBdr>
                                                                  <w:divsChild>
                                                                    <w:div w:id="1339574529">
                                                                      <w:marLeft w:val="0"/>
                                                                      <w:marRight w:val="0"/>
                                                                      <w:marTop w:val="0"/>
                                                                      <w:marBottom w:val="0"/>
                                                                      <w:divBdr>
                                                                        <w:top w:val="none" w:sz="0" w:space="0" w:color="auto"/>
                                                                        <w:left w:val="none" w:sz="0" w:space="0" w:color="auto"/>
                                                                        <w:bottom w:val="none" w:sz="0" w:space="0" w:color="auto"/>
                                                                        <w:right w:val="none" w:sz="0" w:space="0" w:color="auto"/>
                                                                      </w:divBdr>
                                                                      <w:divsChild>
                                                                        <w:div w:id="2005745113">
                                                                          <w:marLeft w:val="0"/>
                                                                          <w:marRight w:val="0"/>
                                                                          <w:marTop w:val="0"/>
                                                                          <w:marBottom w:val="0"/>
                                                                          <w:divBdr>
                                                                            <w:top w:val="none" w:sz="0" w:space="0" w:color="auto"/>
                                                                            <w:left w:val="none" w:sz="0" w:space="0" w:color="auto"/>
                                                                            <w:bottom w:val="none" w:sz="0" w:space="0" w:color="auto"/>
                                                                            <w:right w:val="none" w:sz="0" w:space="0" w:color="auto"/>
                                                                          </w:divBdr>
                                                                          <w:divsChild>
                                                                            <w:div w:id="639699991">
                                                                              <w:marLeft w:val="0"/>
                                                                              <w:marRight w:val="0"/>
                                                                              <w:marTop w:val="0"/>
                                                                              <w:marBottom w:val="300"/>
                                                                              <w:divBdr>
                                                                                <w:top w:val="none" w:sz="0" w:space="0" w:color="auto"/>
                                                                                <w:left w:val="none" w:sz="0" w:space="0" w:color="auto"/>
                                                                                <w:bottom w:val="none" w:sz="0" w:space="0" w:color="auto"/>
                                                                                <w:right w:val="none" w:sz="0" w:space="0" w:color="auto"/>
                                                                              </w:divBdr>
                                                                            </w:div>
                                                                            <w:div w:id="5831442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679195">
      <w:bodyDiv w:val="1"/>
      <w:marLeft w:val="0"/>
      <w:marRight w:val="0"/>
      <w:marTop w:val="0"/>
      <w:marBottom w:val="0"/>
      <w:divBdr>
        <w:top w:val="none" w:sz="0" w:space="0" w:color="auto"/>
        <w:left w:val="none" w:sz="0" w:space="0" w:color="auto"/>
        <w:bottom w:val="none" w:sz="0" w:space="0" w:color="auto"/>
        <w:right w:val="none" w:sz="0" w:space="0" w:color="auto"/>
      </w:divBdr>
      <w:divsChild>
        <w:div w:id="1401368457">
          <w:marLeft w:val="27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onomist.com/news/finance-and-economics/21718511-bolthole-money-welcome-comes-unintended-consequences-foreign-buyers" TargetMode="External"/><Relationship Id="rId21" Type="http://schemas.openxmlformats.org/officeDocument/2006/relationships/hyperlink" Target="http://www.oecd.org/social/affordable-housing-database.htm" TargetMode="External"/><Relationship Id="rId42" Type="http://schemas.openxmlformats.org/officeDocument/2006/relationships/hyperlink" Target="file://\\wbgvdiprofile\VDI$\WB478142\RedirectedFolders\Desktop\Science%20and%20City%20&#8211;%20I&#8217;m%20not%20sure%20if%20this%20is%20of%20interest%20and%20really%20not%20very%20academic,%20but%20I%20read%20a%20fantastic%20book%20on%20Science%20and%20Cities.%20It%20is%20very%20accessible%20easy%20reading%20and%20covers%20all%20issues%20from%20waste,%20energy%20roads,%20construction,%20power,%20water,etc.%20It%20breaks%20down%20the%20science%20behind%20all%20of%20this%20and%20gives%20a%20really%20fresh%20and%20engaging%20perspective%20on%20some%20of%20the%20big%20issues%20around%20urban%20living." TargetMode="External"/><Relationship Id="rId47" Type="http://schemas.openxmlformats.org/officeDocument/2006/relationships/hyperlink" Target="http://www.sciencedirect.com.libproxy-wb.imf.org/science/article/pii/S0197397516309729" TargetMode="External"/><Relationship Id="rId63" Type="http://schemas.openxmlformats.org/officeDocument/2006/relationships/hyperlink" Target="http://www.unhabitat.org/" TargetMode="External"/><Relationship Id="rId68"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hyperlink" Target="http://unassumingeconomist.com/2017/04/understanding-housing-supply-views-from-joseph-gyourko/" TargetMode="External"/><Relationship Id="rId29" Type="http://schemas.openxmlformats.org/officeDocument/2006/relationships/hyperlink" Target="https://unhabitat.org/housing-and-slum-upgrading-3/" TargetMode="External"/><Relationship Id="rId11" Type="http://schemas.openxmlformats.org/officeDocument/2006/relationships/image" Target="cid:image003.png@01D2D020.020CF460" TargetMode="External"/><Relationship Id="rId24" Type="http://schemas.openxmlformats.org/officeDocument/2006/relationships/hyperlink" Target="http://www.economist.com/news/middle-east-and-africa/21721141-making-slums-less-exploitative-may-be-africas-biggest-challenge-exploitation-and" TargetMode="External"/><Relationship Id="rId32" Type="http://schemas.openxmlformats.org/officeDocument/2006/relationships/hyperlink" Target="https://housingfinance.wharton.upenn.edu/education/contact/" TargetMode="External"/><Relationship Id="rId37" Type="http://schemas.openxmlformats.org/officeDocument/2006/relationships/hyperlink" Target="mailto:swalley@worldbank.org" TargetMode="External"/><Relationship Id="rId40" Type="http://schemas.openxmlformats.org/officeDocument/2006/relationships/hyperlink" Target="https://www.rutgersrealestate.com/blog-re/is-the-american-dream-affordable/" TargetMode="External"/><Relationship Id="rId45" Type="http://schemas.openxmlformats.org/officeDocument/2006/relationships/hyperlink" Target="http://www.sciencedirect.com.libproxy-wb.imf.org/science/article/pii/S0264275116303882" TargetMode="External"/><Relationship Id="rId53" Type="http://schemas.openxmlformats.org/officeDocument/2006/relationships/hyperlink" Target="https://www.wider.unu.edu/event/capacity-building-ghana%E2%80%99s-economic-development-prospects-and-challenges" TargetMode="External"/><Relationship Id="rId58" Type="http://schemas.openxmlformats.org/officeDocument/2006/relationships/hyperlink" Target="http://www.imf.org/external/research/housing/" TargetMode="External"/><Relationship Id="rId66" Type="http://schemas.openxmlformats.org/officeDocument/2006/relationships/hyperlink" Target="https://collaboration.worldbank.org/groups/affordable-housing-ksb-c4d" TargetMode="External"/><Relationship Id="rId5" Type="http://schemas.openxmlformats.org/officeDocument/2006/relationships/webSettings" Target="webSettings.xml"/><Relationship Id="rId61" Type="http://schemas.openxmlformats.org/officeDocument/2006/relationships/hyperlink" Target="http://www.ifhp.org/" TargetMode="External"/><Relationship Id="rId19" Type="http://schemas.openxmlformats.org/officeDocument/2006/relationships/image" Target="media/image6.jpeg"/><Relationship Id="rId14" Type="http://schemas.openxmlformats.org/officeDocument/2006/relationships/image" Target="media/image5.png"/><Relationship Id="rId22" Type="http://schemas.openxmlformats.org/officeDocument/2006/relationships/hyperlink" Target="https://constructionreviewonline.com/2017/04/low-cost-houses-to-remedy-slum-development-in-rwanda/?utm_source=subscribers&amp;utm_campaign=16573b9229-newsletter&amp;utm_medium=email&amp;utm_term=0_eaf8001ecf-16573b9229-161584125" TargetMode="External"/><Relationship Id="rId27" Type="http://schemas.openxmlformats.org/officeDocument/2006/relationships/hyperlink" Target="http://ap.ohchr.org/documents/dpage_e.aspx?si=A/HRC/34/51" TargetMode="External"/><Relationship Id="rId30" Type="http://schemas.openxmlformats.org/officeDocument/2006/relationships/image" Target="media/image8.png"/><Relationship Id="rId35" Type="http://schemas.openxmlformats.org/officeDocument/2006/relationships/hyperlink" Target="http://www.housingfinance2017.org/index.php?id=166" TargetMode="External"/><Relationship Id="rId43" Type="http://schemas.openxmlformats.org/officeDocument/2006/relationships/image" Target="media/image13.png"/><Relationship Id="rId48" Type="http://schemas.openxmlformats.org/officeDocument/2006/relationships/hyperlink" Target="http://journals.sagepub.com.libproxy-wb.imf.org/doi/abs/10.1177/0042098015627106" TargetMode="External"/><Relationship Id="rId56" Type="http://schemas.openxmlformats.org/officeDocument/2006/relationships/hyperlink" Target="http://www.hofinet.org/links.aspx" TargetMode="External"/><Relationship Id="rId64" Type="http://schemas.openxmlformats.org/officeDocument/2006/relationships/hyperlink" Target="http://www.makingcitieswork.org/"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file:///\\wbgvdiprofile\VDI$\WB478142\RedirectedFolders\Desktop\&#8211;%20http:\www.worldbank.org\en\country\kenya\publication\kenya-needs-2-million-more-low-income-homes-building-them-would-boost-its-economic-growth"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pubdocs.worldbank.org/en/164681492024146238/EAP-Economic-Update-April-2017.pdf?cid=EXTEAPMonth1" TargetMode="External"/><Relationship Id="rId25" Type="http://schemas.openxmlformats.org/officeDocument/2006/relationships/image" Target="media/image7.png"/><Relationship Id="rId33" Type="http://schemas.openxmlformats.org/officeDocument/2006/relationships/hyperlink" Target="https://housingfinance.wharton.upenn.edu/deadline-extended-to-may-19th/" TargetMode="External"/><Relationship Id="rId38" Type="http://schemas.openxmlformats.org/officeDocument/2006/relationships/image" Target="media/image10.png"/><Relationship Id="rId46" Type="http://schemas.openxmlformats.org/officeDocument/2006/relationships/hyperlink" Target="http://www.sciencedirect.com.libproxy-wb.imf.org/science/article/pii/S0094119016300572" TargetMode="External"/><Relationship Id="rId59" Type="http://schemas.openxmlformats.org/officeDocument/2006/relationships/hyperlink" Target="http://www.achr.net/" TargetMode="External"/><Relationship Id="rId67" Type="http://schemas.openxmlformats.org/officeDocument/2006/relationships/hyperlink" Target="https://collaboration.worldbank.org/groups/affordable-housing-ksb-c4d" TargetMode="External"/><Relationship Id="rId20" Type="http://schemas.openxmlformats.org/officeDocument/2006/relationships/hyperlink" Target="http://globalpractices.worldbank.org/sur/Lists/Calendar/DispForm.aspx?ID=578" TargetMode="External"/><Relationship Id="rId41" Type="http://schemas.openxmlformats.org/officeDocument/2006/relationships/image" Target="media/image12.jpeg"/><Relationship Id="rId54" Type="http://schemas.openxmlformats.org/officeDocument/2006/relationships/hyperlink" Target="https://t.co/peIJUWe01v" TargetMode="External"/><Relationship Id="rId62" Type="http://schemas.openxmlformats.org/officeDocument/2006/relationships/hyperlink" Target="http://www.sdinet.org/" TargetMode="External"/><Relationship Id="rId1" Type="http://schemas.openxmlformats.org/officeDocument/2006/relationships/customXml" Target="../customXml/item1.xml"/><Relationship Id="rId6" Type="http://schemas.openxmlformats.org/officeDocument/2006/relationships/hyperlink" Target="https://collaboration.worldbank.org/groups/affordable-housing-ksb-c4d" TargetMode="External"/><Relationship Id="rId15" Type="http://schemas.openxmlformats.org/officeDocument/2006/relationships/image" Target="cid:image016.png@01D2D020.020CF460" TargetMode="External"/><Relationship Id="rId23" Type="http://schemas.openxmlformats.org/officeDocument/2006/relationships/hyperlink" Target="https://constructionreviewonline.com/2017/04/national-social-security-fund-in-uganda-to-build-low-cost-houses/?utm_source=subscribers&amp;utm_campaign=16573b9229-newsletter&amp;utm_medium=email&amp;utm_term=0_eaf8001ecf-16573b9229-161584125" TargetMode="External"/><Relationship Id="rId28" Type="http://schemas.openxmlformats.org/officeDocument/2006/relationships/hyperlink" Target="http://www.imf.org/external/research/housing/" TargetMode="External"/><Relationship Id="rId36" Type="http://schemas.openxmlformats.org/officeDocument/2006/relationships/hyperlink" Target="mailto:info@housingfinance2017.org" TargetMode="External"/><Relationship Id="rId49" Type="http://schemas.openxmlformats.org/officeDocument/2006/relationships/hyperlink" Target="https://spark.worldbank.org/groups/affordable-housing-ksb" TargetMode="External"/><Relationship Id="rId57" Type="http://schemas.openxmlformats.org/officeDocument/2006/relationships/hyperlink" Target="http://web.worldbank.org/WBSITE/EXTERNAL/TOPICS/EXTFINANCIALSECTOR/0,,contentMDK:22217029~pagePK:210058~piPK:210062~theSitePK:282885,00.html" TargetMode="Externa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www.sciencedirect.com.libproxy-wb.imf.org/science/article/pii/S0197397516304337" TargetMode="External"/><Relationship Id="rId52" Type="http://schemas.openxmlformats.org/officeDocument/2006/relationships/hyperlink" Target="http://www.worldbank.org/en/news/press-release/2017/03/13/world-bank-approves-new-financing-to-support-infrastructure-development-across-indonesia" TargetMode="External"/><Relationship Id="rId60" Type="http://schemas.openxmlformats.org/officeDocument/2006/relationships/hyperlink" Target="http://www.hlrn.org/" TargetMode="External"/><Relationship Id="rId65" Type="http://schemas.openxmlformats.org/officeDocument/2006/relationships/hyperlink" Target="http://upfi.info/" TargetMode="External"/><Relationship Id="rId4" Type="http://schemas.openxmlformats.org/officeDocument/2006/relationships/settings" Target="settings.xml"/><Relationship Id="rId9" Type="http://schemas.openxmlformats.org/officeDocument/2006/relationships/image" Target="cid:image002.jpg@01D2D020.020CF460" TargetMode="External"/><Relationship Id="rId13" Type="http://schemas.openxmlformats.org/officeDocument/2006/relationships/image" Target="cid:image015.png@01D2D020.020CF460" TargetMode="External"/><Relationship Id="rId18" Type="http://schemas.openxmlformats.org/officeDocument/2006/relationships/hyperlink" Target="https://www.zedbooks.net/shop/book/rethinking-the-economics-of-land-and-housing/" TargetMode="External"/><Relationship Id="rId39" Type="http://schemas.openxmlformats.org/officeDocument/2006/relationships/image" Target="media/image11.png"/><Relationship Id="rId34" Type="http://schemas.openxmlformats.org/officeDocument/2006/relationships/hyperlink" Target="https://www.socialhousingfestival.com/" TargetMode="External"/><Relationship Id="rId50" Type="http://schemas.openxmlformats.org/officeDocument/2006/relationships/hyperlink" Target="http://www.worldbank.org/en/news/press-release/2017/03/20/world-bank-approves-new-financing-to-support-affordable-housing-in-indonesia" TargetMode="External"/><Relationship Id="rId55" Type="http://schemas.openxmlformats.org/officeDocument/2006/relationships/hyperlink" Target="https://twitter.com/citylab/status/859211666378174465?refsrc=email&amp;s=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124DE-26D7-4DBC-8133-F38924104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2937</Words>
  <Characters>16747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Phoram Shah</dc:creator>
  <cp:keywords/>
  <dc:description/>
  <cp:lastModifiedBy>Rodica Tomescu Olariu</cp:lastModifiedBy>
  <cp:revision>2</cp:revision>
  <dcterms:created xsi:type="dcterms:W3CDTF">2017-09-05T18:43:00Z</dcterms:created>
  <dcterms:modified xsi:type="dcterms:W3CDTF">2017-09-05T18:43:00Z</dcterms:modified>
</cp:coreProperties>
</file>