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0C8626" w14:textId="6AA868BA" w:rsidR="002D3192" w:rsidRPr="001D590D" w:rsidRDefault="00EC4C5E" w:rsidP="002D0302">
      <w:pPr>
        <w:rPr>
          <w:szCs w:val="22"/>
        </w:rPr>
      </w:pPr>
      <w:bookmarkStart w:id="0" w:name="_Ref262056650"/>
      <w:bookmarkStart w:id="1" w:name="_Ref262065896"/>
      <w:bookmarkStart w:id="2" w:name="_Ref262066017"/>
      <w:bookmarkStart w:id="3" w:name="_Ref262718969"/>
      <w:bookmarkStart w:id="4" w:name="_Toc255626950"/>
      <w:bookmarkStart w:id="5" w:name="_Toc377127526"/>
      <w:bookmarkStart w:id="6" w:name="_Toc231176491"/>
      <w:bookmarkEnd w:id="0"/>
      <w:bookmarkEnd w:id="1"/>
      <w:bookmarkEnd w:id="2"/>
      <w:bookmarkEnd w:id="3"/>
      <w:r>
        <w:rPr>
          <w:szCs w:val="22"/>
        </w:rPr>
        <w:t xml:space="preserve"> </w:t>
      </w:r>
    </w:p>
    <w:p w14:paraId="05F3BBEA" w14:textId="77777777" w:rsidR="00B428B5" w:rsidRDefault="00B428B5" w:rsidP="00B428B5">
      <w:pPr>
        <w:spacing w:before="120" w:line="288" w:lineRule="auto"/>
        <w:rPr>
          <w:rFonts w:cs="Arial"/>
          <w:b/>
          <w:sz w:val="36"/>
          <w:szCs w:val="22"/>
        </w:rPr>
      </w:pPr>
    </w:p>
    <w:p w14:paraId="727CC4DD" w14:textId="77777777" w:rsidR="00B428B5" w:rsidRDefault="00B428B5" w:rsidP="00B428B5">
      <w:pPr>
        <w:spacing w:before="120" w:line="288" w:lineRule="auto"/>
        <w:rPr>
          <w:rFonts w:cs="Arial"/>
          <w:b/>
          <w:sz w:val="36"/>
          <w:szCs w:val="22"/>
        </w:rPr>
      </w:pPr>
    </w:p>
    <w:p w14:paraId="37994FB7" w14:textId="0B6AD2D6" w:rsidR="00B428B5" w:rsidRDefault="00B428B5" w:rsidP="00B428B5">
      <w:pPr>
        <w:spacing w:before="120" w:line="288" w:lineRule="auto"/>
        <w:rPr>
          <w:rFonts w:cs="Arial"/>
          <w:b/>
          <w:bCs/>
          <w:smallCaps/>
          <w:sz w:val="40"/>
          <w:szCs w:val="40"/>
        </w:rPr>
      </w:pPr>
      <w:r w:rsidRPr="00B428B5">
        <w:rPr>
          <w:rFonts w:cs="Arial"/>
          <w:b/>
          <w:bCs/>
          <w:smallCaps/>
          <w:sz w:val="40"/>
          <w:szCs w:val="40"/>
        </w:rPr>
        <w:t>Financing Housing Consolidation in In-Situ Informal Settlement Upgrading Programmes in South Africa</w:t>
      </w:r>
    </w:p>
    <w:p w14:paraId="6E2E7B2D" w14:textId="77777777" w:rsidR="008079A8" w:rsidRPr="00B428B5" w:rsidRDefault="008079A8" w:rsidP="00B428B5">
      <w:pPr>
        <w:spacing w:before="120" w:line="288" w:lineRule="auto"/>
        <w:rPr>
          <w:rFonts w:cs="Arial"/>
          <w:b/>
          <w:bCs/>
          <w:smallCaps/>
          <w:sz w:val="40"/>
          <w:szCs w:val="40"/>
        </w:rPr>
      </w:pPr>
    </w:p>
    <w:p w14:paraId="0F93FC05" w14:textId="1C271537" w:rsidR="00B428B5" w:rsidRDefault="00B428B5" w:rsidP="00B428B5">
      <w:pPr>
        <w:spacing w:before="120" w:line="288" w:lineRule="auto"/>
        <w:rPr>
          <w:rFonts w:cs="Arial"/>
          <w:sz w:val="36"/>
          <w:szCs w:val="22"/>
        </w:rPr>
      </w:pPr>
      <w:r w:rsidRPr="00B428B5">
        <w:rPr>
          <w:noProof/>
          <w:lang w:val="en-US"/>
        </w:rPr>
        <w:drawing>
          <wp:anchor distT="0" distB="0" distL="114300" distR="114300" simplePos="0" relativeHeight="251671552" behindDoc="0" locked="0" layoutInCell="1" allowOverlap="1" wp14:anchorId="72317923" wp14:editId="7FE84701">
            <wp:simplePos x="0" y="0"/>
            <wp:positionH relativeFrom="column">
              <wp:posOffset>0</wp:posOffset>
            </wp:positionH>
            <wp:positionV relativeFrom="paragraph">
              <wp:posOffset>138430</wp:posOffset>
            </wp:positionV>
            <wp:extent cx="2461895" cy="1059180"/>
            <wp:effectExtent l="0" t="0" r="1905" b="7620"/>
            <wp:wrapThrough wrapText="bothSides">
              <wp:wrapPolygon edited="0">
                <wp:start x="0" y="0"/>
                <wp:lineTo x="0" y="21237"/>
                <wp:lineTo x="21394" y="21237"/>
                <wp:lineTo x="21394" y="0"/>
                <wp:lineTo x="0" y="0"/>
              </wp:wrapPolygon>
            </wp:wrapThrough>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46189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36"/>
          <w:szCs w:val="22"/>
          <w:lang w:val="en-US"/>
        </w:rPr>
        <w:drawing>
          <wp:inline distT="0" distB="0" distL="0" distR="0" wp14:anchorId="20532EA6" wp14:editId="7E07AE93">
            <wp:extent cx="1089121" cy="1198033"/>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89382" cy="1198320"/>
                    </a:xfrm>
                    <a:prstGeom prst="rect">
                      <a:avLst/>
                    </a:prstGeom>
                    <a:noFill/>
                    <a:ln>
                      <a:noFill/>
                    </a:ln>
                  </pic:spPr>
                </pic:pic>
              </a:graphicData>
            </a:graphic>
          </wp:inline>
        </w:drawing>
      </w:r>
    </w:p>
    <w:p w14:paraId="39B8087C" w14:textId="06F4A6B2" w:rsidR="00AC4F0D" w:rsidRDefault="00DE5F82" w:rsidP="00B428B5">
      <w:pPr>
        <w:spacing w:before="120" w:line="288" w:lineRule="auto"/>
        <w:rPr>
          <w:rFonts w:cs="Arial"/>
          <w:sz w:val="36"/>
          <w:szCs w:val="22"/>
        </w:rPr>
      </w:pPr>
      <w:r w:rsidRPr="00DE5F82">
        <w:rPr>
          <w:rFonts w:cs="Arial"/>
          <w:noProof/>
          <w:sz w:val="36"/>
          <w:szCs w:val="22"/>
          <w:lang w:val="en-US"/>
        </w:rPr>
        <w:drawing>
          <wp:inline distT="0" distB="0" distL="0" distR="0" wp14:anchorId="72AB9BEE" wp14:editId="53C054D1">
            <wp:extent cx="3543300" cy="942367"/>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stretch>
                      <a:fillRect/>
                    </a:stretch>
                  </pic:blipFill>
                  <pic:spPr>
                    <a:xfrm>
                      <a:off x="0" y="0"/>
                      <a:ext cx="3544948" cy="942805"/>
                    </a:xfrm>
                    <a:prstGeom prst="rect">
                      <a:avLst/>
                    </a:prstGeom>
                  </pic:spPr>
                </pic:pic>
              </a:graphicData>
            </a:graphic>
          </wp:inline>
        </w:drawing>
      </w:r>
    </w:p>
    <w:p w14:paraId="44CA3A75" w14:textId="77777777" w:rsidR="00DE5F82" w:rsidRDefault="00DE5F82" w:rsidP="00B428B5">
      <w:pPr>
        <w:spacing w:before="120" w:line="288" w:lineRule="auto"/>
        <w:rPr>
          <w:rFonts w:cs="Arial"/>
          <w:sz w:val="36"/>
          <w:szCs w:val="22"/>
        </w:rPr>
      </w:pPr>
    </w:p>
    <w:p w14:paraId="3B380BCE" w14:textId="51587405" w:rsidR="00B428B5" w:rsidRPr="00213C22" w:rsidRDefault="00DE5F82" w:rsidP="00B428B5">
      <w:pPr>
        <w:spacing w:before="120" w:line="288" w:lineRule="auto"/>
        <w:rPr>
          <w:rFonts w:cs="Arial"/>
          <w:sz w:val="36"/>
          <w:szCs w:val="22"/>
        </w:rPr>
      </w:pPr>
      <w:r>
        <w:rPr>
          <w:rFonts w:cs="Arial"/>
          <w:sz w:val="36"/>
          <w:szCs w:val="22"/>
        </w:rPr>
        <w:t xml:space="preserve">Final Document (Version </w:t>
      </w:r>
      <w:r w:rsidR="00B94BD9">
        <w:rPr>
          <w:rFonts w:cs="Arial"/>
          <w:sz w:val="36"/>
          <w:szCs w:val="22"/>
        </w:rPr>
        <w:t>4</w:t>
      </w:r>
      <w:r>
        <w:rPr>
          <w:rFonts w:cs="Arial"/>
          <w:sz w:val="36"/>
          <w:szCs w:val="22"/>
        </w:rPr>
        <w:t>.0 Client)</w:t>
      </w:r>
    </w:p>
    <w:p w14:paraId="7029BC51" w14:textId="77777777" w:rsidR="00B428B5" w:rsidRPr="00213C22" w:rsidRDefault="00B428B5" w:rsidP="00B428B5">
      <w:pPr>
        <w:spacing w:before="120" w:line="288" w:lineRule="auto"/>
        <w:rPr>
          <w:rFonts w:cs="Arial"/>
          <w:b/>
          <w:szCs w:val="22"/>
        </w:rPr>
      </w:pPr>
    </w:p>
    <w:p w14:paraId="0C2A7181" w14:textId="663622EF" w:rsidR="00B428B5" w:rsidRDefault="00DE5F82" w:rsidP="00B428B5">
      <w:pPr>
        <w:spacing w:before="120" w:line="288" w:lineRule="auto"/>
        <w:rPr>
          <w:rFonts w:cs="Arial"/>
          <w:b/>
          <w:szCs w:val="22"/>
        </w:rPr>
      </w:pPr>
      <w:r>
        <w:rPr>
          <w:rFonts w:cs="Arial"/>
          <w:b/>
          <w:szCs w:val="22"/>
        </w:rPr>
        <w:t>29</w:t>
      </w:r>
      <w:r w:rsidR="00A13140" w:rsidRPr="00A13140">
        <w:rPr>
          <w:rFonts w:cs="Arial"/>
          <w:b/>
          <w:szCs w:val="22"/>
          <w:vertAlign w:val="superscript"/>
        </w:rPr>
        <w:t>th</w:t>
      </w:r>
      <w:r w:rsidR="00A13140">
        <w:rPr>
          <w:rFonts w:cs="Arial"/>
          <w:b/>
          <w:szCs w:val="22"/>
        </w:rPr>
        <w:t xml:space="preserve"> </w:t>
      </w:r>
      <w:r>
        <w:rPr>
          <w:rFonts w:cs="Arial"/>
          <w:b/>
          <w:szCs w:val="22"/>
        </w:rPr>
        <w:t>August</w:t>
      </w:r>
      <w:r w:rsidR="00F03488">
        <w:rPr>
          <w:rFonts w:cs="Arial"/>
          <w:b/>
          <w:szCs w:val="22"/>
        </w:rPr>
        <w:t xml:space="preserve"> </w:t>
      </w:r>
      <w:r w:rsidR="00B428B5">
        <w:rPr>
          <w:rFonts w:cs="Arial"/>
          <w:b/>
          <w:szCs w:val="22"/>
        </w:rPr>
        <w:t>2014</w:t>
      </w:r>
    </w:p>
    <w:p w14:paraId="6A8F668C" w14:textId="77777777" w:rsidR="00B428B5" w:rsidRDefault="00B428B5" w:rsidP="00B428B5">
      <w:pPr>
        <w:spacing w:before="120" w:line="288" w:lineRule="auto"/>
        <w:rPr>
          <w:rFonts w:cs="Arial"/>
          <w:sz w:val="20"/>
          <w:szCs w:val="22"/>
        </w:rPr>
      </w:pPr>
    </w:p>
    <w:p w14:paraId="1A5E06D1" w14:textId="77777777" w:rsidR="00B428B5" w:rsidRPr="00213C22" w:rsidRDefault="00B428B5" w:rsidP="00B428B5">
      <w:pPr>
        <w:spacing w:before="120" w:line="288" w:lineRule="auto"/>
        <w:rPr>
          <w:rFonts w:cs="Arial"/>
          <w:sz w:val="20"/>
          <w:szCs w:val="22"/>
        </w:rPr>
      </w:pPr>
      <w:r w:rsidRPr="00213C22">
        <w:rPr>
          <w:rFonts w:cs="Arial"/>
          <w:sz w:val="20"/>
          <w:szCs w:val="22"/>
        </w:rPr>
        <w:t>Prepared for:</w:t>
      </w:r>
    </w:p>
    <w:p w14:paraId="2438405E" w14:textId="402ACB68" w:rsidR="00B428B5" w:rsidRPr="00213C22" w:rsidRDefault="00B428B5" w:rsidP="00B428B5">
      <w:pPr>
        <w:spacing w:before="120" w:line="288" w:lineRule="auto"/>
        <w:rPr>
          <w:rFonts w:cs="Arial"/>
          <w:b/>
          <w:szCs w:val="22"/>
        </w:rPr>
      </w:pPr>
      <w:r>
        <w:rPr>
          <w:rFonts w:cs="Arial"/>
          <w:b/>
          <w:szCs w:val="22"/>
        </w:rPr>
        <w:t>The World Bank</w:t>
      </w:r>
      <w:r w:rsidR="00DE5F82">
        <w:rPr>
          <w:rFonts w:cs="Arial"/>
          <w:b/>
          <w:szCs w:val="22"/>
        </w:rPr>
        <w:t xml:space="preserve">, </w:t>
      </w:r>
      <w:r w:rsidR="00A13140">
        <w:rPr>
          <w:rFonts w:cs="Arial"/>
          <w:b/>
          <w:szCs w:val="22"/>
        </w:rPr>
        <w:t>National Upgrading Support Programme</w:t>
      </w:r>
      <w:r w:rsidR="00DE5F82">
        <w:rPr>
          <w:rFonts w:cs="Arial"/>
          <w:b/>
          <w:szCs w:val="22"/>
        </w:rPr>
        <w:t xml:space="preserve"> &amp; City Support Programme </w:t>
      </w:r>
    </w:p>
    <w:p w14:paraId="60877FEA" w14:textId="77777777" w:rsidR="00A13140" w:rsidRDefault="00A13140" w:rsidP="00B428B5">
      <w:pPr>
        <w:rPr>
          <w:rFonts w:cs="Arial"/>
          <w:sz w:val="20"/>
          <w:szCs w:val="22"/>
        </w:rPr>
      </w:pPr>
    </w:p>
    <w:p w14:paraId="11F641A1" w14:textId="77777777" w:rsidR="00B428B5" w:rsidRPr="00213C22" w:rsidRDefault="00B428B5" w:rsidP="00B428B5">
      <w:pPr>
        <w:rPr>
          <w:rFonts w:cs="Arial"/>
          <w:sz w:val="20"/>
          <w:szCs w:val="22"/>
        </w:rPr>
      </w:pPr>
      <w:r w:rsidRPr="00213C22">
        <w:rPr>
          <w:rFonts w:cs="Arial"/>
          <w:sz w:val="20"/>
          <w:szCs w:val="22"/>
        </w:rPr>
        <w:t xml:space="preserve">Prepared by </w:t>
      </w:r>
    </w:p>
    <w:p w14:paraId="2F40662D" w14:textId="77777777" w:rsidR="00B428B5" w:rsidRDefault="00B428B5" w:rsidP="00B428B5">
      <w:pPr>
        <w:spacing w:before="120"/>
        <w:rPr>
          <w:rFonts w:cs="Arial"/>
          <w:szCs w:val="22"/>
        </w:rPr>
      </w:pPr>
      <w:r>
        <w:rPr>
          <w:rFonts w:cs="Arial"/>
          <w:szCs w:val="22"/>
        </w:rPr>
        <w:t>Clive Forster</w:t>
      </w:r>
      <w:r w:rsidRPr="00213C22">
        <w:rPr>
          <w:rFonts w:cs="Arial"/>
          <w:szCs w:val="22"/>
        </w:rPr>
        <w:t xml:space="preserve"> and David Gardner</w:t>
      </w:r>
    </w:p>
    <w:p w14:paraId="33E43BED" w14:textId="77777777" w:rsidR="00A13140" w:rsidRDefault="00A13140" w:rsidP="00A13140">
      <w:pPr>
        <w:spacing w:before="120"/>
        <w:rPr>
          <w:rFonts w:cs="Arial"/>
          <w:b/>
          <w:bCs/>
          <w:color w:val="000000"/>
          <w:sz w:val="18"/>
          <w:szCs w:val="18"/>
          <w:lang w:val="en-ZA" w:eastAsia="en-GB"/>
        </w:rPr>
      </w:pPr>
    </w:p>
    <w:p w14:paraId="55DBB256" w14:textId="77777777" w:rsidR="00A13140" w:rsidRDefault="00A13140" w:rsidP="00A13140">
      <w:pPr>
        <w:spacing w:before="120"/>
        <w:rPr>
          <w:rFonts w:cs="Arial"/>
          <w:b/>
          <w:bCs/>
          <w:color w:val="000000"/>
          <w:sz w:val="18"/>
          <w:szCs w:val="18"/>
          <w:lang w:val="en-ZA" w:eastAsia="en-GB"/>
        </w:rPr>
      </w:pPr>
    </w:p>
    <w:p w14:paraId="49CB2694" w14:textId="5947F94F" w:rsidR="00A13140" w:rsidRPr="00CD54A2" w:rsidRDefault="00A13140" w:rsidP="00A13140">
      <w:pPr>
        <w:spacing w:before="120"/>
        <w:rPr>
          <w:rFonts w:cs="Arial"/>
          <w:b/>
          <w:bCs/>
          <w:color w:val="000000"/>
          <w:sz w:val="18"/>
          <w:szCs w:val="18"/>
          <w:lang w:val="en-ZA" w:eastAsia="en-GB"/>
        </w:rPr>
      </w:pPr>
      <w:r w:rsidRPr="00A13140">
        <w:rPr>
          <w:rFonts w:cs="Arial"/>
          <w:b/>
          <w:bCs/>
          <w:color w:val="000000"/>
          <w:sz w:val="18"/>
          <w:szCs w:val="18"/>
          <w:lang w:val="en-ZA" w:eastAsia="en-GB"/>
        </w:rPr>
        <w:t>Telephone</w:t>
      </w:r>
      <w:r w:rsidRPr="00CD54A2">
        <w:rPr>
          <w:rFonts w:cs="Arial"/>
          <w:b/>
          <w:bCs/>
          <w:color w:val="000000"/>
          <w:sz w:val="18"/>
          <w:szCs w:val="18"/>
          <w:lang w:val="en-ZA" w:eastAsia="en-GB"/>
        </w:rPr>
        <w:t xml:space="preserve">: </w:t>
      </w:r>
      <w:r w:rsidRPr="00CD54A2">
        <w:rPr>
          <w:rFonts w:cs="Arial"/>
          <w:b/>
          <w:bCs/>
          <w:color w:val="000000"/>
          <w:sz w:val="18"/>
          <w:szCs w:val="18"/>
          <w:lang w:val="en-ZA" w:eastAsia="en-GB"/>
        </w:rPr>
        <w:tab/>
      </w:r>
      <w:r w:rsidR="00CD54A2" w:rsidRPr="00CD54A2">
        <w:rPr>
          <w:rFonts w:cs="Arial"/>
          <w:bCs/>
          <w:color w:val="000000"/>
          <w:sz w:val="18"/>
          <w:szCs w:val="18"/>
          <w:lang w:val="en-ZA" w:eastAsia="en-GB"/>
        </w:rPr>
        <w:t>+27 (</w:t>
      </w:r>
      <w:r w:rsidR="00B428B5" w:rsidRPr="00CD54A2">
        <w:rPr>
          <w:rFonts w:cs="Arial"/>
          <w:bCs/>
          <w:color w:val="000000"/>
          <w:sz w:val="18"/>
          <w:szCs w:val="18"/>
          <w:lang w:val="en-ZA" w:eastAsia="en-GB"/>
        </w:rPr>
        <w:t>82</w:t>
      </w:r>
      <w:r w:rsidR="00CD54A2" w:rsidRPr="00CD54A2">
        <w:rPr>
          <w:rFonts w:cs="Arial"/>
          <w:bCs/>
          <w:color w:val="000000"/>
          <w:sz w:val="18"/>
          <w:szCs w:val="18"/>
          <w:lang w:val="en-ZA" w:eastAsia="en-GB"/>
        </w:rPr>
        <w:t>)</w:t>
      </w:r>
      <w:r w:rsidR="00B428B5" w:rsidRPr="00CD54A2">
        <w:rPr>
          <w:rFonts w:cs="Arial"/>
          <w:bCs/>
          <w:color w:val="000000"/>
          <w:sz w:val="18"/>
          <w:szCs w:val="18"/>
          <w:lang w:val="en-ZA" w:eastAsia="en-GB"/>
        </w:rPr>
        <w:t>- 572 7704</w:t>
      </w:r>
      <w:r w:rsidRPr="00CD54A2">
        <w:rPr>
          <w:rFonts w:cs="Arial"/>
          <w:b/>
          <w:bCs/>
          <w:color w:val="000000"/>
          <w:sz w:val="18"/>
          <w:szCs w:val="18"/>
          <w:lang w:val="en-ZA" w:eastAsia="en-GB"/>
        </w:rPr>
        <w:t xml:space="preserve">  </w:t>
      </w:r>
    </w:p>
    <w:p w14:paraId="1D9CA21C" w14:textId="6A865AC5" w:rsidR="00A13140" w:rsidRPr="00A13140" w:rsidRDefault="00A13140" w:rsidP="00A13140">
      <w:pPr>
        <w:spacing w:before="120"/>
        <w:rPr>
          <w:rFonts w:cs="Arial"/>
          <w:bCs/>
          <w:color w:val="000000"/>
          <w:sz w:val="18"/>
          <w:szCs w:val="18"/>
          <w:lang w:val="en-ZA" w:eastAsia="en-GB"/>
        </w:rPr>
      </w:pPr>
      <w:r w:rsidRPr="00A13140">
        <w:rPr>
          <w:rFonts w:cs="Arial"/>
          <w:b/>
          <w:bCs/>
          <w:color w:val="000000"/>
          <w:sz w:val="18"/>
          <w:szCs w:val="18"/>
          <w:lang w:val="en-ZA" w:eastAsia="en-GB"/>
        </w:rPr>
        <w:t>Email</w:t>
      </w:r>
      <w:r>
        <w:rPr>
          <w:rFonts w:cs="Arial"/>
          <w:b/>
          <w:bCs/>
          <w:color w:val="000000"/>
          <w:sz w:val="18"/>
          <w:szCs w:val="18"/>
          <w:lang w:val="en-ZA" w:eastAsia="en-GB"/>
        </w:rPr>
        <w:t xml:space="preserve">:   </w:t>
      </w:r>
      <w:r>
        <w:rPr>
          <w:rFonts w:cs="Arial"/>
          <w:b/>
          <w:bCs/>
          <w:color w:val="000000"/>
          <w:sz w:val="18"/>
          <w:szCs w:val="18"/>
          <w:lang w:val="en-ZA" w:eastAsia="en-GB"/>
        </w:rPr>
        <w:tab/>
      </w:r>
      <w:r>
        <w:rPr>
          <w:rFonts w:cs="Arial"/>
          <w:b/>
          <w:bCs/>
          <w:color w:val="000000"/>
          <w:sz w:val="18"/>
          <w:szCs w:val="18"/>
          <w:lang w:val="en-ZA" w:eastAsia="en-GB"/>
        </w:rPr>
        <w:tab/>
      </w:r>
      <w:r w:rsidRPr="00A13140">
        <w:rPr>
          <w:rFonts w:cs="Arial"/>
          <w:bCs/>
          <w:color w:val="000000"/>
          <w:sz w:val="18"/>
          <w:szCs w:val="18"/>
          <w:lang w:val="en-ZA" w:eastAsia="en-GB"/>
        </w:rPr>
        <w:t>dms@gns.co.za</w:t>
      </w:r>
    </w:p>
    <w:p w14:paraId="7E604E88" w14:textId="5FFB5ACC" w:rsidR="00B428B5" w:rsidRPr="00213C22" w:rsidRDefault="00A13140" w:rsidP="00CD54A2">
      <w:pPr>
        <w:spacing w:before="120"/>
        <w:rPr>
          <w:rFonts w:cs="Arial"/>
          <w:sz w:val="20"/>
          <w:szCs w:val="22"/>
        </w:rPr>
      </w:pPr>
      <w:r>
        <w:rPr>
          <w:rFonts w:cs="Arial"/>
          <w:b/>
          <w:bCs/>
          <w:color w:val="000000"/>
          <w:sz w:val="18"/>
          <w:szCs w:val="18"/>
          <w:lang w:val="en-ZA" w:eastAsia="en-GB"/>
        </w:rPr>
        <w:t xml:space="preserve">Address: </w:t>
      </w:r>
      <w:r>
        <w:rPr>
          <w:rFonts w:cs="Arial"/>
          <w:b/>
          <w:bCs/>
          <w:color w:val="000000"/>
          <w:sz w:val="18"/>
          <w:szCs w:val="18"/>
          <w:lang w:val="en-ZA" w:eastAsia="en-GB"/>
        </w:rPr>
        <w:tab/>
      </w:r>
      <w:r w:rsidR="00B428B5" w:rsidRPr="00A13140">
        <w:rPr>
          <w:rFonts w:cs="Arial"/>
          <w:bCs/>
          <w:color w:val="000000"/>
          <w:sz w:val="18"/>
          <w:szCs w:val="18"/>
          <w:lang w:val="en-ZA" w:eastAsia="en-GB"/>
        </w:rPr>
        <w:t>PO Box 31004 Mayville 4058, South Africa. Tel</w:t>
      </w:r>
      <w:r w:rsidR="00B428B5" w:rsidRPr="00A13140">
        <w:rPr>
          <w:rFonts w:cs="Arial"/>
          <w:bCs/>
          <w:color w:val="000000"/>
          <w:sz w:val="18"/>
          <w:szCs w:val="18"/>
          <w:lang w:eastAsia="en-GB"/>
        </w:rPr>
        <w:t>: 031-2619836</w:t>
      </w:r>
      <w:r w:rsidR="00B428B5" w:rsidRPr="00B03173">
        <w:rPr>
          <w:rFonts w:cs="Arial"/>
          <w:b/>
          <w:bCs/>
          <w:color w:val="000000"/>
          <w:sz w:val="18"/>
          <w:szCs w:val="18"/>
          <w:lang w:eastAsia="en-GB"/>
        </w:rPr>
        <w:t xml:space="preserve">    </w:t>
      </w:r>
      <w:r w:rsidR="00B428B5" w:rsidRPr="00213C22">
        <w:rPr>
          <w:rFonts w:cs="Arial"/>
          <w:sz w:val="14"/>
          <w:szCs w:val="16"/>
        </w:rPr>
        <w:t xml:space="preserve"> </w:t>
      </w:r>
    </w:p>
    <w:p w14:paraId="4FB1C1B9" w14:textId="77777777" w:rsidR="00B428B5" w:rsidRPr="00213C22" w:rsidRDefault="00B428B5" w:rsidP="00B428B5">
      <w:pPr>
        <w:spacing w:before="120"/>
        <w:rPr>
          <w:rFonts w:cs="Arial"/>
          <w:szCs w:val="22"/>
        </w:rPr>
        <w:sectPr w:rsidR="00B428B5" w:rsidRPr="00213C22" w:rsidSect="00B428B5">
          <w:footerReference w:type="even" r:id="rId12"/>
          <w:pgSz w:w="11900" w:h="16820" w:code="1"/>
          <w:pgMar w:top="1440" w:right="1440" w:bottom="1440" w:left="1440" w:header="851" w:footer="851" w:gutter="0"/>
          <w:cols w:space="720"/>
          <w:docGrid w:linePitch="360"/>
        </w:sectPr>
      </w:pPr>
    </w:p>
    <w:p w14:paraId="37835F09" w14:textId="06CE42B3" w:rsidR="002D3192" w:rsidRPr="00B94BD9" w:rsidRDefault="00712C5B" w:rsidP="00B94BD9">
      <w:pPr>
        <w:spacing w:line="360" w:lineRule="auto"/>
        <w:rPr>
          <w:rFonts w:cs="Arial"/>
          <w:b/>
          <w:sz w:val="28"/>
          <w:szCs w:val="28"/>
        </w:rPr>
      </w:pPr>
      <w:r w:rsidRPr="00B94BD9">
        <w:rPr>
          <w:rFonts w:cs="Arial"/>
          <w:b/>
          <w:sz w:val="28"/>
          <w:szCs w:val="28"/>
        </w:rPr>
        <w:lastRenderedPageBreak/>
        <w:t>TABLE OF CONTENTS</w:t>
      </w:r>
    </w:p>
    <w:p w14:paraId="51B0E6B5" w14:textId="77777777" w:rsidR="00755B23" w:rsidRDefault="00DE0169">
      <w:pPr>
        <w:pStyle w:val="TOC1"/>
        <w:tabs>
          <w:tab w:val="right" w:leader="dot" w:pos="9350"/>
        </w:tabs>
        <w:rPr>
          <w:rFonts w:eastAsiaTheme="minorEastAsia" w:cstheme="minorBidi"/>
          <w:b w:val="0"/>
          <w:caps w:val="0"/>
          <w:noProof/>
          <w:sz w:val="24"/>
          <w:szCs w:val="24"/>
          <w:lang w:val="en-ZA" w:eastAsia="ja-JP"/>
        </w:rPr>
      </w:pPr>
      <w:r>
        <w:fldChar w:fldCharType="begin"/>
      </w:r>
      <w:r>
        <w:instrText xml:space="preserve"> TOC \o "1-2" </w:instrText>
      </w:r>
      <w:r>
        <w:fldChar w:fldCharType="separate"/>
      </w:r>
      <w:r w:rsidR="00755B23">
        <w:rPr>
          <w:noProof/>
        </w:rPr>
        <w:t>ACRONYMS</w:t>
      </w:r>
      <w:r w:rsidR="00755B23">
        <w:rPr>
          <w:noProof/>
        </w:rPr>
        <w:tab/>
      </w:r>
      <w:r w:rsidR="00755B23">
        <w:rPr>
          <w:noProof/>
        </w:rPr>
        <w:fldChar w:fldCharType="begin"/>
      </w:r>
      <w:r w:rsidR="00755B23">
        <w:rPr>
          <w:noProof/>
        </w:rPr>
        <w:instrText xml:space="preserve"> PAGEREF _Toc270946007 \h </w:instrText>
      </w:r>
      <w:r w:rsidR="00755B23">
        <w:rPr>
          <w:noProof/>
        </w:rPr>
      </w:r>
      <w:r w:rsidR="00755B23">
        <w:rPr>
          <w:noProof/>
        </w:rPr>
        <w:fldChar w:fldCharType="separate"/>
      </w:r>
      <w:r w:rsidR="00E9048A">
        <w:rPr>
          <w:noProof/>
        </w:rPr>
        <w:t>iv</w:t>
      </w:r>
      <w:r w:rsidR="00755B23">
        <w:rPr>
          <w:noProof/>
        </w:rPr>
        <w:fldChar w:fldCharType="end"/>
      </w:r>
    </w:p>
    <w:p w14:paraId="0A8F9B14" w14:textId="77777777" w:rsidR="00755B23" w:rsidRDefault="00755B23">
      <w:pPr>
        <w:pStyle w:val="TOC1"/>
        <w:tabs>
          <w:tab w:val="left" w:pos="370"/>
          <w:tab w:val="right" w:leader="dot" w:pos="9350"/>
        </w:tabs>
        <w:rPr>
          <w:rFonts w:eastAsiaTheme="minorEastAsia" w:cstheme="minorBidi"/>
          <w:b w:val="0"/>
          <w:caps w:val="0"/>
          <w:noProof/>
          <w:sz w:val="24"/>
          <w:szCs w:val="24"/>
          <w:lang w:val="en-ZA" w:eastAsia="ja-JP"/>
        </w:rPr>
      </w:pPr>
      <w:r>
        <w:rPr>
          <w:noProof/>
        </w:rPr>
        <w:t>1</w:t>
      </w:r>
      <w:r>
        <w:rPr>
          <w:rFonts w:eastAsiaTheme="minorEastAsia" w:cstheme="minorBidi"/>
          <w:b w:val="0"/>
          <w:caps w:val="0"/>
          <w:noProof/>
          <w:sz w:val="24"/>
          <w:szCs w:val="24"/>
          <w:lang w:val="en-ZA" w:eastAsia="ja-JP"/>
        </w:rPr>
        <w:tab/>
      </w:r>
      <w:r>
        <w:rPr>
          <w:noProof/>
        </w:rPr>
        <w:t>Introduction</w:t>
      </w:r>
      <w:r>
        <w:rPr>
          <w:noProof/>
        </w:rPr>
        <w:tab/>
      </w:r>
      <w:r>
        <w:rPr>
          <w:noProof/>
        </w:rPr>
        <w:fldChar w:fldCharType="begin"/>
      </w:r>
      <w:r>
        <w:rPr>
          <w:noProof/>
        </w:rPr>
        <w:instrText xml:space="preserve"> PAGEREF _Toc270946008 \h </w:instrText>
      </w:r>
      <w:r>
        <w:rPr>
          <w:noProof/>
        </w:rPr>
      </w:r>
      <w:r>
        <w:rPr>
          <w:noProof/>
        </w:rPr>
        <w:fldChar w:fldCharType="separate"/>
      </w:r>
      <w:r w:rsidR="00E9048A">
        <w:rPr>
          <w:noProof/>
        </w:rPr>
        <w:t>1</w:t>
      </w:r>
      <w:r>
        <w:rPr>
          <w:noProof/>
        </w:rPr>
        <w:fldChar w:fldCharType="end"/>
      </w:r>
    </w:p>
    <w:p w14:paraId="423D0244"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1.1</w:t>
      </w:r>
      <w:r>
        <w:rPr>
          <w:rFonts w:eastAsiaTheme="minorEastAsia" w:cstheme="minorBidi"/>
          <w:smallCaps w:val="0"/>
          <w:noProof/>
          <w:sz w:val="24"/>
          <w:szCs w:val="24"/>
          <w:lang w:val="en-ZA" w:eastAsia="ja-JP"/>
        </w:rPr>
        <w:tab/>
      </w:r>
      <w:r>
        <w:rPr>
          <w:noProof/>
        </w:rPr>
        <w:t>Background</w:t>
      </w:r>
      <w:r>
        <w:rPr>
          <w:noProof/>
        </w:rPr>
        <w:tab/>
      </w:r>
      <w:r>
        <w:rPr>
          <w:noProof/>
        </w:rPr>
        <w:fldChar w:fldCharType="begin"/>
      </w:r>
      <w:r>
        <w:rPr>
          <w:noProof/>
        </w:rPr>
        <w:instrText xml:space="preserve"> PAGEREF _Toc270946009 \h </w:instrText>
      </w:r>
      <w:r>
        <w:rPr>
          <w:noProof/>
        </w:rPr>
      </w:r>
      <w:r>
        <w:rPr>
          <w:noProof/>
        </w:rPr>
        <w:fldChar w:fldCharType="separate"/>
      </w:r>
      <w:r w:rsidR="00E9048A">
        <w:rPr>
          <w:noProof/>
        </w:rPr>
        <w:t>1</w:t>
      </w:r>
      <w:r>
        <w:rPr>
          <w:noProof/>
        </w:rPr>
        <w:fldChar w:fldCharType="end"/>
      </w:r>
    </w:p>
    <w:p w14:paraId="398CC6CA"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1.2</w:t>
      </w:r>
      <w:r>
        <w:rPr>
          <w:rFonts w:eastAsiaTheme="minorEastAsia" w:cstheme="minorBidi"/>
          <w:smallCaps w:val="0"/>
          <w:noProof/>
          <w:sz w:val="24"/>
          <w:szCs w:val="24"/>
          <w:lang w:val="en-ZA" w:eastAsia="ja-JP"/>
        </w:rPr>
        <w:tab/>
      </w:r>
      <w:r>
        <w:rPr>
          <w:noProof/>
        </w:rPr>
        <w:t>Objectives of the assignment</w:t>
      </w:r>
      <w:r>
        <w:rPr>
          <w:noProof/>
        </w:rPr>
        <w:tab/>
      </w:r>
      <w:r>
        <w:rPr>
          <w:noProof/>
        </w:rPr>
        <w:fldChar w:fldCharType="begin"/>
      </w:r>
      <w:r>
        <w:rPr>
          <w:noProof/>
        </w:rPr>
        <w:instrText xml:space="preserve"> PAGEREF _Toc270946010 \h </w:instrText>
      </w:r>
      <w:r>
        <w:rPr>
          <w:noProof/>
        </w:rPr>
      </w:r>
      <w:r>
        <w:rPr>
          <w:noProof/>
        </w:rPr>
        <w:fldChar w:fldCharType="separate"/>
      </w:r>
      <w:r w:rsidR="00E9048A">
        <w:rPr>
          <w:noProof/>
        </w:rPr>
        <w:t>1</w:t>
      </w:r>
      <w:r>
        <w:rPr>
          <w:noProof/>
        </w:rPr>
        <w:fldChar w:fldCharType="end"/>
      </w:r>
    </w:p>
    <w:p w14:paraId="68B31649"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1.3</w:t>
      </w:r>
      <w:r>
        <w:rPr>
          <w:rFonts w:eastAsiaTheme="minorEastAsia" w:cstheme="minorBidi"/>
          <w:smallCaps w:val="0"/>
          <w:noProof/>
          <w:sz w:val="24"/>
          <w:szCs w:val="24"/>
          <w:lang w:val="en-ZA" w:eastAsia="ja-JP"/>
        </w:rPr>
        <w:tab/>
      </w:r>
      <w:r>
        <w:rPr>
          <w:noProof/>
        </w:rPr>
        <w:t>Audience</w:t>
      </w:r>
      <w:r>
        <w:rPr>
          <w:noProof/>
        </w:rPr>
        <w:tab/>
      </w:r>
      <w:r>
        <w:rPr>
          <w:noProof/>
        </w:rPr>
        <w:fldChar w:fldCharType="begin"/>
      </w:r>
      <w:r>
        <w:rPr>
          <w:noProof/>
        </w:rPr>
        <w:instrText xml:space="preserve"> PAGEREF _Toc270946011 \h </w:instrText>
      </w:r>
      <w:r>
        <w:rPr>
          <w:noProof/>
        </w:rPr>
      </w:r>
      <w:r>
        <w:rPr>
          <w:noProof/>
        </w:rPr>
        <w:fldChar w:fldCharType="separate"/>
      </w:r>
      <w:r w:rsidR="00E9048A">
        <w:rPr>
          <w:noProof/>
        </w:rPr>
        <w:t>1</w:t>
      </w:r>
      <w:r>
        <w:rPr>
          <w:noProof/>
        </w:rPr>
        <w:fldChar w:fldCharType="end"/>
      </w:r>
    </w:p>
    <w:p w14:paraId="396AE5BB"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1.4</w:t>
      </w:r>
      <w:r>
        <w:rPr>
          <w:rFonts w:eastAsiaTheme="minorEastAsia" w:cstheme="minorBidi"/>
          <w:smallCaps w:val="0"/>
          <w:noProof/>
          <w:sz w:val="24"/>
          <w:szCs w:val="24"/>
          <w:lang w:val="en-ZA" w:eastAsia="ja-JP"/>
        </w:rPr>
        <w:tab/>
      </w:r>
      <w:r>
        <w:rPr>
          <w:noProof/>
        </w:rPr>
        <w:t>Report Structure</w:t>
      </w:r>
      <w:r>
        <w:rPr>
          <w:noProof/>
        </w:rPr>
        <w:tab/>
      </w:r>
      <w:r>
        <w:rPr>
          <w:noProof/>
        </w:rPr>
        <w:fldChar w:fldCharType="begin"/>
      </w:r>
      <w:r>
        <w:rPr>
          <w:noProof/>
        </w:rPr>
        <w:instrText xml:space="preserve"> PAGEREF _Toc270946012 \h </w:instrText>
      </w:r>
      <w:r>
        <w:rPr>
          <w:noProof/>
        </w:rPr>
      </w:r>
      <w:r>
        <w:rPr>
          <w:noProof/>
        </w:rPr>
        <w:fldChar w:fldCharType="separate"/>
      </w:r>
      <w:r w:rsidR="00E9048A">
        <w:rPr>
          <w:noProof/>
        </w:rPr>
        <w:t>2</w:t>
      </w:r>
      <w:r>
        <w:rPr>
          <w:noProof/>
        </w:rPr>
        <w:fldChar w:fldCharType="end"/>
      </w:r>
    </w:p>
    <w:p w14:paraId="54FC1066" w14:textId="0B8E83D8" w:rsidR="00755B23" w:rsidRDefault="00755B23">
      <w:pPr>
        <w:pStyle w:val="TOC1"/>
        <w:tabs>
          <w:tab w:val="left" w:pos="370"/>
          <w:tab w:val="right" w:leader="dot" w:pos="9350"/>
        </w:tabs>
        <w:rPr>
          <w:rFonts w:eastAsiaTheme="minorEastAsia" w:cstheme="minorBidi"/>
          <w:b w:val="0"/>
          <w:caps w:val="0"/>
          <w:noProof/>
          <w:sz w:val="24"/>
          <w:szCs w:val="24"/>
          <w:lang w:val="en-ZA" w:eastAsia="ja-JP"/>
        </w:rPr>
      </w:pPr>
      <w:r>
        <w:rPr>
          <w:noProof/>
        </w:rPr>
        <w:t>2</w:t>
      </w:r>
      <w:r>
        <w:rPr>
          <w:rFonts w:eastAsiaTheme="minorEastAsia" w:cstheme="minorBidi"/>
          <w:b w:val="0"/>
          <w:caps w:val="0"/>
          <w:noProof/>
          <w:sz w:val="24"/>
          <w:szCs w:val="24"/>
          <w:lang w:val="en-ZA" w:eastAsia="ja-JP"/>
        </w:rPr>
        <w:tab/>
      </w:r>
      <w:r>
        <w:rPr>
          <w:noProof/>
        </w:rPr>
        <w:t>Shelter Consolidation &amp; the National Human Settlements Context in South Africa</w:t>
      </w:r>
      <w:r>
        <w:rPr>
          <w:noProof/>
        </w:rPr>
        <w:tab/>
      </w:r>
      <w:r>
        <w:rPr>
          <w:noProof/>
        </w:rPr>
        <w:fldChar w:fldCharType="begin"/>
      </w:r>
      <w:r>
        <w:rPr>
          <w:noProof/>
        </w:rPr>
        <w:instrText xml:space="preserve"> PAGEREF _Toc270946013 \h </w:instrText>
      </w:r>
      <w:r>
        <w:rPr>
          <w:noProof/>
        </w:rPr>
      </w:r>
      <w:r>
        <w:rPr>
          <w:noProof/>
        </w:rPr>
        <w:fldChar w:fldCharType="separate"/>
      </w:r>
      <w:r w:rsidR="00E9048A">
        <w:rPr>
          <w:noProof/>
        </w:rPr>
        <w:t>4</w:t>
      </w:r>
      <w:r>
        <w:rPr>
          <w:noProof/>
        </w:rPr>
        <w:fldChar w:fldCharType="end"/>
      </w:r>
    </w:p>
    <w:p w14:paraId="650DEE3F"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2.1</w:t>
      </w:r>
      <w:r>
        <w:rPr>
          <w:rFonts w:eastAsiaTheme="minorEastAsia" w:cstheme="minorBidi"/>
          <w:smallCaps w:val="0"/>
          <w:noProof/>
          <w:sz w:val="24"/>
          <w:szCs w:val="24"/>
          <w:lang w:val="en-ZA" w:eastAsia="ja-JP"/>
        </w:rPr>
        <w:tab/>
      </w:r>
      <w:r>
        <w:rPr>
          <w:noProof/>
        </w:rPr>
        <w:t>The National Human Settlements context</w:t>
      </w:r>
      <w:r>
        <w:rPr>
          <w:noProof/>
        </w:rPr>
        <w:tab/>
      </w:r>
      <w:r>
        <w:rPr>
          <w:noProof/>
        </w:rPr>
        <w:fldChar w:fldCharType="begin"/>
      </w:r>
      <w:r>
        <w:rPr>
          <w:noProof/>
        </w:rPr>
        <w:instrText xml:space="preserve"> PAGEREF _Toc270946014 \h </w:instrText>
      </w:r>
      <w:r>
        <w:rPr>
          <w:noProof/>
        </w:rPr>
      </w:r>
      <w:r>
        <w:rPr>
          <w:noProof/>
        </w:rPr>
        <w:fldChar w:fldCharType="separate"/>
      </w:r>
      <w:r w:rsidR="00E9048A">
        <w:rPr>
          <w:noProof/>
        </w:rPr>
        <w:t>4</w:t>
      </w:r>
      <w:r>
        <w:rPr>
          <w:noProof/>
        </w:rPr>
        <w:fldChar w:fldCharType="end"/>
      </w:r>
    </w:p>
    <w:p w14:paraId="6279D4E1"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2.2</w:t>
      </w:r>
      <w:r>
        <w:rPr>
          <w:rFonts w:eastAsiaTheme="minorEastAsia" w:cstheme="minorBidi"/>
          <w:smallCaps w:val="0"/>
          <w:noProof/>
          <w:sz w:val="24"/>
          <w:szCs w:val="24"/>
          <w:lang w:val="en-ZA" w:eastAsia="ja-JP"/>
        </w:rPr>
        <w:tab/>
      </w:r>
      <w:r>
        <w:rPr>
          <w:noProof/>
        </w:rPr>
        <w:t>Profiling Informal Settlement in South Africa</w:t>
      </w:r>
      <w:r>
        <w:rPr>
          <w:noProof/>
        </w:rPr>
        <w:tab/>
      </w:r>
      <w:r>
        <w:rPr>
          <w:noProof/>
        </w:rPr>
        <w:fldChar w:fldCharType="begin"/>
      </w:r>
      <w:r>
        <w:rPr>
          <w:noProof/>
        </w:rPr>
        <w:instrText xml:space="preserve"> PAGEREF _Toc270946015 \h </w:instrText>
      </w:r>
      <w:r>
        <w:rPr>
          <w:noProof/>
        </w:rPr>
      </w:r>
      <w:r>
        <w:rPr>
          <w:noProof/>
        </w:rPr>
        <w:fldChar w:fldCharType="separate"/>
      </w:r>
      <w:r w:rsidR="00E9048A">
        <w:rPr>
          <w:noProof/>
        </w:rPr>
        <w:t>5</w:t>
      </w:r>
      <w:r>
        <w:rPr>
          <w:noProof/>
        </w:rPr>
        <w:fldChar w:fldCharType="end"/>
      </w:r>
    </w:p>
    <w:p w14:paraId="76E8AE73"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2.3</w:t>
      </w:r>
      <w:r>
        <w:rPr>
          <w:rFonts w:eastAsiaTheme="minorEastAsia" w:cstheme="minorBidi"/>
          <w:smallCaps w:val="0"/>
          <w:noProof/>
          <w:sz w:val="24"/>
          <w:szCs w:val="24"/>
          <w:lang w:val="en-ZA" w:eastAsia="ja-JP"/>
        </w:rPr>
        <w:tab/>
      </w:r>
      <w:r>
        <w:rPr>
          <w:noProof/>
        </w:rPr>
        <w:t>Evolution of Human Settlements Strategy in South Africa</w:t>
      </w:r>
      <w:r>
        <w:rPr>
          <w:noProof/>
        </w:rPr>
        <w:tab/>
      </w:r>
      <w:r>
        <w:rPr>
          <w:noProof/>
        </w:rPr>
        <w:fldChar w:fldCharType="begin"/>
      </w:r>
      <w:r>
        <w:rPr>
          <w:noProof/>
        </w:rPr>
        <w:instrText xml:space="preserve"> PAGEREF _Toc270946016 \h </w:instrText>
      </w:r>
      <w:r>
        <w:rPr>
          <w:noProof/>
        </w:rPr>
      </w:r>
      <w:r>
        <w:rPr>
          <w:noProof/>
        </w:rPr>
        <w:fldChar w:fldCharType="separate"/>
      </w:r>
      <w:r w:rsidR="00E9048A">
        <w:rPr>
          <w:noProof/>
        </w:rPr>
        <w:t>15</w:t>
      </w:r>
      <w:r>
        <w:rPr>
          <w:noProof/>
        </w:rPr>
        <w:fldChar w:fldCharType="end"/>
      </w:r>
    </w:p>
    <w:p w14:paraId="57797580"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2.4</w:t>
      </w:r>
      <w:r>
        <w:rPr>
          <w:rFonts w:eastAsiaTheme="minorEastAsia" w:cstheme="minorBidi"/>
          <w:smallCaps w:val="0"/>
          <w:noProof/>
          <w:sz w:val="24"/>
          <w:szCs w:val="24"/>
          <w:lang w:val="en-ZA" w:eastAsia="ja-JP"/>
        </w:rPr>
        <w:tab/>
      </w:r>
      <w:r>
        <w:rPr>
          <w:noProof/>
        </w:rPr>
        <w:t>Human Settlements Delivery Programmes and the Role of Informal Settlement Upgrading</w:t>
      </w:r>
      <w:r>
        <w:rPr>
          <w:noProof/>
        </w:rPr>
        <w:tab/>
      </w:r>
      <w:r>
        <w:rPr>
          <w:noProof/>
        </w:rPr>
        <w:fldChar w:fldCharType="begin"/>
      </w:r>
      <w:r>
        <w:rPr>
          <w:noProof/>
        </w:rPr>
        <w:instrText xml:space="preserve"> PAGEREF _Toc270946017 \h </w:instrText>
      </w:r>
      <w:r>
        <w:rPr>
          <w:noProof/>
        </w:rPr>
      </w:r>
      <w:r>
        <w:rPr>
          <w:noProof/>
        </w:rPr>
        <w:fldChar w:fldCharType="separate"/>
      </w:r>
      <w:r w:rsidR="00E9048A">
        <w:rPr>
          <w:noProof/>
        </w:rPr>
        <w:t>21</w:t>
      </w:r>
      <w:r>
        <w:rPr>
          <w:noProof/>
        </w:rPr>
        <w:fldChar w:fldCharType="end"/>
      </w:r>
    </w:p>
    <w:p w14:paraId="699D95ED"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2.5</w:t>
      </w:r>
      <w:r>
        <w:rPr>
          <w:rFonts w:eastAsiaTheme="minorEastAsia" w:cstheme="minorBidi"/>
          <w:smallCaps w:val="0"/>
          <w:noProof/>
          <w:sz w:val="24"/>
          <w:szCs w:val="24"/>
          <w:lang w:val="en-ZA" w:eastAsia="ja-JP"/>
        </w:rPr>
        <w:tab/>
      </w:r>
      <w:r>
        <w:rPr>
          <w:noProof/>
        </w:rPr>
        <w:t>Progress with Informal Settlement Upgrading In South Africa</w:t>
      </w:r>
      <w:r>
        <w:rPr>
          <w:noProof/>
        </w:rPr>
        <w:tab/>
      </w:r>
      <w:r>
        <w:rPr>
          <w:noProof/>
        </w:rPr>
        <w:fldChar w:fldCharType="begin"/>
      </w:r>
      <w:r>
        <w:rPr>
          <w:noProof/>
        </w:rPr>
        <w:instrText xml:space="preserve"> PAGEREF _Toc270946018 \h </w:instrText>
      </w:r>
      <w:r>
        <w:rPr>
          <w:noProof/>
        </w:rPr>
      </w:r>
      <w:r>
        <w:rPr>
          <w:noProof/>
        </w:rPr>
        <w:fldChar w:fldCharType="separate"/>
      </w:r>
      <w:r w:rsidR="00E9048A">
        <w:rPr>
          <w:noProof/>
        </w:rPr>
        <w:t>26</w:t>
      </w:r>
      <w:r>
        <w:rPr>
          <w:noProof/>
        </w:rPr>
        <w:fldChar w:fldCharType="end"/>
      </w:r>
    </w:p>
    <w:p w14:paraId="5D8D8A8D"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2.6</w:t>
      </w:r>
      <w:r>
        <w:rPr>
          <w:rFonts w:eastAsiaTheme="minorEastAsia" w:cstheme="minorBidi"/>
          <w:smallCaps w:val="0"/>
          <w:noProof/>
          <w:sz w:val="24"/>
          <w:szCs w:val="24"/>
          <w:lang w:val="en-ZA" w:eastAsia="ja-JP"/>
        </w:rPr>
        <w:tab/>
      </w:r>
      <w:r>
        <w:rPr>
          <w:noProof/>
        </w:rPr>
        <w:t>Implications of Resource Scarcity for Human Settlement</w:t>
      </w:r>
      <w:r>
        <w:rPr>
          <w:noProof/>
        </w:rPr>
        <w:tab/>
      </w:r>
      <w:r>
        <w:rPr>
          <w:noProof/>
        </w:rPr>
        <w:fldChar w:fldCharType="begin"/>
      </w:r>
      <w:r>
        <w:rPr>
          <w:noProof/>
        </w:rPr>
        <w:instrText xml:space="preserve"> PAGEREF _Toc270946019 \h </w:instrText>
      </w:r>
      <w:r>
        <w:rPr>
          <w:noProof/>
        </w:rPr>
      </w:r>
      <w:r>
        <w:rPr>
          <w:noProof/>
        </w:rPr>
        <w:fldChar w:fldCharType="separate"/>
      </w:r>
      <w:r w:rsidR="00E9048A">
        <w:rPr>
          <w:noProof/>
        </w:rPr>
        <w:t>27</w:t>
      </w:r>
      <w:r>
        <w:rPr>
          <w:noProof/>
        </w:rPr>
        <w:fldChar w:fldCharType="end"/>
      </w:r>
    </w:p>
    <w:p w14:paraId="1A091AD1" w14:textId="77777777" w:rsidR="00755B23" w:rsidRDefault="00755B23">
      <w:pPr>
        <w:pStyle w:val="TOC1"/>
        <w:tabs>
          <w:tab w:val="left" w:pos="370"/>
          <w:tab w:val="right" w:leader="dot" w:pos="9350"/>
        </w:tabs>
        <w:rPr>
          <w:rFonts w:eastAsiaTheme="minorEastAsia" w:cstheme="minorBidi"/>
          <w:b w:val="0"/>
          <w:caps w:val="0"/>
          <w:noProof/>
          <w:sz w:val="24"/>
          <w:szCs w:val="24"/>
          <w:lang w:val="en-ZA" w:eastAsia="ja-JP"/>
        </w:rPr>
      </w:pPr>
      <w:r>
        <w:rPr>
          <w:noProof/>
        </w:rPr>
        <w:t>3</w:t>
      </w:r>
      <w:r>
        <w:rPr>
          <w:rFonts w:eastAsiaTheme="minorEastAsia" w:cstheme="minorBidi"/>
          <w:b w:val="0"/>
          <w:caps w:val="0"/>
          <w:noProof/>
          <w:sz w:val="24"/>
          <w:szCs w:val="24"/>
          <w:lang w:val="en-ZA" w:eastAsia="ja-JP"/>
        </w:rPr>
        <w:tab/>
      </w:r>
      <w:r>
        <w:rPr>
          <w:noProof/>
        </w:rPr>
        <w:t>Understanding In-situ Informal Settlement Upgrading</w:t>
      </w:r>
      <w:r>
        <w:rPr>
          <w:noProof/>
        </w:rPr>
        <w:tab/>
      </w:r>
      <w:r>
        <w:rPr>
          <w:noProof/>
        </w:rPr>
        <w:fldChar w:fldCharType="begin"/>
      </w:r>
      <w:r>
        <w:rPr>
          <w:noProof/>
        </w:rPr>
        <w:instrText xml:space="preserve"> PAGEREF _Toc270946020 \h </w:instrText>
      </w:r>
      <w:r>
        <w:rPr>
          <w:noProof/>
        </w:rPr>
      </w:r>
      <w:r>
        <w:rPr>
          <w:noProof/>
        </w:rPr>
        <w:fldChar w:fldCharType="separate"/>
      </w:r>
      <w:r w:rsidR="00E9048A">
        <w:rPr>
          <w:noProof/>
        </w:rPr>
        <w:t>29</w:t>
      </w:r>
      <w:r>
        <w:rPr>
          <w:noProof/>
        </w:rPr>
        <w:fldChar w:fldCharType="end"/>
      </w:r>
    </w:p>
    <w:p w14:paraId="6A56845D"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3.1</w:t>
      </w:r>
      <w:r>
        <w:rPr>
          <w:rFonts w:eastAsiaTheme="minorEastAsia" w:cstheme="minorBidi"/>
          <w:smallCaps w:val="0"/>
          <w:noProof/>
          <w:sz w:val="24"/>
          <w:szCs w:val="24"/>
          <w:lang w:val="en-ZA" w:eastAsia="ja-JP"/>
        </w:rPr>
        <w:tab/>
      </w:r>
      <w:r>
        <w:rPr>
          <w:noProof/>
        </w:rPr>
        <w:t>Defining Informal Settlement Upgrading</w:t>
      </w:r>
      <w:r>
        <w:rPr>
          <w:noProof/>
        </w:rPr>
        <w:tab/>
      </w:r>
      <w:r>
        <w:rPr>
          <w:noProof/>
        </w:rPr>
        <w:fldChar w:fldCharType="begin"/>
      </w:r>
      <w:r>
        <w:rPr>
          <w:noProof/>
        </w:rPr>
        <w:instrText xml:space="preserve"> PAGEREF _Toc270946021 \h </w:instrText>
      </w:r>
      <w:r>
        <w:rPr>
          <w:noProof/>
        </w:rPr>
      </w:r>
      <w:r>
        <w:rPr>
          <w:noProof/>
        </w:rPr>
        <w:fldChar w:fldCharType="separate"/>
      </w:r>
      <w:r w:rsidR="00E9048A">
        <w:rPr>
          <w:noProof/>
        </w:rPr>
        <w:t>29</w:t>
      </w:r>
      <w:r>
        <w:rPr>
          <w:noProof/>
        </w:rPr>
        <w:fldChar w:fldCharType="end"/>
      </w:r>
    </w:p>
    <w:p w14:paraId="1420C5B8"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3.2</w:t>
      </w:r>
      <w:r>
        <w:rPr>
          <w:rFonts w:eastAsiaTheme="minorEastAsia" w:cstheme="minorBidi"/>
          <w:smallCaps w:val="0"/>
          <w:noProof/>
          <w:sz w:val="24"/>
          <w:szCs w:val="24"/>
          <w:lang w:val="en-ZA" w:eastAsia="ja-JP"/>
        </w:rPr>
        <w:tab/>
      </w:r>
      <w:r>
        <w:rPr>
          <w:noProof/>
        </w:rPr>
        <w:t>Alternative Approaches to Informal Settlement Upgrading</w:t>
      </w:r>
      <w:r>
        <w:rPr>
          <w:noProof/>
        </w:rPr>
        <w:tab/>
      </w:r>
      <w:r>
        <w:rPr>
          <w:noProof/>
        </w:rPr>
        <w:fldChar w:fldCharType="begin"/>
      </w:r>
      <w:r>
        <w:rPr>
          <w:noProof/>
        </w:rPr>
        <w:instrText xml:space="preserve"> PAGEREF _Toc270946022 \h </w:instrText>
      </w:r>
      <w:r>
        <w:rPr>
          <w:noProof/>
        </w:rPr>
      </w:r>
      <w:r>
        <w:rPr>
          <w:noProof/>
        </w:rPr>
        <w:fldChar w:fldCharType="separate"/>
      </w:r>
      <w:r w:rsidR="00E9048A">
        <w:rPr>
          <w:noProof/>
        </w:rPr>
        <w:t>32</w:t>
      </w:r>
      <w:r>
        <w:rPr>
          <w:noProof/>
        </w:rPr>
        <w:fldChar w:fldCharType="end"/>
      </w:r>
    </w:p>
    <w:p w14:paraId="484DE6D4"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3.3</w:t>
      </w:r>
      <w:r>
        <w:rPr>
          <w:rFonts w:eastAsiaTheme="minorEastAsia" w:cstheme="minorBidi"/>
          <w:smallCaps w:val="0"/>
          <w:noProof/>
          <w:sz w:val="24"/>
          <w:szCs w:val="24"/>
          <w:lang w:val="en-ZA" w:eastAsia="ja-JP"/>
        </w:rPr>
        <w:tab/>
      </w:r>
      <w:r>
        <w:rPr>
          <w:noProof/>
        </w:rPr>
        <w:t>South Africa’s ISU Experience &amp; Practice</w:t>
      </w:r>
      <w:r>
        <w:rPr>
          <w:noProof/>
        </w:rPr>
        <w:tab/>
      </w:r>
      <w:r>
        <w:rPr>
          <w:noProof/>
        </w:rPr>
        <w:fldChar w:fldCharType="begin"/>
      </w:r>
      <w:r>
        <w:rPr>
          <w:noProof/>
        </w:rPr>
        <w:instrText xml:space="preserve"> PAGEREF _Toc270946023 \h </w:instrText>
      </w:r>
      <w:r>
        <w:rPr>
          <w:noProof/>
        </w:rPr>
      </w:r>
      <w:r>
        <w:rPr>
          <w:noProof/>
        </w:rPr>
        <w:fldChar w:fldCharType="separate"/>
      </w:r>
      <w:r w:rsidR="00E9048A">
        <w:rPr>
          <w:noProof/>
        </w:rPr>
        <w:t>35</w:t>
      </w:r>
      <w:r>
        <w:rPr>
          <w:noProof/>
        </w:rPr>
        <w:fldChar w:fldCharType="end"/>
      </w:r>
    </w:p>
    <w:p w14:paraId="6F9D3BB0"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3.4</w:t>
      </w:r>
      <w:r>
        <w:rPr>
          <w:rFonts w:eastAsiaTheme="minorEastAsia" w:cstheme="minorBidi"/>
          <w:smallCaps w:val="0"/>
          <w:noProof/>
          <w:sz w:val="24"/>
          <w:szCs w:val="24"/>
          <w:lang w:val="en-ZA" w:eastAsia="ja-JP"/>
        </w:rPr>
        <w:tab/>
      </w:r>
      <w:r>
        <w:rPr>
          <w:noProof/>
        </w:rPr>
        <w:t>Framework for Understanding Supporting House Consolidation in in situ informal settlement upgrading</w:t>
      </w:r>
      <w:r>
        <w:rPr>
          <w:noProof/>
        </w:rPr>
        <w:tab/>
      </w:r>
      <w:r>
        <w:rPr>
          <w:noProof/>
        </w:rPr>
        <w:fldChar w:fldCharType="begin"/>
      </w:r>
      <w:r>
        <w:rPr>
          <w:noProof/>
        </w:rPr>
        <w:instrText xml:space="preserve"> PAGEREF _Toc270946024 \h </w:instrText>
      </w:r>
      <w:r>
        <w:rPr>
          <w:noProof/>
        </w:rPr>
      </w:r>
      <w:r>
        <w:rPr>
          <w:noProof/>
        </w:rPr>
        <w:fldChar w:fldCharType="separate"/>
      </w:r>
      <w:r w:rsidR="00E9048A">
        <w:rPr>
          <w:noProof/>
        </w:rPr>
        <w:t>41</w:t>
      </w:r>
      <w:r>
        <w:rPr>
          <w:noProof/>
        </w:rPr>
        <w:fldChar w:fldCharType="end"/>
      </w:r>
    </w:p>
    <w:p w14:paraId="7E07C59F"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3.5</w:t>
      </w:r>
      <w:r>
        <w:rPr>
          <w:rFonts w:eastAsiaTheme="minorEastAsia" w:cstheme="minorBidi"/>
          <w:smallCaps w:val="0"/>
          <w:noProof/>
          <w:sz w:val="24"/>
          <w:szCs w:val="24"/>
          <w:lang w:val="en-ZA" w:eastAsia="ja-JP"/>
        </w:rPr>
        <w:tab/>
      </w:r>
      <w:r>
        <w:rPr>
          <w:noProof/>
        </w:rPr>
        <w:t>Actors (and Roles) in House Consolidation</w:t>
      </w:r>
      <w:r>
        <w:rPr>
          <w:noProof/>
        </w:rPr>
        <w:tab/>
      </w:r>
      <w:r>
        <w:rPr>
          <w:noProof/>
        </w:rPr>
        <w:fldChar w:fldCharType="begin"/>
      </w:r>
      <w:r>
        <w:rPr>
          <w:noProof/>
        </w:rPr>
        <w:instrText xml:space="preserve"> PAGEREF _Toc270946025 \h </w:instrText>
      </w:r>
      <w:r>
        <w:rPr>
          <w:noProof/>
        </w:rPr>
      </w:r>
      <w:r>
        <w:rPr>
          <w:noProof/>
        </w:rPr>
        <w:fldChar w:fldCharType="separate"/>
      </w:r>
      <w:r w:rsidR="00E9048A">
        <w:rPr>
          <w:noProof/>
        </w:rPr>
        <w:t>45</w:t>
      </w:r>
      <w:r>
        <w:rPr>
          <w:noProof/>
        </w:rPr>
        <w:fldChar w:fldCharType="end"/>
      </w:r>
    </w:p>
    <w:p w14:paraId="0B355A2E"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3.6</w:t>
      </w:r>
      <w:r>
        <w:rPr>
          <w:rFonts w:eastAsiaTheme="minorEastAsia" w:cstheme="minorBidi"/>
          <w:smallCaps w:val="0"/>
          <w:noProof/>
          <w:sz w:val="24"/>
          <w:szCs w:val="24"/>
          <w:lang w:val="en-ZA" w:eastAsia="ja-JP"/>
        </w:rPr>
        <w:tab/>
      </w:r>
      <w:r>
        <w:rPr>
          <w:noProof/>
        </w:rPr>
        <w:t>House Development Strategy: Options and Responsibilities</w:t>
      </w:r>
      <w:r>
        <w:rPr>
          <w:noProof/>
        </w:rPr>
        <w:tab/>
      </w:r>
      <w:r>
        <w:rPr>
          <w:noProof/>
        </w:rPr>
        <w:fldChar w:fldCharType="begin"/>
      </w:r>
      <w:r>
        <w:rPr>
          <w:noProof/>
        </w:rPr>
        <w:instrText xml:space="preserve"> PAGEREF _Toc270946026 \h </w:instrText>
      </w:r>
      <w:r>
        <w:rPr>
          <w:noProof/>
        </w:rPr>
      </w:r>
      <w:r>
        <w:rPr>
          <w:noProof/>
        </w:rPr>
        <w:fldChar w:fldCharType="separate"/>
      </w:r>
      <w:r w:rsidR="00E9048A">
        <w:rPr>
          <w:noProof/>
        </w:rPr>
        <w:t>46</w:t>
      </w:r>
      <w:r>
        <w:rPr>
          <w:noProof/>
        </w:rPr>
        <w:fldChar w:fldCharType="end"/>
      </w:r>
    </w:p>
    <w:p w14:paraId="18D13C1A"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3.7</w:t>
      </w:r>
      <w:r>
        <w:rPr>
          <w:rFonts w:eastAsiaTheme="minorEastAsia" w:cstheme="minorBidi"/>
          <w:smallCaps w:val="0"/>
          <w:noProof/>
          <w:sz w:val="24"/>
          <w:szCs w:val="24"/>
          <w:lang w:val="en-ZA" w:eastAsia="ja-JP"/>
        </w:rPr>
        <w:tab/>
      </w:r>
      <w:r>
        <w:rPr>
          <w:noProof/>
        </w:rPr>
        <w:t>Conceptual Framework</w:t>
      </w:r>
      <w:r>
        <w:rPr>
          <w:noProof/>
        </w:rPr>
        <w:tab/>
      </w:r>
      <w:r>
        <w:rPr>
          <w:noProof/>
        </w:rPr>
        <w:fldChar w:fldCharType="begin"/>
      </w:r>
      <w:r>
        <w:rPr>
          <w:noProof/>
        </w:rPr>
        <w:instrText xml:space="preserve"> PAGEREF _Toc270946027 \h </w:instrText>
      </w:r>
      <w:r>
        <w:rPr>
          <w:noProof/>
        </w:rPr>
      </w:r>
      <w:r>
        <w:rPr>
          <w:noProof/>
        </w:rPr>
        <w:fldChar w:fldCharType="separate"/>
      </w:r>
      <w:r w:rsidR="00E9048A">
        <w:rPr>
          <w:noProof/>
        </w:rPr>
        <w:t>48</w:t>
      </w:r>
      <w:r>
        <w:rPr>
          <w:noProof/>
        </w:rPr>
        <w:fldChar w:fldCharType="end"/>
      </w:r>
    </w:p>
    <w:p w14:paraId="2DFB7D6D"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3.8</w:t>
      </w:r>
      <w:r>
        <w:rPr>
          <w:rFonts w:eastAsiaTheme="minorEastAsia" w:cstheme="minorBidi"/>
          <w:smallCaps w:val="0"/>
          <w:noProof/>
          <w:sz w:val="24"/>
          <w:szCs w:val="24"/>
          <w:lang w:val="en-ZA" w:eastAsia="ja-JP"/>
        </w:rPr>
        <w:tab/>
      </w:r>
      <w:r>
        <w:rPr>
          <w:noProof/>
        </w:rPr>
        <w:t>Intervention Framework for House Consolidation</w:t>
      </w:r>
      <w:r>
        <w:rPr>
          <w:noProof/>
        </w:rPr>
        <w:tab/>
      </w:r>
      <w:r>
        <w:rPr>
          <w:noProof/>
        </w:rPr>
        <w:fldChar w:fldCharType="begin"/>
      </w:r>
      <w:r>
        <w:rPr>
          <w:noProof/>
        </w:rPr>
        <w:instrText xml:space="preserve"> PAGEREF _Toc270946028 \h </w:instrText>
      </w:r>
      <w:r>
        <w:rPr>
          <w:noProof/>
        </w:rPr>
      </w:r>
      <w:r>
        <w:rPr>
          <w:noProof/>
        </w:rPr>
        <w:fldChar w:fldCharType="separate"/>
      </w:r>
      <w:r w:rsidR="00E9048A">
        <w:rPr>
          <w:noProof/>
        </w:rPr>
        <w:t>49</w:t>
      </w:r>
      <w:r>
        <w:rPr>
          <w:noProof/>
        </w:rPr>
        <w:fldChar w:fldCharType="end"/>
      </w:r>
    </w:p>
    <w:p w14:paraId="2407791E"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3.9</w:t>
      </w:r>
      <w:r>
        <w:rPr>
          <w:rFonts w:eastAsiaTheme="minorEastAsia" w:cstheme="minorBidi"/>
          <w:smallCaps w:val="0"/>
          <w:noProof/>
          <w:sz w:val="24"/>
          <w:szCs w:val="24"/>
          <w:lang w:val="en-ZA" w:eastAsia="ja-JP"/>
        </w:rPr>
        <w:tab/>
      </w:r>
      <w:r>
        <w:rPr>
          <w:noProof/>
        </w:rPr>
        <w:t>Conceptual Framework in Relation to South Africa’s Upgrading of Informal Settlement Programme (UISP)</w:t>
      </w:r>
      <w:r>
        <w:rPr>
          <w:noProof/>
        </w:rPr>
        <w:tab/>
      </w:r>
      <w:r>
        <w:rPr>
          <w:noProof/>
        </w:rPr>
        <w:fldChar w:fldCharType="begin"/>
      </w:r>
      <w:r>
        <w:rPr>
          <w:noProof/>
        </w:rPr>
        <w:instrText xml:space="preserve"> PAGEREF _Toc270946029 \h </w:instrText>
      </w:r>
      <w:r>
        <w:rPr>
          <w:noProof/>
        </w:rPr>
      </w:r>
      <w:r>
        <w:rPr>
          <w:noProof/>
        </w:rPr>
        <w:fldChar w:fldCharType="separate"/>
      </w:r>
      <w:r w:rsidR="00E9048A">
        <w:rPr>
          <w:noProof/>
        </w:rPr>
        <w:t>53</w:t>
      </w:r>
      <w:r>
        <w:rPr>
          <w:noProof/>
        </w:rPr>
        <w:fldChar w:fldCharType="end"/>
      </w:r>
    </w:p>
    <w:p w14:paraId="4DBE486B" w14:textId="77777777" w:rsidR="00755B23" w:rsidRDefault="00755B23">
      <w:pPr>
        <w:pStyle w:val="TOC1"/>
        <w:tabs>
          <w:tab w:val="left" w:pos="370"/>
          <w:tab w:val="right" w:leader="dot" w:pos="9350"/>
        </w:tabs>
        <w:rPr>
          <w:rFonts w:eastAsiaTheme="minorEastAsia" w:cstheme="minorBidi"/>
          <w:b w:val="0"/>
          <w:caps w:val="0"/>
          <w:noProof/>
          <w:sz w:val="24"/>
          <w:szCs w:val="24"/>
          <w:lang w:val="en-ZA" w:eastAsia="ja-JP"/>
        </w:rPr>
      </w:pPr>
      <w:r>
        <w:rPr>
          <w:noProof/>
        </w:rPr>
        <w:t>4</w:t>
      </w:r>
      <w:r>
        <w:rPr>
          <w:rFonts w:eastAsiaTheme="minorEastAsia" w:cstheme="minorBidi"/>
          <w:b w:val="0"/>
          <w:caps w:val="0"/>
          <w:noProof/>
          <w:sz w:val="24"/>
          <w:szCs w:val="24"/>
          <w:lang w:val="en-ZA" w:eastAsia="ja-JP"/>
        </w:rPr>
        <w:tab/>
      </w:r>
      <w:r>
        <w:rPr>
          <w:noProof/>
        </w:rPr>
        <w:t>The Upgrading of Informal Settlement Programme (UISP)</w:t>
      </w:r>
      <w:r>
        <w:rPr>
          <w:noProof/>
        </w:rPr>
        <w:tab/>
      </w:r>
      <w:r>
        <w:rPr>
          <w:noProof/>
        </w:rPr>
        <w:fldChar w:fldCharType="begin"/>
      </w:r>
      <w:r>
        <w:rPr>
          <w:noProof/>
        </w:rPr>
        <w:instrText xml:space="preserve"> PAGEREF _Toc270946030 \h </w:instrText>
      </w:r>
      <w:r>
        <w:rPr>
          <w:noProof/>
        </w:rPr>
      </w:r>
      <w:r>
        <w:rPr>
          <w:noProof/>
        </w:rPr>
        <w:fldChar w:fldCharType="separate"/>
      </w:r>
      <w:r w:rsidR="00E9048A">
        <w:rPr>
          <w:noProof/>
        </w:rPr>
        <w:t>55</w:t>
      </w:r>
      <w:r>
        <w:rPr>
          <w:noProof/>
        </w:rPr>
        <w:fldChar w:fldCharType="end"/>
      </w:r>
    </w:p>
    <w:p w14:paraId="17ED0684"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4.1</w:t>
      </w:r>
      <w:r>
        <w:rPr>
          <w:rFonts w:eastAsiaTheme="minorEastAsia" w:cstheme="minorBidi"/>
          <w:smallCaps w:val="0"/>
          <w:noProof/>
          <w:sz w:val="24"/>
          <w:szCs w:val="24"/>
          <w:lang w:val="en-ZA" w:eastAsia="ja-JP"/>
        </w:rPr>
        <w:tab/>
      </w:r>
      <w:r>
        <w:rPr>
          <w:noProof/>
        </w:rPr>
        <w:t>Background</w:t>
      </w:r>
      <w:r>
        <w:rPr>
          <w:noProof/>
        </w:rPr>
        <w:tab/>
      </w:r>
      <w:r>
        <w:rPr>
          <w:noProof/>
        </w:rPr>
        <w:fldChar w:fldCharType="begin"/>
      </w:r>
      <w:r>
        <w:rPr>
          <w:noProof/>
        </w:rPr>
        <w:instrText xml:space="preserve"> PAGEREF _Toc270946031 \h </w:instrText>
      </w:r>
      <w:r>
        <w:rPr>
          <w:noProof/>
        </w:rPr>
      </w:r>
      <w:r>
        <w:rPr>
          <w:noProof/>
        </w:rPr>
        <w:fldChar w:fldCharType="separate"/>
      </w:r>
      <w:r w:rsidR="00E9048A">
        <w:rPr>
          <w:noProof/>
        </w:rPr>
        <w:t>55</w:t>
      </w:r>
      <w:r>
        <w:rPr>
          <w:noProof/>
        </w:rPr>
        <w:fldChar w:fldCharType="end"/>
      </w:r>
    </w:p>
    <w:p w14:paraId="7B1FC107"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4.2</w:t>
      </w:r>
      <w:r>
        <w:rPr>
          <w:rFonts w:eastAsiaTheme="minorEastAsia" w:cstheme="minorBidi"/>
          <w:smallCaps w:val="0"/>
          <w:noProof/>
          <w:sz w:val="24"/>
          <w:szCs w:val="24"/>
          <w:lang w:val="en-ZA" w:eastAsia="ja-JP"/>
        </w:rPr>
        <w:tab/>
      </w:r>
      <w:r>
        <w:rPr>
          <w:noProof/>
        </w:rPr>
        <w:t>Phases of UISP Implementation</w:t>
      </w:r>
      <w:r>
        <w:rPr>
          <w:noProof/>
        </w:rPr>
        <w:tab/>
      </w:r>
      <w:r>
        <w:rPr>
          <w:noProof/>
        </w:rPr>
        <w:fldChar w:fldCharType="begin"/>
      </w:r>
      <w:r>
        <w:rPr>
          <w:noProof/>
        </w:rPr>
        <w:instrText xml:space="preserve"> PAGEREF _Toc270946032 \h </w:instrText>
      </w:r>
      <w:r>
        <w:rPr>
          <w:noProof/>
        </w:rPr>
      </w:r>
      <w:r>
        <w:rPr>
          <w:noProof/>
        </w:rPr>
        <w:fldChar w:fldCharType="separate"/>
      </w:r>
      <w:r w:rsidR="00E9048A">
        <w:rPr>
          <w:noProof/>
        </w:rPr>
        <w:t>56</w:t>
      </w:r>
      <w:r>
        <w:rPr>
          <w:noProof/>
        </w:rPr>
        <w:fldChar w:fldCharType="end"/>
      </w:r>
    </w:p>
    <w:p w14:paraId="0C3D29E6"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4.3</w:t>
      </w:r>
      <w:r>
        <w:rPr>
          <w:rFonts w:eastAsiaTheme="minorEastAsia" w:cstheme="minorBidi"/>
          <w:smallCaps w:val="0"/>
          <w:noProof/>
          <w:sz w:val="24"/>
          <w:szCs w:val="24"/>
          <w:lang w:val="en-ZA" w:eastAsia="ja-JP"/>
        </w:rPr>
        <w:tab/>
      </w:r>
      <w:r>
        <w:rPr>
          <w:noProof/>
        </w:rPr>
        <w:t>Programme Scope</w:t>
      </w:r>
      <w:r>
        <w:rPr>
          <w:noProof/>
        </w:rPr>
        <w:tab/>
      </w:r>
      <w:r>
        <w:rPr>
          <w:noProof/>
        </w:rPr>
        <w:fldChar w:fldCharType="begin"/>
      </w:r>
      <w:r>
        <w:rPr>
          <w:noProof/>
        </w:rPr>
        <w:instrText xml:space="preserve"> PAGEREF _Toc270946033 \h </w:instrText>
      </w:r>
      <w:r>
        <w:rPr>
          <w:noProof/>
        </w:rPr>
      </w:r>
      <w:r>
        <w:rPr>
          <w:noProof/>
        </w:rPr>
        <w:fldChar w:fldCharType="separate"/>
      </w:r>
      <w:r w:rsidR="00E9048A">
        <w:rPr>
          <w:noProof/>
        </w:rPr>
        <w:t>57</w:t>
      </w:r>
      <w:r>
        <w:rPr>
          <w:noProof/>
        </w:rPr>
        <w:fldChar w:fldCharType="end"/>
      </w:r>
    </w:p>
    <w:p w14:paraId="217D15E1"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4.4</w:t>
      </w:r>
      <w:r>
        <w:rPr>
          <w:rFonts w:eastAsiaTheme="minorEastAsia" w:cstheme="minorBidi"/>
          <w:smallCaps w:val="0"/>
          <w:noProof/>
          <w:sz w:val="24"/>
          <w:szCs w:val="24"/>
          <w:lang w:val="en-ZA" w:eastAsia="ja-JP"/>
        </w:rPr>
        <w:tab/>
      </w:r>
      <w:r>
        <w:rPr>
          <w:noProof/>
        </w:rPr>
        <w:t>Top Structure Consolidation under the UISP:  Phase 4</w:t>
      </w:r>
      <w:r>
        <w:rPr>
          <w:noProof/>
        </w:rPr>
        <w:tab/>
      </w:r>
      <w:r>
        <w:rPr>
          <w:noProof/>
        </w:rPr>
        <w:fldChar w:fldCharType="begin"/>
      </w:r>
      <w:r>
        <w:rPr>
          <w:noProof/>
        </w:rPr>
        <w:instrText xml:space="preserve"> PAGEREF _Toc270946034 \h </w:instrText>
      </w:r>
      <w:r>
        <w:rPr>
          <w:noProof/>
        </w:rPr>
      </w:r>
      <w:r>
        <w:rPr>
          <w:noProof/>
        </w:rPr>
        <w:fldChar w:fldCharType="separate"/>
      </w:r>
      <w:r w:rsidR="00E9048A">
        <w:rPr>
          <w:noProof/>
        </w:rPr>
        <w:t>60</w:t>
      </w:r>
      <w:r>
        <w:rPr>
          <w:noProof/>
        </w:rPr>
        <w:fldChar w:fldCharType="end"/>
      </w:r>
    </w:p>
    <w:p w14:paraId="56BD0A7D"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4.5</w:t>
      </w:r>
      <w:r>
        <w:rPr>
          <w:rFonts w:eastAsiaTheme="minorEastAsia" w:cstheme="minorBidi"/>
          <w:smallCaps w:val="0"/>
          <w:noProof/>
          <w:sz w:val="24"/>
          <w:szCs w:val="24"/>
          <w:lang w:val="en-ZA" w:eastAsia="ja-JP"/>
        </w:rPr>
        <w:tab/>
      </w:r>
      <w:r>
        <w:rPr>
          <w:noProof/>
        </w:rPr>
        <w:t>Synthesis: Selecting the House Consolidation Mode Approach/Strategy for a UISP Project</w:t>
      </w:r>
      <w:r>
        <w:rPr>
          <w:noProof/>
        </w:rPr>
        <w:tab/>
      </w:r>
      <w:r>
        <w:rPr>
          <w:noProof/>
        </w:rPr>
        <w:fldChar w:fldCharType="begin"/>
      </w:r>
      <w:r>
        <w:rPr>
          <w:noProof/>
        </w:rPr>
        <w:instrText xml:space="preserve"> PAGEREF _Toc270946035 \h </w:instrText>
      </w:r>
      <w:r>
        <w:rPr>
          <w:noProof/>
        </w:rPr>
      </w:r>
      <w:r>
        <w:rPr>
          <w:noProof/>
        </w:rPr>
        <w:fldChar w:fldCharType="separate"/>
      </w:r>
      <w:r w:rsidR="00E9048A">
        <w:rPr>
          <w:noProof/>
        </w:rPr>
        <w:t>65</w:t>
      </w:r>
      <w:r>
        <w:rPr>
          <w:noProof/>
        </w:rPr>
        <w:fldChar w:fldCharType="end"/>
      </w:r>
    </w:p>
    <w:p w14:paraId="2D484EA1" w14:textId="77777777" w:rsidR="00755B23" w:rsidRDefault="00755B23">
      <w:pPr>
        <w:pStyle w:val="TOC1"/>
        <w:tabs>
          <w:tab w:val="left" w:pos="370"/>
          <w:tab w:val="right" w:leader="dot" w:pos="9350"/>
        </w:tabs>
        <w:rPr>
          <w:rFonts w:eastAsiaTheme="minorEastAsia" w:cstheme="minorBidi"/>
          <w:b w:val="0"/>
          <w:caps w:val="0"/>
          <w:noProof/>
          <w:sz w:val="24"/>
          <w:szCs w:val="24"/>
          <w:lang w:val="en-ZA" w:eastAsia="ja-JP"/>
        </w:rPr>
      </w:pPr>
      <w:r>
        <w:rPr>
          <w:noProof/>
        </w:rPr>
        <w:t>5</w:t>
      </w:r>
      <w:r>
        <w:rPr>
          <w:rFonts w:eastAsiaTheme="minorEastAsia" w:cstheme="minorBidi"/>
          <w:b w:val="0"/>
          <w:caps w:val="0"/>
          <w:noProof/>
          <w:sz w:val="24"/>
          <w:szCs w:val="24"/>
          <w:lang w:val="en-ZA" w:eastAsia="ja-JP"/>
        </w:rPr>
        <w:tab/>
      </w:r>
      <w:r>
        <w:rPr>
          <w:noProof/>
        </w:rPr>
        <w:t>The State Subsidy-Led Approach to House Consolidation in In-Situ Upgrading</w:t>
      </w:r>
      <w:r>
        <w:rPr>
          <w:noProof/>
        </w:rPr>
        <w:tab/>
      </w:r>
      <w:r>
        <w:rPr>
          <w:noProof/>
        </w:rPr>
        <w:fldChar w:fldCharType="begin"/>
      </w:r>
      <w:r>
        <w:rPr>
          <w:noProof/>
        </w:rPr>
        <w:instrText xml:space="preserve"> PAGEREF _Toc270946036 \h </w:instrText>
      </w:r>
      <w:r>
        <w:rPr>
          <w:noProof/>
        </w:rPr>
      </w:r>
      <w:r>
        <w:rPr>
          <w:noProof/>
        </w:rPr>
        <w:fldChar w:fldCharType="separate"/>
      </w:r>
      <w:r w:rsidR="00E9048A">
        <w:rPr>
          <w:noProof/>
        </w:rPr>
        <w:t>68</w:t>
      </w:r>
      <w:r>
        <w:rPr>
          <w:noProof/>
        </w:rPr>
        <w:fldChar w:fldCharType="end"/>
      </w:r>
    </w:p>
    <w:p w14:paraId="49FD3B92"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5.1</w:t>
      </w:r>
      <w:r>
        <w:rPr>
          <w:rFonts w:eastAsiaTheme="minorEastAsia" w:cstheme="minorBidi"/>
          <w:smallCaps w:val="0"/>
          <w:noProof/>
          <w:sz w:val="24"/>
          <w:szCs w:val="24"/>
          <w:lang w:val="en-ZA" w:eastAsia="ja-JP"/>
        </w:rPr>
        <w:tab/>
      </w:r>
      <w:r>
        <w:rPr>
          <w:noProof/>
        </w:rPr>
        <w:t>The State Provided Top Structure Led Approach to House Consolidation in In-Situ Upgrading</w:t>
      </w:r>
      <w:r>
        <w:rPr>
          <w:noProof/>
        </w:rPr>
        <w:tab/>
      </w:r>
      <w:r>
        <w:rPr>
          <w:noProof/>
        </w:rPr>
        <w:fldChar w:fldCharType="begin"/>
      </w:r>
      <w:r>
        <w:rPr>
          <w:noProof/>
        </w:rPr>
        <w:instrText xml:space="preserve"> PAGEREF _Toc270946037 \h </w:instrText>
      </w:r>
      <w:r>
        <w:rPr>
          <w:noProof/>
        </w:rPr>
      </w:r>
      <w:r>
        <w:rPr>
          <w:noProof/>
        </w:rPr>
        <w:fldChar w:fldCharType="separate"/>
      </w:r>
      <w:r w:rsidR="00E9048A">
        <w:rPr>
          <w:noProof/>
        </w:rPr>
        <w:t>68</w:t>
      </w:r>
      <w:r>
        <w:rPr>
          <w:noProof/>
        </w:rPr>
        <w:fldChar w:fldCharType="end"/>
      </w:r>
    </w:p>
    <w:p w14:paraId="12E33C04"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5.2</w:t>
      </w:r>
      <w:r>
        <w:rPr>
          <w:rFonts w:eastAsiaTheme="minorEastAsia" w:cstheme="minorBidi"/>
          <w:smallCaps w:val="0"/>
          <w:noProof/>
          <w:sz w:val="24"/>
          <w:szCs w:val="24"/>
          <w:lang w:val="en-ZA" w:eastAsia="ja-JP"/>
        </w:rPr>
        <w:tab/>
      </w:r>
      <w:r>
        <w:rPr>
          <w:noProof/>
        </w:rPr>
        <w:t>Overview of State Subsidy-Led House Consolidation Approach and key feasibility questions</w:t>
      </w:r>
      <w:r>
        <w:rPr>
          <w:noProof/>
        </w:rPr>
        <w:tab/>
      </w:r>
      <w:r>
        <w:rPr>
          <w:noProof/>
        </w:rPr>
        <w:fldChar w:fldCharType="begin"/>
      </w:r>
      <w:r>
        <w:rPr>
          <w:noProof/>
        </w:rPr>
        <w:instrText xml:space="preserve"> PAGEREF _Toc270946038 \h </w:instrText>
      </w:r>
      <w:r>
        <w:rPr>
          <w:noProof/>
        </w:rPr>
      </w:r>
      <w:r>
        <w:rPr>
          <w:noProof/>
        </w:rPr>
        <w:fldChar w:fldCharType="separate"/>
      </w:r>
      <w:r w:rsidR="00E9048A">
        <w:rPr>
          <w:noProof/>
        </w:rPr>
        <w:t>69</w:t>
      </w:r>
      <w:r>
        <w:rPr>
          <w:noProof/>
        </w:rPr>
        <w:fldChar w:fldCharType="end"/>
      </w:r>
    </w:p>
    <w:p w14:paraId="32820F1D"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5.3</w:t>
      </w:r>
      <w:r>
        <w:rPr>
          <w:rFonts w:eastAsiaTheme="minorEastAsia" w:cstheme="minorBidi"/>
          <w:smallCaps w:val="0"/>
          <w:noProof/>
          <w:sz w:val="24"/>
          <w:szCs w:val="24"/>
          <w:lang w:val="en-ZA" w:eastAsia="ja-JP"/>
        </w:rPr>
        <w:tab/>
      </w:r>
      <w:r>
        <w:rPr>
          <w:noProof/>
        </w:rPr>
        <w:t>Selecting the Top Structure Subsidy Programme to be Used in the Subsidy Led Housing Consolidation Phase</w:t>
      </w:r>
      <w:r>
        <w:rPr>
          <w:noProof/>
        </w:rPr>
        <w:tab/>
      </w:r>
      <w:r>
        <w:rPr>
          <w:noProof/>
        </w:rPr>
        <w:fldChar w:fldCharType="begin"/>
      </w:r>
      <w:r>
        <w:rPr>
          <w:noProof/>
        </w:rPr>
        <w:instrText xml:space="preserve"> PAGEREF _Toc270946039 \h </w:instrText>
      </w:r>
      <w:r>
        <w:rPr>
          <w:noProof/>
        </w:rPr>
      </w:r>
      <w:r>
        <w:rPr>
          <w:noProof/>
        </w:rPr>
        <w:fldChar w:fldCharType="separate"/>
      </w:r>
      <w:r w:rsidR="00E9048A">
        <w:rPr>
          <w:noProof/>
        </w:rPr>
        <w:t>71</w:t>
      </w:r>
      <w:r>
        <w:rPr>
          <w:noProof/>
        </w:rPr>
        <w:fldChar w:fldCharType="end"/>
      </w:r>
    </w:p>
    <w:p w14:paraId="428AA513"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5.4</w:t>
      </w:r>
      <w:r>
        <w:rPr>
          <w:rFonts w:eastAsiaTheme="minorEastAsia" w:cstheme="minorBidi"/>
          <w:smallCaps w:val="0"/>
          <w:noProof/>
          <w:sz w:val="24"/>
          <w:szCs w:val="24"/>
          <w:lang w:val="en-ZA" w:eastAsia="ja-JP"/>
        </w:rPr>
        <w:tab/>
      </w:r>
      <w:r>
        <w:rPr>
          <w:noProof/>
        </w:rPr>
        <w:t>Ownership: The Integrated Residential Development Programme (IRDP) - State Developer &amp; Private Sector House Building Contractor Model</w:t>
      </w:r>
      <w:r>
        <w:rPr>
          <w:noProof/>
        </w:rPr>
        <w:tab/>
      </w:r>
      <w:r>
        <w:rPr>
          <w:noProof/>
        </w:rPr>
        <w:fldChar w:fldCharType="begin"/>
      </w:r>
      <w:r>
        <w:rPr>
          <w:noProof/>
        </w:rPr>
        <w:instrText xml:space="preserve"> PAGEREF _Toc270946040 \h </w:instrText>
      </w:r>
      <w:r>
        <w:rPr>
          <w:noProof/>
        </w:rPr>
      </w:r>
      <w:r>
        <w:rPr>
          <w:noProof/>
        </w:rPr>
        <w:fldChar w:fldCharType="separate"/>
      </w:r>
      <w:r w:rsidR="00E9048A">
        <w:rPr>
          <w:noProof/>
        </w:rPr>
        <w:t>73</w:t>
      </w:r>
      <w:r>
        <w:rPr>
          <w:noProof/>
        </w:rPr>
        <w:fldChar w:fldCharType="end"/>
      </w:r>
    </w:p>
    <w:p w14:paraId="5BEBA610"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5.5</w:t>
      </w:r>
      <w:r>
        <w:rPr>
          <w:rFonts w:eastAsiaTheme="minorEastAsia" w:cstheme="minorBidi"/>
          <w:smallCaps w:val="0"/>
          <w:noProof/>
          <w:sz w:val="24"/>
          <w:szCs w:val="24"/>
          <w:lang w:val="en-ZA" w:eastAsia="ja-JP"/>
        </w:rPr>
        <w:tab/>
      </w:r>
      <w:r>
        <w:rPr>
          <w:noProof/>
        </w:rPr>
        <w:t>Ownership: The Enhanced Peoples’ Housing Process (EPHP)– A State Supported, Community and NGO-Implemented model</w:t>
      </w:r>
      <w:r>
        <w:rPr>
          <w:noProof/>
        </w:rPr>
        <w:tab/>
      </w:r>
      <w:r>
        <w:rPr>
          <w:noProof/>
        </w:rPr>
        <w:fldChar w:fldCharType="begin"/>
      </w:r>
      <w:r>
        <w:rPr>
          <w:noProof/>
        </w:rPr>
        <w:instrText xml:space="preserve"> PAGEREF _Toc270946041 \h </w:instrText>
      </w:r>
      <w:r>
        <w:rPr>
          <w:noProof/>
        </w:rPr>
      </w:r>
      <w:r>
        <w:rPr>
          <w:noProof/>
        </w:rPr>
        <w:fldChar w:fldCharType="separate"/>
      </w:r>
      <w:r w:rsidR="00E9048A">
        <w:rPr>
          <w:noProof/>
        </w:rPr>
        <w:t>76</w:t>
      </w:r>
      <w:r>
        <w:rPr>
          <w:noProof/>
        </w:rPr>
        <w:fldChar w:fldCharType="end"/>
      </w:r>
    </w:p>
    <w:p w14:paraId="7A4E9DAF"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5.6</w:t>
      </w:r>
      <w:r>
        <w:rPr>
          <w:rFonts w:eastAsiaTheme="minorEastAsia" w:cstheme="minorBidi"/>
          <w:smallCaps w:val="0"/>
          <w:noProof/>
          <w:sz w:val="24"/>
          <w:szCs w:val="24"/>
          <w:lang w:val="en-ZA" w:eastAsia="ja-JP"/>
        </w:rPr>
        <w:tab/>
      </w:r>
      <w:r>
        <w:rPr>
          <w:noProof/>
        </w:rPr>
        <w:t>Consolidation Subsidies</w:t>
      </w:r>
      <w:r>
        <w:rPr>
          <w:noProof/>
        </w:rPr>
        <w:tab/>
      </w:r>
      <w:r>
        <w:rPr>
          <w:noProof/>
        </w:rPr>
        <w:fldChar w:fldCharType="begin"/>
      </w:r>
      <w:r>
        <w:rPr>
          <w:noProof/>
        </w:rPr>
        <w:instrText xml:space="preserve"> PAGEREF _Toc270946042 \h </w:instrText>
      </w:r>
      <w:r>
        <w:rPr>
          <w:noProof/>
        </w:rPr>
      </w:r>
      <w:r>
        <w:rPr>
          <w:noProof/>
        </w:rPr>
        <w:fldChar w:fldCharType="separate"/>
      </w:r>
      <w:r w:rsidR="00E9048A">
        <w:rPr>
          <w:noProof/>
        </w:rPr>
        <w:t>82</w:t>
      </w:r>
      <w:r>
        <w:rPr>
          <w:noProof/>
        </w:rPr>
        <w:fldChar w:fldCharType="end"/>
      </w:r>
    </w:p>
    <w:p w14:paraId="350435AA"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lastRenderedPageBreak/>
        <w:t>5.7</w:t>
      </w:r>
      <w:r>
        <w:rPr>
          <w:rFonts w:eastAsiaTheme="minorEastAsia" w:cstheme="minorBidi"/>
          <w:smallCaps w:val="0"/>
          <w:noProof/>
          <w:sz w:val="24"/>
          <w:szCs w:val="24"/>
          <w:lang w:val="en-ZA" w:eastAsia="ja-JP"/>
        </w:rPr>
        <w:tab/>
      </w:r>
      <w:r>
        <w:rPr>
          <w:noProof/>
        </w:rPr>
        <w:t>Ownership - Possible Future Voucher Programme – Based on Adapting the Individual Rural Housing Subsidy Voucher System / owner-builder Led Approaches</w:t>
      </w:r>
      <w:r>
        <w:rPr>
          <w:noProof/>
        </w:rPr>
        <w:tab/>
      </w:r>
      <w:r>
        <w:rPr>
          <w:noProof/>
        </w:rPr>
        <w:fldChar w:fldCharType="begin"/>
      </w:r>
      <w:r>
        <w:rPr>
          <w:noProof/>
        </w:rPr>
        <w:instrText xml:space="preserve"> PAGEREF _Toc270946043 \h </w:instrText>
      </w:r>
      <w:r>
        <w:rPr>
          <w:noProof/>
        </w:rPr>
      </w:r>
      <w:r>
        <w:rPr>
          <w:noProof/>
        </w:rPr>
        <w:fldChar w:fldCharType="separate"/>
      </w:r>
      <w:r w:rsidR="00E9048A">
        <w:rPr>
          <w:noProof/>
        </w:rPr>
        <w:t>82</w:t>
      </w:r>
      <w:r>
        <w:rPr>
          <w:noProof/>
        </w:rPr>
        <w:fldChar w:fldCharType="end"/>
      </w:r>
    </w:p>
    <w:p w14:paraId="7D8B9498"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5.8</w:t>
      </w:r>
      <w:r>
        <w:rPr>
          <w:rFonts w:eastAsiaTheme="minorEastAsia" w:cstheme="minorBidi"/>
          <w:smallCaps w:val="0"/>
          <w:noProof/>
          <w:sz w:val="24"/>
          <w:szCs w:val="24"/>
          <w:lang w:val="en-ZA" w:eastAsia="ja-JP"/>
        </w:rPr>
        <w:tab/>
      </w:r>
      <w:r>
        <w:rPr>
          <w:noProof/>
        </w:rPr>
        <w:t>Rental Market Instruments</w:t>
      </w:r>
      <w:r>
        <w:rPr>
          <w:noProof/>
        </w:rPr>
        <w:tab/>
      </w:r>
      <w:r>
        <w:rPr>
          <w:noProof/>
        </w:rPr>
        <w:fldChar w:fldCharType="begin"/>
      </w:r>
      <w:r>
        <w:rPr>
          <w:noProof/>
        </w:rPr>
        <w:instrText xml:space="preserve"> PAGEREF _Toc270946044 \h </w:instrText>
      </w:r>
      <w:r>
        <w:rPr>
          <w:noProof/>
        </w:rPr>
      </w:r>
      <w:r>
        <w:rPr>
          <w:noProof/>
        </w:rPr>
        <w:fldChar w:fldCharType="separate"/>
      </w:r>
      <w:r w:rsidR="00E9048A">
        <w:rPr>
          <w:noProof/>
        </w:rPr>
        <w:t>87</w:t>
      </w:r>
      <w:r>
        <w:rPr>
          <w:noProof/>
        </w:rPr>
        <w:fldChar w:fldCharType="end"/>
      </w:r>
    </w:p>
    <w:p w14:paraId="6ED08340"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5.9</w:t>
      </w:r>
      <w:r>
        <w:rPr>
          <w:rFonts w:eastAsiaTheme="minorEastAsia" w:cstheme="minorBidi"/>
          <w:smallCaps w:val="0"/>
          <w:noProof/>
          <w:sz w:val="24"/>
          <w:szCs w:val="24"/>
          <w:lang w:val="en-ZA" w:eastAsia="ja-JP"/>
        </w:rPr>
        <w:tab/>
      </w:r>
      <w:r>
        <w:rPr>
          <w:noProof/>
        </w:rPr>
        <w:t>Synthesis: The Subsidized Top Structure Dominant Approach</w:t>
      </w:r>
      <w:r>
        <w:rPr>
          <w:noProof/>
        </w:rPr>
        <w:tab/>
      </w:r>
      <w:r>
        <w:rPr>
          <w:noProof/>
        </w:rPr>
        <w:fldChar w:fldCharType="begin"/>
      </w:r>
      <w:r>
        <w:rPr>
          <w:noProof/>
        </w:rPr>
        <w:instrText xml:space="preserve"> PAGEREF _Toc270946045 \h </w:instrText>
      </w:r>
      <w:r>
        <w:rPr>
          <w:noProof/>
        </w:rPr>
      </w:r>
      <w:r>
        <w:rPr>
          <w:noProof/>
        </w:rPr>
        <w:fldChar w:fldCharType="separate"/>
      </w:r>
      <w:r w:rsidR="00E9048A">
        <w:rPr>
          <w:noProof/>
        </w:rPr>
        <w:t>89</w:t>
      </w:r>
      <w:r>
        <w:rPr>
          <w:noProof/>
        </w:rPr>
        <w:fldChar w:fldCharType="end"/>
      </w:r>
    </w:p>
    <w:p w14:paraId="50482E27" w14:textId="77777777" w:rsidR="00755B23" w:rsidRDefault="00755B23">
      <w:pPr>
        <w:pStyle w:val="TOC1"/>
        <w:tabs>
          <w:tab w:val="left" w:pos="370"/>
          <w:tab w:val="right" w:leader="dot" w:pos="9350"/>
        </w:tabs>
        <w:rPr>
          <w:rFonts w:eastAsiaTheme="minorEastAsia" w:cstheme="minorBidi"/>
          <w:b w:val="0"/>
          <w:caps w:val="0"/>
          <w:noProof/>
          <w:sz w:val="24"/>
          <w:szCs w:val="24"/>
          <w:lang w:val="en-ZA" w:eastAsia="ja-JP"/>
        </w:rPr>
      </w:pPr>
      <w:r>
        <w:rPr>
          <w:noProof/>
        </w:rPr>
        <w:t>6</w:t>
      </w:r>
      <w:r>
        <w:rPr>
          <w:rFonts w:eastAsiaTheme="minorEastAsia" w:cstheme="minorBidi"/>
          <w:b w:val="0"/>
          <w:caps w:val="0"/>
          <w:noProof/>
          <w:sz w:val="24"/>
          <w:szCs w:val="24"/>
          <w:lang w:val="en-ZA" w:eastAsia="ja-JP"/>
        </w:rPr>
        <w:tab/>
      </w:r>
      <w:r>
        <w:rPr>
          <w:noProof/>
        </w:rPr>
        <w:t>The private initiative led approach/ Blended/ Incremental mode of housing consolidation in settlement upgrading</w:t>
      </w:r>
      <w:r>
        <w:rPr>
          <w:noProof/>
        </w:rPr>
        <w:tab/>
      </w:r>
      <w:r>
        <w:rPr>
          <w:noProof/>
        </w:rPr>
        <w:fldChar w:fldCharType="begin"/>
      </w:r>
      <w:r>
        <w:rPr>
          <w:noProof/>
        </w:rPr>
        <w:instrText xml:space="preserve"> PAGEREF _Toc270946046 \h </w:instrText>
      </w:r>
      <w:r>
        <w:rPr>
          <w:noProof/>
        </w:rPr>
      </w:r>
      <w:r>
        <w:rPr>
          <w:noProof/>
        </w:rPr>
        <w:fldChar w:fldCharType="separate"/>
      </w:r>
      <w:r w:rsidR="00E9048A">
        <w:rPr>
          <w:noProof/>
        </w:rPr>
        <w:t>92</w:t>
      </w:r>
      <w:r>
        <w:rPr>
          <w:noProof/>
        </w:rPr>
        <w:fldChar w:fldCharType="end"/>
      </w:r>
    </w:p>
    <w:p w14:paraId="7C1F6A67"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6.1</w:t>
      </w:r>
      <w:r>
        <w:rPr>
          <w:rFonts w:eastAsiaTheme="minorEastAsia" w:cstheme="minorBidi"/>
          <w:smallCaps w:val="0"/>
          <w:noProof/>
          <w:sz w:val="24"/>
          <w:szCs w:val="24"/>
          <w:lang w:val="en-ZA" w:eastAsia="ja-JP"/>
        </w:rPr>
        <w:tab/>
      </w:r>
      <w:r>
        <w:rPr>
          <w:noProof/>
        </w:rPr>
        <w:t>Defining the Intervention Framework</w:t>
      </w:r>
      <w:r>
        <w:rPr>
          <w:noProof/>
        </w:rPr>
        <w:tab/>
      </w:r>
      <w:r>
        <w:rPr>
          <w:noProof/>
        </w:rPr>
        <w:fldChar w:fldCharType="begin"/>
      </w:r>
      <w:r>
        <w:rPr>
          <w:noProof/>
        </w:rPr>
        <w:instrText xml:space="preserve"> PAGEREF _Toc270946047 \h </w:instrText>
      </w:r>
      <w:r>
        <w:rPr>
          <w:noProof/>
        </w:rPr>
      </w:r>
      <w:r>
        <w:rPr>
          <w:noProof/>
        </w:rPr>
        <w:fldChar w:fldCharType="separate"/>
      </w:r>
      <w:r w:rsidR="00E9048A">
        <w:rPr>
          <w:noProof/>
        </w:rPr>
        <w:t>93</w:t>
      </w:r>
      <w:r>
        <w:rPr>
          <w:noProof/>
        </w:rPr>
        <w:fldChar w:fldCharType="end"/>
      </w:r>
    </w:p>
    <w:p w14:paraId="5C41E242"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6.2</w:t>
      </w:r>
      <w:r>
        <w:rPr>
          <w:rFonts w:eastAsiaTheme="minorEastAsia" w:cstheme="minorBidi"/>
          <w:smallCaps w:val="0"/>
          <w:noProof/>
          <w:sz w:val="24"/>
          <w:szCs w:val="24"/>
          <w:lang w:val="en-ZA" w:eastAsia="ja-JP"/>
        </w:rPr>
        <w:tab/>
      </w:r>
      <w:r>
        <w:rPr>
          <w:noProof/>
        </w:rPr>
        <w:t>Basic Conditions Supporting Shelter Consolidation</w:t>
      </w:r>
      <w:r>
        <w:rPr>
          <w:noProof/>
        </w:rPr>
        <w:tab/>
      </w:r>
      <w:r>
        <w:rPr>
          <w:noProof/>
        </w:rPr>
        <w:fldChar w:fldCharType="begin"/>
      </w:r>
      <w:r>
        <w:rPr>
          <w:noProof/>
        </w:rPr>
        <w:instrText xml:space="preserve"> PAGEREF _Toc270946048 \h </w:instrText>
      </w:r>
      <w:r>
        <w:rPr>
          <w:noProof/>
        </w:rPr>
      </w:r>
      <w:r>
        <w:rPr>
          <w:noProof/>
        </w:rPr>
        <w:fldChar w:fldCharType="separate"/>
      </w:r>
      <w:r w:rsidR="00E9048A">
        <w:rPr>
          <w:noProof/>
        </w:rPr>
        <w:t>96</w:t>
      </w:r>
      <w:r>
        <w:rPr>
          <w:noProof/>
        </w:rPr>
        <w:fldChar w:fldCharType="end"/>
      </w:r>
    </w:p>
    <w:p w14:paraId="6691ED18"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6.3</w:t>
      </w:r>
      <w:r>
        <w:rPr>
          <w:rFonts w:eastAsiaTheme="minorEastAsia" w:cstheme="minorBidi"/>
          <w:smallCaps w:val="0"/>
          <w:noProof/>
          <w:sz w:val="24"/>
          <w:szCs w:val="24"/>
          <w:lang w:val="en-ZA" w:eastAsia="ja-JP"/>
        </w:rPr>
        <w:tab/>
      </w:r>
      <w:r>
        <w:rPr>
          <w:noProof/>
        </w:rPr>
        <w:t>Elements of a Support Framework for Incremental Housing</w:t>
      </w:r>
      <w:r>
        <w:rPr>
          <w:noProof/>
        </w:rPr>
        <w:tab/>
      </w:r>
      <w:r>
        <w:rPr>
          <w:noProof/>
        </w:rPr>
        <w:fldChar w:fldCharType="begin"/>
      </w:r>
      <w:r>
        <w:rPr>
          <w:noProof/>
        </w:rPr>
        <w:instrText xml:space="preserve"> PAGEREF _Toc270946049 \h </w:instrText>
      </w:r>
      <w:r>
        <w:rPr>
          <w:noProof/>
        </w:rPr>
      </w:r>
      <w:r>
        <w:rPr>
          <w:noProof/>
        </w:rPr>
        <w:fldChar w:fldCharType="separate"/>
      </w:r>
      <w:r w:rsidR="00E9048A">
        <w:rPr>
          <w:noProof/>
        </w:rPr>
        <w:t>101</w:t>
      </w:r>
      <w:r>
        <w:rPr>
          <w:noProof/>
        </w:rPr>
        <w:fldChar w:fldCharType="end"/>
      </w:r>
    </w:p>
    <w:p w14:paraId="074199DF"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6.4</w:t>
      </w:r>
      <w:r>
        <w:rPr>
          <w:rFonts w:eastAsiaTheme="minorEastAsia" w:cstheme="minorBidi"/>
          <w:smallCaps w:val="0"/>
          <w:noProof/>
          <w:sz w:val="24"/>
          <w:szCs w:val="24"/>
          <w:lang w:val="en-ZA" w:eastAsia="ja-JP"/>
        </w:rPr>
        <w:tab/>
      </w:r>
      <w:r>
        <w:rPr>
          <w:noProof/>
        </w:rPr>
        <w:t>Subsidy Assistance for Incremental House Development</w:t>
      </w:r>
      <w:r>
        <w:rPr>
          <w:noProof/>
        </w:rPr>
        <w:tab/>
      </w:r>
      <w:r>
        <w:rPr>
          <w:noProof/>
        </w:rPr>
        <w:fldChar w:fldCharType="begin"/>
      </w:r>
      <w:r>
        <w:rPr>
          <w:noProof/>
        </w:rPr>
        <w:instrText xml:space="preserve"> PAGEREF _Toc270946050 \h </w:instrText>
      </w:r>
      <w:r>
        <w:rPr>
          <w:noProof/>
        </w:rPr>
      </w:r>
      <w:r>
        <w:rPr>
          <w:noProof/>
        </w:rPr>
        <w:fldChar w:fldCharType="separate"/>
      </w:r>
      <w:r w:rsidR="00E9048A">
        <w:rPr>
          <w:noProof/>
        </w:rPr>
        <w:t>103</w:t>
      </w:r>
      <w:r>
        <w:rPr>
          <w:noProof/>
        </w:rPr>
        <w:fldChar w:fldCharType="end"/>
      </w:r>
    </w:p>
    <w:p w14:paraId="7AB8C5EB"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6.5</w:t>
      </w:r>
      <w:r>
        <w:rPr>
          <w:rFonts w:eastAsiaTheme="minorEastAsia" w:cstheme="minorBidi"/>
          <w:smallCaps w:val="0"/>
          <w:noProof/>
          <w:sz w:val="24"/>
          <w:szCs w:val="24"/>
          <w:lang w:val="en-ZA" w:eastAsia="ja-JP"/>
        </w:rPr>
        <w:tab/>
      </w:r>
      <w:r>
        <w:rPr>
          <w:noProof/>
        </w:rPr>
        <w:t>Facilitating Household Investment in Housing</w:t>
      </w:r>
      <w:r>
        <w:rPr>
          <w:noProof/>
        </w:rPr>
        <w:tab/>
      </w:r>
      <w:r>
        <w:rPr>
          <w:noProof/>
        </w:rPr>
        <w:fldChar w:fldCharType="begin"/>
      </w:r>
      <w:r>
        <w:rPr>
          <w:noProof/>
        </w:rPr>
        <w:instrText xml:space="preserve"> PAGEREF _Toc270946051 \h </w:instrText>
      </w:r>
      <w:r>
        <w:rPr>
          <w:noProof/>
        </w:rPr>
      </w:r>
      <w:r>
        <w:rPr>
          <w:noProof/>
        </w:rPr>
        <w:fldChar w:fldCharType="separate"/>
      </w:r>
      <w:r w:rsidR="00E9048A">
        <w:rPr>
          <w:noProof/>
        </w:rPr>
        <w:t>106</w:t>
      </w:r>
      <w:r>
        <w:rPr>
          <w:noProof/>
        </w:rPr>
        <w:fldChar w:fldCharType="end"/>
      </w:r>
    </w:p>
    <w:p w14:paraId="1D8DB445"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6.6</w:t>
      </w:r>
      <w:r>
        <w:rPr>
          <w:rFonts w:eastAsiaTheme="minorEastAsia" w:cstheme="minorBidi"/>
          <w:smallCaps w:val="0"/>
          <w:noProof/>
          <w:sz w:val="24"/>
          <w:szCs w:val="24"/>
          <w:lang w:val="en-ZA" w:eastAsia="ja-JP"/>
        </w:rPr>
        <w:tab/>
      </w:r>
      <w:r>
        <w:rPr>
          <w:noProof/>
        </w:rPr>
        <w:t>Supporting Private Finance Market Access</w:t>
      </w:r>
      <w:r>
        <w:rPr>
          <w:noProof/>
        </w:rPr>
        <w:tab/>
      </w:r>
      <w:r>
        <w:rPr>
          <w:noProof/>
        </w:rPr>
        <w:fldChar w:fldCharType="begin"/>
      </w:r>
      <w:r>
        <w:rPr>
          <w:noProof/>
        </w:rPr>
        <w:instrText xml:space="preserve"> PAGEREF _Toc270946052 \h </w:instrText>
      </w:r>
      <w:r>
        <w:rPr>
          <w:noProof/>
        </w:rPr>
      </w:r>
      <w:r>
        <w:rPr>
          <w:noProof/>
        </w:rPr>
        <w:fldChar w:fldCharType="separate"/>
      </w:r>
      <w:r w:rsidR="00E9048A">
        <w:rPr>
          <w:noProof/>
        </w:rPr>
        <w:t>110</w:t>
      </w:r>
      <w:r>
        <w:rPr>
          <w:noProof/>
        </w:rPr>
        <w:fldChar w:fldCharType="end"/>
      </w:r>
    </w:p>
    <w:p w14:paraId="6049841F"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6.7</w:t>
      </w:r>
      <w:r>
        <w:rPr>
          <w:rFonts w:eastAsiaTheme="minorEastAsia" w:cstheme="minorBidi"/>
          <w:smallCaps w:val="0"/>
          <w:noProof/>
          <w:sz w:val="24"/>
          <w:szCs w:val="24"/>
          <w:lang w:val="en-ZA" w:eastAsia="ja-JP"/>
        </w:rPr>
        <w:tab/>
      </w:r>
      <w:r>
        <w:rPr>
          <w:noProof/>
        </w:rPr>
        <w:t>Household Technical Support</w:t>
      </w:r>
      <w:r>
        <w:rPr>
          <w:noProof/>
        </w:rPr>
        <w:tab/>
      </w:r>
      <w:r>
        <w:rPr>
          <w:noProof/>
        </w:rPr>
        <w:fldChar w:fldCharType="begin"/>
      </w:r>
      <w:r>
        <w:rPr>
          <w:noProof/>
        </w:rPr>
        <w:instrText xml:space="preserve"> PAGEREF _Toc270946053 \h </w:instrText>
      </w:r>
      <w:r>
        <w:rPr>
          <w:noProof/>
        </w:rPr>
      </w:r>
      <w:r>
        <w:rPr>
          <w:noProof/>
        </w:rPr>
        <w:fldChar w:fldCharType="separate"/>
      </w:r>
      <w:r w:rsidR="00E9048A">
        <w:rPr>
          <w:noProof/>
        </w:rPr>
        <w:t>118</w:t>
      </w:r>
      <w:r>
        <w:rPr>
          <w:noProof/>
        </w:rPr>
        <w:fldChar w:fldCharType="end"/>
      </w:r>
    </w:p>
    <w:p w14:paraId="7F5E76EB"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6.8</w:t>
      </w:r>
      <w:r>
        <w:rPr>
          <w:rFonts w:eastAsiaTheme="minorEastAsia" w:cstheme="minorBidi"/>
          <w:smallCaps w:val="0"/>
          <w:noProof/>
          <w:sz w:val="24"/>
          <w:szCs w:val="24"/>
          <w:lang w:val="en-ZA" w:eastAsia="ja-JP"/>
        </w:rPr>
        <w:tab/>
      </w:r>
      <w:r>
        <w:rPr>
          <w:noProof/>
        </w:rPr>
        <w:t>Local Construction Sector Capacity Development</w:t>
      </w:r>
      <w:r>
        <w:rPr>
          <w:noProof/>
        </w:rPr>
        <w:tab/>
      </w:r>
      <w:r>
        <w:rPr>
          <w:noProof/>
        </w:rPr>
        <w:fldChar w:fldCharType="begin"/>
      </w:r>
      <w:r>
        <w:rPr>
          <w:noProof/>
        </w:rPr>
        <w:instrText xml:space="preserve"> PAGEREF _Toc270946054 \h </w:instrText>
      </w:r>
      <w:r>
        <w:rPr>
          <w:noProof/>
        </w:rPr>
      </w:r>
      <w:r>
        <w:rPr>
          <w:noProof/>
        </w:rPr>
        <w:fldChar w:fldCharType="separate"/>
      </w:r>
      <w:r w:rsidR="00E9048A">
        <w:rPr>
          <w:noProof/>
        </w:rPr>
        <w:t>125</w:t>
      </w:r>
      <w:r>
        <w:rPr>
          <w:noProof/>
        </w:rPr>
        <w:fldChar w:fldCharType="end"/>
      </w:r>
    </w:p>
    <w:p w14:paraId="66051785"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6.9</w:t>
      </w:r>
      <w:r>
        <w:rPr>
          <w:rFonts w:eastAsiaTheme="minorEastAsia" w:cstheme="minorBidi"/>
          <w:smallCaps w:val="0"/>
          <w:noProof/>
          <w:sz w:val="24"/>
          <w:szCs w:val="24"/>
          <w:lang w:val="en-ZA" w:eastAsia="ja-JP"/>
        </w:rPr>
        <w:tab/>
      </w:r>
      <w:r>
        <w:rPr>
          <w:noProof/>
        </w:rPr>
        <w:t>Special Needs Supplementary Financial Support</w:t>
      </w:r>
      <w:r>
        <w:rPr>
          <w:noProof/>
        </w:rPr>
        <w:tab/>
      </w:r>
      <w:r>
        <w:rPr>
          <w:noProof/>
        </w:rPr>
        <w:fldChar w:fldCharType="begin"/>
      </w:r>
      <w:r>
        <w:rPr>
          <w:noProof/>
        </w:rPr>
        <w:instrText xml:space="preserve"> PAGEREF _Toc270946055 \h </w:instrText>
      </w:r>
      <w:r>
        <w:rPr>
          <w:noProof/>
        </w:rPr>
      </w:r>
      <w:r>
        <w:rPr>
          <w:noProof/>
        </w:rPr>
        <w:fldChar w:fldCharType="separate"/>
      </w:r>
      <w:r w:rsidR="00E9048A">
        <w:rPr>
          <w:noProof/>
        </w:rPr>
        <w:t>128</w:t>
      </w:r>
      <w:r>
        <w:rPr>
          <w:noProof/>
        </w:rPr>
        <w:fldChar w:fldCharType="end"/>
      </w:r>
    </w:p>
    <w:p w14:paraId="6C6436C9" w14:textId="77777777" w:rsidR="00755B23" w:rsidRDefault="00755B23">
      <w:pPr>
        <w:pStyle w:val="TOC1"/>
        <w:tabs>
          <w:tab w:val="left" w:pos="370"/>
          <w:tab w:val="right" w:leader="dot" w:pos="9350"/>
        </w:tabs>
        <w:rPr>
          <w:rFonts w:eastAsiaTheme="minorEastAsia" w:cstheme="minorBidi"/>
          <w:b w:val="0"/>
          <w:caps w:val="0"/>
          <w:noProof/>
          <w:sz w:val="24"/>
          <w:szCs w:val="24"/>
          <w:lang w:val="en-ZA" w:eastAsia="ja-JP"/>
        </w:rPr>
      </w:pPr>
      <w:r>
        <w:rPr>
          <w:noProof/>
        </w:rPr>
        <w:t>7</w:t>
      </w:r>
      <w:r>
        <w:rPr>
          <w:rFonts w:eastAsiaTheme="minorEastAsia" w:cstheme="minorBidi"/>
          <w:b w:val="0"/>
          <w:caps w:val="0"/>
          <w:noProof/>
          <w:sz w:val="24"/>
          <w:szCs w:val="24"/>
          <w:lang w:val="en-ZA" w:eastAsia="ja-JP"/>
        </w:rPr>
        <w:tab/>
      </w:r>
      <w:r>
        <w:rPr>
          <w:noProof/>
        </w:rPr>
        <w:t>Conclusions and Recommendations</w:t>
      </w:r>
      <w:r>
        <w:rPr>
          <w:noProof/>
        </w:rPr>
        <w:tab/>
      </w:r>
      <w:r>
        <w:rPr>
          <w:noProof/>
        </w:rPr>
        <w:fldChar w:fldCharType="begin"/>
      </w:r>
      <w:r>
        <w:rPr>
          <w:noProof/>
        </w:rPr>
        <w:instrText xml:space="preserve"> PAGEREF _Toc270946056 \h </w:instrText>
      </w:r>
      <w:r>
        <w:rPr>
          <w:noProof/>
        </w:rPr>
      </w:r>
      <w:r>
        <w:rPr>
          <w:noProof/>
        </w:rPr>
        <w:fldChar w:fldCharType="separate"/>
      </w:r>
      <w:r w:rsidR="00E9048A">
        <w:rPr>
          <w:noProof/>
        </w:rPr>
        <w:t>130</w:t>
      </w:r>
      <w:r>
        <w:rPr>
          <w:noProof/>
        </w:rPr>
        <w:fldChar w:fldCharType="end"/>
      </w:r>
    </w:p>
    <w:p w14:paraId="5B96A551"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7.1</w:t>
      </w:r>
      <w:r>
        <w:rPr>
          <w:rFonts w:eastAsiaTheme="minorEastAsia" w:cstheme="minorBidi"/>
          <w:smallCaps w:val="0"/>
          <w:noProof/>
          <w:sz w:val="24"/>
          <w:szCs w:val="24"/>
          <w:lang w:val="en-ZA" w:eastAsia="ja-JP"/>
        </w:rPr>
        <w:tab/>
      </w:r>
      <w:r>
        <w:rPr>
          <w:noProof/>
        </w:rPr>
        <w:t>Key Conclusions and their Implications for the funding of House Consolidation in the UISP</w:t>
      </w:r>
      <w:r>
        <w:rPr>
          <w:noProof/>
        </w:rPr>
        <w:tab/>
      </w:r>
      <w:r>
        <w:rPr>
          <w:noProof/>
        </w:rPr>
        <w:fldChar w:fldCharType="begin"/>
      </w:r>
      <w:r>
        <w:rPr>
          <w:noProof/>
        </w:rPr>
        <w:instrText xml:space="preserve"> PAGEREF _Toc270946057 \h </w:instrText>
      </w:r>
      <w:r>
        <w:rPr>
          <w:noProof/>
        </w:rPr>
      </w:r>
      <w:r>
        <w:rPr>
          <w:noProof/>
        </w:rPr>
        <w:fldChar w:fldCharType="separate"/>
      </w:r>
      <w:r w:rsidR="00E9048A">
        <w:rPr>
          <w:noProof/>
        </w:rPr>
        <w:t>130</w:t>
      </w:r>
      <w:r>
        <w:rPr>
          <w:noProof/>
        </w:rPr>
        <w:fldChar w:fldCharType="end"/>
      </w:r>
    </w:p>
    <w:p w14:paraId="3D510EA2"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7.2</w:t>
      </w:r>
      <w:r>
        <w:rPr>
          <w:rFonts w:eastAsiaTheme="minorEastAsia" w:cstheme="minorBidi"/>
          <w:smallCaps w:val="0"/>
          <w:noProof/>
          <w:sz w:val="24"/>
          <w:szCs w:val="24"/>
          <w:lang w:val="en-ZA" w:eastAsia="ja-JP"/>
        </w:rPr>
        <w:tab/>
      </w:r>
      <w:r>
        <w:rPr>
          <w:noProof/>
        </w:rPr>
        <w:t>Recommendations</w:t>
      </w:r>
      <w:r>
        <w:rPr>
          <w:noProof/>
        </w:rPr>
        <w:tab/>
      </w:r>
      <w:r>
        <w:rPr>
          <w:noProof/>
        </w:rPr>
        <w:fldChar w:fldCharType="begin"/>
      </w:r>
      <w:r>
        <w:rPr>
          <w:noProof/>
        </w:rPr>
        <w:instrText xml:space="preserve"> PAGEREF _Toc270946058 \h </w:instrText>
      </w:r>
      <w:r>
        <w:rPr>
          <w:noProof/>
        </w:rPr>
      </w:r>
      <w:r>
        <w:rPr>
          <w:noProof/>
        </w:rPr>
        <w:fldChar w:fldCharType="separate"/>
      </w:r>
      <w:r w:rsidR="00E9048A">
        <w:rPr>
          <w:noProof/>
        </w:rPr>
        <w:t>133</w:t>
      </w:r>
      <w:r>
        <w:rPr>
          <w:noProof/>
        </w:rPr>
        <w:fldChar w:fldCharType="end"/>
      </w:r>
    </w:p>
    <w:p w14:paraId="69AB4081" w14:textId="77777777" w:rsidR="00755B23" w:rsidRDefault="00755B23">
      <w:pPr>
        <w:pStyle w:val="TOC2"/>
        <w:tabs>
          <w:tab w:val="left" w:pos="749"/>
          <w:tab w:val="right" w:leader="dot" w:pos="9350"/>
        </w:tabs>
        <w:rPr>
          <w:rFonts w:eastAsiaTheme="minorEastAsia" w:cstheme="minorBidi"/>
          <w:smallCaps w:val="0"/>
          <w:noProof/>
          <w:sz w:val="24"/>
          <w:szCs w:val="24"/>
          <w:lang w:val="en-ZA" w:eastAsia="ja-JP"/>
        </w:rPr>
      </w:pPr>
      <w:r>
        <w:rPr>
          <w:noProof/>
        </w:rPr>
        <w:t>7.3</w:t>
      </w:r>
      <w:r>
        <w:rPr>
          <w:rFonts w:eastAsiaTheme="minorEastAsia" w:cstheme="minorBidi"/>
          <w:smallCaps w:val="0"/>
          <w:noProof/>
          <w:sz w:val="24"/>
          <w:szCs w:val="24"/>
          <w:lang w:val="en-ZA" w:eastAsia="ja-JP"/>
        </w:rPr>
        <w:tab/>
      </w:r>
      <w:r>
        <w:rPr>
          <w:noProof/>
        </w:rPr>
        <w:t>Implementation Responsibilities</w:t>
      </w:r>
      <w:r>
        <w:rPr>
          <w:noProof/>
        </w:rPr>
        <w:tab/>
      </w:r>
      <w:r>
        <w:rPr>
          <w:noProof/>
        </w:rPr>
        <w:fldChar w:fldCharType="begin"/>
      </w:r>
      <w:r>
        <w:rPr>
          <w:noProof/>
        </w:rPr>
        <w:instrText xml:space="preserve"> PAGEREF _Toc270946059 \h </w:instrText>
      </w:r>
      <w:r>
        <w:rPr>
          <w:noProof/>
        </w:rPr>
      </w:r>
      <w:r>
        <w:rPr>
          <w:noProof/>
        </w:rPr>
        <w:fldChar w:fldCharType="separate"/>
      </w:r>
      <w:r w:rsidR="00E9048A">
        <w:rPr>
          <w:noProof/>
        </w:rPr>
        <w:t>142</w:t>
      </w:r>
      <w:r>
        <w:rPr>
          <w:noProof/>
        </w:rPr>
        <w:fldChar w:fldCharType="end"/>
      </w:r>
    </w:p>
    <w:p w14:paraId="69D68507" w14:textId="77777777" w:rsidR="00755B23" w:rsidRDefault="00755B23">
      <w:pPr>
        <w:pStyle w:val="TOC1"/>
        <w:tabs>
          <w:tab w:val="right" w:leader="dot" w:pos="9350"/>
        </w:tabs>
        <w:rPr>
          <w:rFonts w:eastAsiaTheme="minorEastAsia" w:cstheme="minorBidi"/>
          <w:b w:val="0"/>
          <w:caps w:val="0"/>
          <w:noProof/>
          <w:sz w:val="24"/>
          <w:szCs w:val="24"/>
          <w:lang w:val="en-ZA" w:eastAsia="ja-JP"/>
        </w:rPr>
      </w:pPr>
      <w:r>
        <w:rPr>
          <w:noProof/>
        </w:rPr>
        <w:t>Annexure A: Profiles of Selected Informal Settlements Undergoing UISP Upgrading in South Africa</w:t>
      </w:r>
      <w:r>
        <w:rPr>
          <w:noProof/>
        </w:rPr>
        <w:tab/>
      </w:r>
      <w:r>
        <w:rPr>
          <w:noProof/>
        </w:rPr>
        <w:fldChar w:fldCharType="begin"/>
      </w:r>
      <w:r>
        <w:rPr>
          <w:noProof/>
        </w:rPr>
        <w:instrText xml:space="preserve"> PAGEREF _Toc270946060 \h </w:instrText>
      </w:r>
      <w:r>
        <w:rPr>
          <w:noProof/>
        </w:rPr>
      </w:r>
      <w:r>
        <w:rPr>
          <w:noProof/>
        </w:rPr>
        <w:fldChar w:fldCharType="separate"/>
      </w:r>
      <w:r w:rsidR="00E9048A">
        <w:rPr>
          <w:noProof/>
        </w:rPr>
        <w:t>143</w:t>
      </w:r>
      <w:r>
        <w:rPr>
          <w:noProof/>
        </w:rPr>
        <w:fldChar w:fldCharType="end"/>
      </w:r>
    </w:p>
    <w:p w14:paraId="65BA5A85" w14:textId="77777777" w:rsidR="00755B23" w:rsidRDefault="00755B23">
      <w:pPr>
        <w:pStyle w:val="TOC2"/>
        <w:tabs>
          <w:tab w:val="right" w:leader="dot" w:pos="9350"/>
        </w:tabs>
        <w:rPr>
          <w:rFonts w:eastAsiaTheme="minorEastAsia" w:cstheme="minorBidi"/>
          <w:smallCaps w:val="0"/>
          <w:noProof/>
          <w:sz w:val="24"/>
          <w:szCs w:val="24"/>
          <w:lang w:val="en-ZA" w:eastAsia="ja-JP"/>
        </w:rPr>
      </w:pPr>
      <w:r>
        <w:rPr>
          <w:noProof/>
        </w:rPr>
        <w:t>Informal Settlement Profiles: cases from across South Africa</w:t>
      </w:r>
      <w:r>
        <w:rPr>
          <w:noProof/>
        </w:rPr>
        <w:tab/>
      </w:r>
      <w:r>
        <w:rPr>
          <w:noProof/>
        </w:rPr>
        <w:fldChar w:fldCharType="begin"/>
      </w:r>
      <w:r>
        <w:rPr>
          <w:noProof/>
        </w:rPr>
        <w:instrText xml:space="preserve"> PAGEREF _Toc270946061 \h </w:instrText>
      </w:r>
      <w:r>
        <w:rPr>
          <w:noProof/>
        </w:rPr>
      </w:r>
      <w:r>
        <w:rPr>
          <w:noProof/>
        </w:rPr>
        <w:fldChar w:fldCharType="separate"/>
      </w:r>
      <w:r w:rsidR="00E9048A">
        <w:rPr>
          <w:noProof/>
        </w:rPr>
        <w:t>149</w:t>
      </w:r>
      <w:r>
        <w:rPr>
          <w:noProof/>
        </w:rPr>
        <w:fldChar w:fldCharType="end"/>
      </w:r>
    </w:p>
    <w:p w14:paraId="392F9F9F" w14:textId="77777777" w:rsidR="00755B23" w:rsidRDefault="00755B23">
      <w:pPr>
        <w:pStyle w:val="TOC2"/>
        <w:tabs>
          <w:tab w:val="right" w:leader="dot" w:pos="9350"/>
        </w:tabs>
        <w:rPr>
          <w:rFonts w:eastAsiaTheme="minorEastAsia" w:cstheme="minorBidi"/>
          <w:smallCaps w:val="0"/>
          <w:noProof/>
          <w:sz w:val="24"/>
          <w:szCs w:val="24"/>
          <w:lang w:val="en-ZA" w:eastAsia="ja-JP"/>
        </w:rPr>
      </w:pPr>
      <w:r>
        <w:rPr>
          <w:noProof/>
        </w:rPr>
        <w:t>Patterns in the Diversity</w:t>
      </w:r>
      <w:r>
        <w:rPr>
          <w:noProof/>
        </w:rPr>
        <w:tab/>
      </w:r>
      <w:r>
        <w:rPr>
          <w:noProof/>
        </w:rPr>
        <w:fldChar w:fldCharType="begin"/>
      </w:r>
      <w:r>
        <w:rPr>
          <w:noProof/>
        </w:rPr>
        <w:instrText xml:space="preserve"> PAGEREF _Toc270946062 \h </w:instrText>
      </w:r>
      <w:r>
        <w:rPr>
          <w:noProof/>
        </w:rPr>
      </w:r>
      <w:r>
        <w:rPr>
          <w:noProof/>
        </w:rPr>
        <w:fldChar w:fldCharType="separate"/>
      </w:r>
      <w:r w:rsidR="00E9048A">
        <w:rPr>
          <w:noProof/>
        </w:rPr>
        <w:t>165</w:t>
      </w:r>
      <w:r>
        <w:rPr>
          <w:noProof/>
        </w:rPr>
        <w:fldChar w:fldCharType="end"/>
      </w:r>
    </w:p>
    <w:p w14:paraId="730B618A" w14:textId="77777777" w:rsidR="00755B23" w:rsidRDefault="00755B23">
      <w:pPr>
        <w:pStyle w:val="TOC1"/>
        <w:tabs>
          <w:tab w:val="right" w:leader="dot" w:pos="9350"/>
        </w:tabs>
        <w:rPr>
          <w:rFonts w:eastAsiaTheme="minorEastAsia" w:cstheme="minorBidi"/>
          <w:b w:val="0"/>
          <w:caps w:val="0"/>
          <w:noProof/>
          <w:sz w:val="24"/>
          <w:szCs w:val="24"/>
          <w:lang w:val="en-ZA" w:eastAsia="ja-JP"/>
        </w:rPr>
      </w:pPr>
      <w:r>
        <w:rPr>
          <w:noProof/>
        </w:rPr>
        <w:t>References</w:t>
      </w:r>
      <w:r>
        <w:rPr>
          <w:noProof/>
        </w:rPr>
        <w:tab/>
      </w:r>
      <w:r>
        <w:rPr>
          <w:noProof/>
        </w:rPr>
        <w:fldChar w:fldCharType="begin"/>
      </w:r>
      <w:r>
        <w:rPr>
          <w:noProof/>
        </w:rPr>
        <w:instrText xml:space="preserve"> PAGEREF _Toc270946063 \h </w:instrText>
      </w:r>
      <w:r>
        <w:rPr>
          <w:noProof/>
        </w:rPr>
      </w:r>
      <w:r>
        <w:rPr>
          <w:noProof/>
        </w:rPr>
        <w:fldChar w:fldCharType="separate"/>
      </w:r>
      <w:r w:rsidR="00E9048A">
        <w:rPr>
          <w:noProof/>
        </w:rPr>
        <w:t>167</w:t>
      </w:r>
      <w:r>
        <w:rPr>
          <w:noProof/>
        </w:rPr>
        <w:fldChar w:fldCharType="end"/>
      </w:r>
    </w:p>
    <w:p w14:paraId="41C8B607" w14:textId="610DDD49" w:rsidR="002D3192" w:rsidRPr="001D590D" w:rsidRDefault="00DE0169" w:rsidP="00BB0A07">
      <w:r>
        <w:fldChar w:fldCharType="end"/>
      </w:r>
    </w:p>
    <w:p w14:paraId="7564A5B8" w14:textId="77777777" w:rsidR="00755B23" w:rsidRDefault="00755B23" w:rsidP="006E5C14">
      <w:pPr>
        <w:spacing w:line="360" w:lineRule="auto"/>
        <w:rPr>
          <w:rFonts w:cs="Arial"/>
          <w:b/>
          <w:szCs w:val="22"/>
        </w:rPr>
      </w:pPr>
    </w:p>
    <w:p w14:paraId="39EA7043" w14:textId="35B013DB" w:rsidR="006E5C14" w:rsidRDefault="006E5C14" w:rsidP="006E5C14">
      <w:pPr>
        <w:spacing w:line="360" w:lineRule="auto"/>
        <w:rPr>
          <w:rFonts w:cs="Arial"/>
          <w:b/>
          <w:szCs w:val="22"/>
        </w:rPr>
      </w:pPr>
      <w:r>
        <w:rPr>
          <w:rFonts w:cs="Arial"/>
          <w:b/>
          <w:szCs w:val="22"/>
        </w:rPr>
        <w:t>LIST OF TABLES</w:t>
      </w:r>
    </w:p>
    <w:p w14:paraId="7964904D" w14:textId="77777777" w:rsidR="007415F4" w:rsidRDefault="006E5C14">
      <w:pPr>
        <w:pStyle w:val="TableofFigures"/>
        <w:tabs>
          <w:tab w:val="right" w:leader="dot" w:pos="9350"/>
        </w:tabs>
        <w:rPr>
          <w:rFonts w:eastAsiaTheme="minorEastAsia" w:cstheme="minorBidi"/>
          <w:smallCaps w:val="0"/>
          <w:noProof/>
          <w:sz w:val="24"/>
          <w:szCs w:val="24"/>
          <w:lang w:val="en-ZA" w:eastAsia="ja-JP"/>
        </w:rPr>
      </w:pPr>
      <w:r>
        <w:rPr>
          <w:rFonts w:ascii="Arial" w:hAnsi="Arial" w:cs="Arial"/>
          <w:b/>
          <w:sz w:val="22"/>
          <w:szCs w:val="22"/>
        </w:rPr>
        <w:fldChar w:fldCharType="begin"/>
      </w:r>
      <w:r>
        <w:rPr>
          <w:rFonts w:ascii="Arial" w:hAnsi="Arial" w:cs="Arial"/>
          <w:b/>
          <w:sz w:val="22"/>
          <w:szCs w:val="22"/>
        </w:rPr>
        <w:instrText xml:space="preserve"> TOC \c "Table" </w:instrText>
      </w:r>
      <w:r>
        <w:rPr>
          <w:rFonts w:ascii="Arial" w:hAnsi="Arial" w:cs="Arial"/>
          <w:b/>
          <w:sz w:val="22"/>
          <w:szCs w:val="22"/>
        </w:rPr>
        <w:fldChar w:fldCharType="separate"/>
      </w:r>
      <w:r w:rsidR="007415F4">
        <w:rPr>
          <w:noProof/>
        </w:rPr>
        <w:t>Table 1: Framework of Subsidy Programmes Most Often Used for Informal Settlement Delivery</w:t>
      </w:r>
      <w:r w:rsidR="007415F4">
        <w:rPr>
          <w:noProof/>
        </w:rPr>
        <w:tab/>
      </w:r>
      <w:r w:rsidR="007415F4">
        <w:rPr>
          <w:noProof/>
        </w:rPr>
        <w:fldChar w:fldCharType="begin"/>
      </w:r>
      <w:r w:rsidR="007415F4">
        <w:rPr>
          <w:noProof/>
        </w:rPr>
        <w:instrText xml:space="preserve"> PAGEREF _Toc270945492 \h </w:instrText>
      </w:r>
      <w:r w:rsidR="007415F4">
        <w:rPr>
          <w:noProof/>
        </w:rPr>
      </w:r>
      <w:r w:rsidR="007415F4">
        <w:rPr>
          <w:noProof/>
        </w:rPr>
        <w:fldChar w:fldCharType="separate"/>
      </w:r>
      <w:r w:rsidR="00E9048A">
        <w:rPr>
          <w:noProof/>
        </w:rPr>
        <w:t>24</w:t>
      </w:r>
      <w:r w:rsidR="007415F4">
        <w:rPr>
          <w:noProof/>
        </w:rPr>
        <w:fldChar w:fldCharType="end"/>
      </w:r>
    </w:p>
    <w:p w14:paraId="2200DBFA"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Pr>
          <w:noProof/>
        </w:rPr>
        <w:t>Table 2: Alternative Levels of Informal Settlement Upgrading</w:t>
      </w:r>
      <w:r>
        <w:rPr>
          <w:noProof/>
        </w:rPr>
        <w:tab/>
      </w:r>
      <w:r>
        <w:rPr>
          <w:noProof/>
        </w:rPr>
        <w:fldChar w:fldCharType="begin"/>
      </w:r>
      <w:r>
        <w:rPr>
          <w:noProof/>
        </w:rPr>
        <w:instrText xml:space="preserve"> PAGEREF _Toc270945493 \h </w:instrText>
      </w:r>
      <w:r>
        <w:rPr>
          <w:noProof/>
        </w:rPr>
      </w:r>
      <w:r>
        <w:rPr>
          <w:noProof/>
        </w:rPr>
        <w:fldChar w:fldCharType="separate"/>
      </w:r>
      <w:r w:rsidR="00E9048A">
        <w:rPr>
          <w:noProof/>
        </w:rPr>
        <w:t>31</w:t>
      </w:r>
      <w:r>
        <w:rPr>
          <w:noProof/>
        </w:rPr>
        <w:fldChar w:fldCharType="end"/>
      </w:r>
    </w:p>
    <w:p w14:paraId="1603BEFE"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Pr>
          <w:noProof/>
        </w:rPr>
        <w:t>Table 3: Impact of Alternative Approaches to Informal Settlement Upgrading on House Consolidation</w:t>
      </w:r>
      <w:r>
        <w:rPr>
          <w:noProof/>
        </w:rPr>
        <w:tab/>
      </w:r>
      <w:r>
        <w:rPr>
          <w:noProof/>
        </w:rPr>
        <w:fldChar w:fldCharType="begin"/>
      </w:r>
      <w:r>
        <w:rPr>
          <w:noProof/>
        </w:rPr>
        <w:instrText xml:space="preserve"> PAGEREF _Toc270945494 \h </w:instrText>
      </w:r>
      <w:r>
        <w:rPr>
          <w:noProof/>
        </w:rPr>
      </w:r>
      <w:r>
        <w:rPr>
          <w:noProof/>
        </w:rPr>
        <w:fldChar w:fldCharType="separate"/>
      </w:r>
      <w:r w:rsidR="00E9048A">
        <w:rPr>
          <w:noProof/>
        </w:rPr>
        <w:t>38</w:t>
      </w:r>
      <w:r>
        <w:rPr>
          <w:noProof/>
        </w:rPr>
        <w:fldChar w:fldCharType="end"/>
      </w:r>
    </w:p>
    <w:p w14:paraId="28C2E074"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Pr>
          <w:noProof/>
        </w:rPr>
        <w:t>Table 4: Categories of Facilitative Activities for Housing Consolidation in ISU</w:t>
      </w:r>
      <w:r>
        <w:rPr>
          <w:noProof/>
        </w:rPr>
        <w:tab/>
      </w:r>
      <w:r>
        <w:rPr>
          <w:noProof/>
        </w:rPr>
        <w:fldChar w:fldCharType="begin"/>
      </w:r>
      <w:r>
        <w:rPr>
          <w:noProof/>
        </w:rPr>
        <w:instrText xml:space="preserve"> PAGEREF _Toc270945495 \h </w:instrText>
      </w:r>
      <w:r>
        <w:rPr>
          <w:noProof/>
        </w:rPr>
      </w:r>
      <w:r>
        <w:rPr>
          <w:noProof/>
        </w:rPr>
        <w:fldChar w:fldCharType="separate"/>
      </w:r>
      <w:r w:rsidR="00E9048A">
        <w:rPr>
          <w:noProof/>
        </w:rPr>
        <w:t>51</w:t>
      </w:r>
      <w:r>
        <w:rPr>
          <w:noProof/>
        </w:rPr>
        <w:fldChar w:fldCharType="end"/>
      </w:r>
    </w:p>
    <w:p w14:paraId="5729953C"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Pr>
          <w:noProof/>
        </w:rPr>
        <w:t>Table 5: Summary of ISU activities that are provided for under the UISP Phases 1 to 4.</w:t>
      </w:r>
      <w:r>
        <w:rPr>
          <w:noProof/>
        </w:rPr>
        <w:tab/>
      </w:r>
      <w:r>
        <w:rPr>
          <w:noProof/>
        </w:rPr>
        <w:fldChar w:fldCharType="begin"/>
      </w:r>
      <w:r>
        <w:rPr>
          <w:noProof/>
        </w:rPr>
        <w:instrText xml:space="preserve"> PAGEREF _Toc270945496 \h </w:instrText>
      </w:r>
      <w:r>
        <w:rPr>
          <w:noProof/>
        </w:rPr>
      </w:r>
      <w:r>
        <w:rPr>
          <w:noProof/>
        </w:rPr>
        <w:fldChar w:fldCharType="separate"/>
      </w:r>
      <w:r w:rsidR="00E9048A">
        <w:rPr>
          <w:noProof/>
        </w:rPr>
        <w:t>58</w:t>
      </w:r>
      <w:r>
        <w:rPr>
          <w:noProof/>
        </w:rPr>
        <w:fldChar w:fldCharType="end"/>
      </w:r>
    </w:p>
    <w:p w14:paraId="714F097E"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 xml:space="preserve">Table 6: </w:t>
      </w:r>
      <w:r w:rsidRPr="007415F4">
        <w:rPr>
          <w:rFonts w:cs="Arial"/>
          <w:noProof/>
        </w:rPr>
        <w:t>Availability of Finance for House Consolidation in ISU Projects</w:t>
      </w:r>
      <w:r w:rsidRPr="007415F4">
        <w:rPr>
          <w:noProof/>
        </w:rPr>
        <w:tab/>
      </w:r>
      <w:r w:rsidRPr="007415F4">
        <w:rPr>
          <w:noProof/>
        </w:rPr>
        <w:fldChar w:fldCharType="begin"/>
      </w:r>
      <w:r w:rsidRPr="007415F4">
        <w:rPr>
          <w:noProof/>
        </w:rPr>
        <w:instrText xml:space="preserve"> PAGEREF _Toc270945497 \h </w:instrText>
      </w:r>
      <w:r w:rsidRPr="007415F4">
        <w:rPr>
          <w:noProof/>
        </w:rPr>
      </w:r>
      <w:r w:rsidRPr="007415F4">
        <w:rPr>
          <w:noProof/>
        </w:rPr>
        <w:fldChar w:fldCharType="separate"/>
      </w:r>
      <w:r w:rsidR="00E9048A">
        <w:rPr>
          <w:noProof/>
        </w:rPr>
        <w:t>115</w:t>
      </w:r>
      <w:r w:rsidRPr="007415F4">
        <w:rPr>
          <w:noProof/>
        </w:rPr>
        <w:fldChar w:fldCharType="end"/>
      </w:r>
    </w:p>
    <w:p w14:paraId="002C19CB"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Pr>
          <w:noProof/>
        </w:rPr>
        <w:t>Table 7: Summary of diversity in informal settlements across 12 axes</w:t>
      </w:r>
      <w:r>
        <w:rPr>
          <w:noProof/>
        </w:rPr>
        <w:tab/>
      </w:r>
      <w:r>
        <w:rPr>
          <w:noProof/>
        </w:rPr>
        <w:fldChar w:fldCharType="begin"/>
      </w:r>
      <w:r>
        <w:rPr>
          <w:noProof/>
        </w:rPr>
        <w:instrText xml:space="preserve"> PAGEREF _Toc270945498 \h </w:instrText>
      </w:r>
      <w:r>
        <w:rPr>
          <w:noProof/>
        </w:rPr>
      </w:r>
      <w:r>
        <w:rPr>
          <w:noProof/>
        </w:rPr>
        <w:fldChar w:fldCharType="separate"/>
      </w:r>
      <w:r w:rsidR="00E9048A">
        <w:rPr>
          <w:noProof/>
        </w:rPr>
        <w:t>148</w:t>
      </w:r>
      <w:r>
        <w:rPr>
          <w:noProof/>
        </w:rPr>
        <w:fldChar w:fldCharType="end"/>
      </w:r>
    </w:p>
    <w:p w14:paraId="36E62D54"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Pr>
          <w:noProof/>
        </w:rPr>
        <w:t>Table 8: Employment statistics for Diepsloot (Source: StatsSA, 2011)</w:t>
      </w:r>
      <w:r>
        <w:rPr>
          <w:noProof/>
        </w:rPr>
        <w:tab/>
      </w:r>
      <w:r>
        <w:rPr>
          <w:noProof/>
        </w:rPr>
        <w:fldChar w:fldCharType="begin"/>
      </w:r>
      <w:r>
        <w:rPr>
          <w:noProof/>
        </w:rPr>
        <w:instrText xml:space="preserve"> PAGEREF _Toc270945499 \h </w:instrText>
      </w:r>
      <w:r>
        <w:rPr>
          <w:noProof/>
        </w:rPr>
      </w:r>
      <w:r>
        <w:rPr>
          <w:noProof/>
        </w:rPr>
        <w:fldChar w:fldCharType="separate"/>
      </w:r>
      <w:r w:rsidR="00E9048A">
        <w:rPr>
          <w:noProof/>
        </w:rPr>
        <w:t>152</w:t>
      </w:r>
      <w:r>
        <w:rPr>
          <w:noProof/>
        </w:rPr>
        <w:fldChar w:fldCharType="end"/>
      </w:r>
    </w:p>
    <w:p w14:paraId="3765CC47"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Pr>
          <w:noProof/>
        </w:rPr>
        <w:t>Table 9: Percentages of residents receiving social grants (Source: SDI Report, 2011)</w:t>
      </w:r>
      <w:r>
        <w:rPr>
          <w:noProof/>
        </w:rPr>
        <w:tab/>
      </w:r>
      <w:r>
        <w:rPr>
          <w:noProof/>
        </w:rPr>
        <w:fldChar w:fldCharType="begin"/>
      </w:r>
      <w:r>
        <w:rPr>
          <w:noProof/>
        </w:rPr>
        <w:instrText xml:space="preserve"> PAGEREF _Toc270945500 \h </w:instrText>
      </w:r>
      <w:r>
        <w:rPr>
          <w:noProof/>
        </w:rPr>
      </w:r>
      <w:r>
        <w:rPr>
          <w:noProof/>
        </w:rPr>
        <w:fldChar w:fldCharType="separate"/>
      </w:r>
      <w:r w:rsidR="00E9048A">
        <w:rPr>
          <w:noProof/>
        </w:rPr>
        <w:t>162</w:t>
      </w:r>
      <w:r>
        <w:rPr>
          <w:noProof/>
        </w:rPr>
        <w:fldChar w:fldCharType="end"/>
      </w:r>
    </w:p>
    <w:p w14:paraId="575AA312"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Pr>
          <w:noProof/>
        </w:rPr>
        <w:t>Table 10: Reasons for living in Los Angeles (Source: SDI Report, 2010)</w:t>
      </w:r>
      <w:r>
        <w:rPr>
          <w:noProof/>
        </w:rPr>
        <w:tab/>
      </w:r>
      <w:r>
        <w:rPr>
          <w:noProof/>
        </w:rPr>
        <w:fldChar w:fldCharType="begin"/>
      </w:r>
      <w:r>
        <w:rPr>
          <w:noProof/>
        </w:rPr>
        <w:instrText xml:space="preserve"> PAGEREF _Toc270945501 \h </w:instrText>
      </w:r>
      <w:r>
        <w:rPr>
          <w:noProof/>
        </w:rPr>
      </w:r>
      <w:r>
        <w:rPr>
          <w:noProof/>
        </w:rPr>
        <w:fldChar w:fldCharType="separate"/>
      </w:r>
      <w:r w:rsidR="00E9048A">
        <w:rPr>
          <w:noProof/>
        </w:rPr>
        <w:t>163</w:t>
      </w:r>
      <w:r>
        <w:rPr>
          <w:noProof/>
        </w:rPr>
        <w:fldChar w:fldCharType="end"/>
      </w:r>
    </w:p>
    <w:p w14:paraId="7535436F" w14:textId="77777777" w:rsidR="006E5C14" w:rsidRDefault="006E5C14" w:rsidP="006E5C14">
      <w:pPr>
        <w:spacing w:line="360" w:lineRule="auto"/>
        <w:rPr>
          <w:rFonts w:cs="Arial"/>
          <w:b/>
          <w:szCs w:val="22"/>
        </w:rPr>
      </w:pPr>
      <w:r>
        <w:rPr>
          <w:rFonts w:cs="Arial"/>
          <w:b/>
          <w:szCs w:val="22"/>
        </w:rPr>
        <w:fldChar w:fldCharType="end"/>
      </w:r>
    </w:p>
    <w:p w14:paraId="4B2EDD3A" w14:textId="77777777" w:rsidR="007415F4" w:rsidRDefault="007415F4" w:rsidP="006E5C14">
      <w:pPr>
        <w:spacing w:line="360" w:lineRule="auto"/>
        <w:rPr>
          <w:rFonts w:cs="Arial"/>
          <w:b/>
          <w:szCs w:val="22"/>
        </w:rPr>
      </w:pPr>
    </w:p>
    <w:p w14:paraId="6180B7B0" w14:textId="2E652262" w:rsidR="006E5C14" w:rsidRPr="00D814AA" w:rsidRDefault="006E5C14" w:rsidP="006E5C14">
      <w:pPr>
        <w:spacing w:line="360" w:lineRule="auto"/>
        <w:rPr>
          <w:rFonts w:cs="Arial"/>
          <w:b/>
          <w:szCs w:val="22"/>
        </w:rPr>
      </w:pPr>
      <w:r>
        <w:rPr>
          <w:rFonts w:cs="Arial"/>
          <w:b/>
          <w:szCs w:val="22"/>
        </w:rPr>
        <w:t>LIST OF FIGURES</w:t>
      </w:r>
    </w:p>
    <w:p w14:paraId="27E74924" w14:textId="77777777" w:rsidR="007415F4" w:rsidRPr="007415F4" w:rsidRDefault="00DC584C">
      <w:pPr>
        <w:pStyle w:val="TableofFigures"/>
        <w:tabs>
          <w:tab w:val="right" w:leader="dot" w:pos="9350"/>
        </w:tabs>
        <w:rPr>
          <w:rFonts w:eastAsiaTheme="minorEastAsia" w:cstheme="minorBidi"/>
          <w:smallCaps w:val="0"/>
          <w:noProof/>
          <w:sz w:val="24"/>
          <w:szCs w:val="24"/>
          <w:lang w:val="en-ZA" w:eastAsia="ja-JP"/>
        </w:rPr>
      </w:pPr>
      <w:r w:rsidRPr="00863E1F">
        <w:rPr>
          <w:rFonts w:ascii="Arial" w:hAnsi="Arial"/>
          <w:sz w:val="22"/>
          <w:szCs w:val="22"/>
        </w:rPr>
        <w:fldChar w:fldCharType="begin"/>
      </w:r>
      <w:r w:rsidRPr="00863E1F">
        <w:rPr>
          <w:rFonts w:ascii="Arial" w:hAnsi="Arial"/>
          <w:sz w:val="22"/>
          <w:szCs w:val="22"/>
        </w:rPr>
        <w:instrText xml:space="preserve"> TOC \c "Figure" </w:instrText>
      </w:r>
      <w:r w:rsidRPr="00863E1F">
        <w:rPr>
          <w:rFonts w:ascii="Arial" w:hAnsi="Arial"/>
          <w:sz w:val="22"/>
          <w:szCs w:val="22"/>
        </w:rPr>
        <w:fldChar w:fldCharType="separate"/>
      </w:r>
      <w:r w:rsidR="007415F4" w:rsidRPr="007415F4">
        <w:rPr>
          <w:noProof/>
        </w:rPr>
        <w:t>Figure 1: Households Living in Informal Circumstances in South Africa (2007 &amp; 2011) (Gardner and Rubin, 2013)</w:t>
      </w:r>
      <w:r w:rsidR="007415F4" w:rsidRPr="007415F4">
        <w:rPr>
          <w:noProof/>
        </w:rPr>
        <w:tab/>
      </w:r>
      <w:r w:rsidR="007415F4" w:rsidRPr="007415F4">
        <w:rPr>
          <w:noProof/>
        </w:rPr>
        <w:fldChar w:fldCharType="begin"/>
      </w:r>
      <w:r w:rsidR="007415F4" w:rsidRPr="007415F4">
        <w:rPr>
          <w:noProof/>
        </w:rPr>
        <w:instrText xml:space="preserve"> PAGEREF _Toc270945504 \h </w:instrText>
      </w:r>
      <w:r w:rsidR="007415F4" w:rsidRPr="007415F4">
        <w:rPr>
          <w:noProof/>
        </w:rPr>
      </w:r>
      <w:r w:rsidR="007415F4" w:rsidRPr="007415F4">
        <w:rPr>
          <w:noProof/>
        </w:rPr>
        <w:fldChar w:fldCharType="separate"/>
      </w:r>
      <w:r w:rsidR="00E9048A">
        <w:rPr>
          <w:noProof/>
        </w:rPr>
        <w:t>4</w:t>
      </w:r>
      <w:r w:rsidR="007415F4" w:rsidRPr="007415F4">
        <w:rPr>
          <w:noProof/>
        </w:rPr>
        <w:fldChar w:fldCharType="end"/>
      </w:r>
    </w:p>
    <w:p w14:paraId="6EEDAFD5"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Figure 2: Average Household Sizes in Informal Settlements in South Africa (Census 2011)</w:t>
      </w:r>
      <w:r w:rsidRPr="007415F4">
        <w:rPr>
          <w:noProof/>
        </w:rPr>
        <w:tab/>
      </w:r>
      <w:r w:rsidRPr="007415F4">
        <w:rPr>
          <w:noProof/>
        </w:rPr>
        <w:fldChar w:fldCharType="begin"/>
      </w:r>
      <w:r w:rsidRPr="007415F4">
        <w:rPr>
          <w:noProof/>
        </w:rPr>
        <w:instrText xml:space="preserve"> PAGEREF _Toc270945505 \h </w:instrText>
      </w:r>
      <w:r w:rsidRPr="007415F4">
        <w:rPr>
          <w:noProof/>
        </w:rPr>
      </w:r>
      <w:r w:rsidRPr="007415F4">
        <w:rPr>
          <w:noProof/>
        </w:rPr>
        <w:fldChar w:fldCharType="separate"/>
      </w:r>
      <w:r w:rsidR="00E9048A">
        <w:rPr>
          <w:noProof/>
        </w:rPr>
        <w:t>8</w:t>
      </w:r>
      <w:r w:rsidRPr="007415F4">
        <w:rPr>
          <w:noProof/>
        </w:rPr>
        <w:fldChar w:fldCharType="end"/>
      </w:r>
    </w:p>
    <w:p w14:paraId="2F7F82B4"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Figure 3: Average Household Sizes and Number of People in Informal Settlements in South Africa (Census 2011)</w:t>
      </w:r>
      <w:r w:rsidRPr="007415F4">
        <w:rPr>
          <w:noProof/>
        </w:rPr>
        <w:tab/>
      </w:r>
      <w:r w:rsidRPr="007415F4">
        <w:rPr>
          <w:noProof/>
        </w:rPr>
        <w:fldChar w:fldCharType="begin"/>
      </w:r>
      <w:r w:rsidRPr="007415F4">
        <w:rPr>
          <w:noProof/>
        </w:rPr>
        <w:instrText xml:space="preserve"> PAGEREF _Toc270945506 \h </w:instrText>
      </w:r>
      <w:r w:rsidRPr="007415F4">
        <w:rPr>
          <w:noProof/>
        </w:rPr>
      </w:r>
      <w:r w:rsidRPr="007415F4">
        <w:rPr>
          <w:noProof/>
        </w:rPr>
        <w:fldChar w:fldCharType="separate"/>
      </w:r>
      <w:r w:rsidR="00E9048A">
        <w:rPr>
          <w:noProof/>
        </w:rPr>
        <w:t>9</w:t>
      </w:r>
      <w:r w:rsidRPr="007415F4">
        <w:rPr>
          <w:noProof/>
        </w:rPr>
        <w:fldChar w:fldCharType="end"/>
      </w:r>
    </w:p>
    <w:p w14:paraId="49C604D6"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Figure 4:</w:t>
      </w:r>
      <w:r w:rsidRPr="007415F4">
        <w:rPr>
          <w:iCs/>
          <w:noProof/>
        </w:rPr>
        <w:t xml:space="preserve"> Household Sizes in Seven Limpopo Settlements (</w:t>
      </w:r>
      <w:r w:rsidRPr="007415F4">
        <w:rPr>
          <w:rFonts w:cs="Arial"/>
          <w:noProof/>
        </w:rPr>
        <w:t>HDA Survey Data)</w:t>
      </w:r>
      <w:r w:rsidRPr="007415F4">
        <w:rPr>
          <w:noProof/>
        </w:rPr>
        <w:tab/>
      </w:r>
      <w:r w:rsidRPr="007415F4">
        <w:rPr>
          <w:noProof/>
        </w:rPr>
        <w:fldChar w:fldCharType="begin"/>
      </w:r>
      <w:r w:rsidRPr="007415F4">
        <w:rPr>
          <w:noProof/>
        </w:rPr>
        <w:instrText xml:space="preserve"> PAGEREF _Toc270945507 \h </w:instrText>
      </w:r>
      <w:r w:rsidRPr="007415F4">
        <w:rPr>
          <w:noProof/>
        </w:rPr>
      </w:r>
      <w:r w:rsidRPr="007415F4">
        <w:rPr>
          <w:noProof/>
        </w:rPr>
        <w:fldChar w:fldCharType="separate"/>
      </w:r>
      <w:r w:rsidR="00E9048A">
        <w:rPr>
          <w:noProof/>
        </w:rPr>
        <w:t>10</w:t>
      </w:r>
      <w:r w:rsidRPr="007415F4">
        <w:rPr>
          <w:noProof/>
        </w:rPr>
        <w:fldChar w:fldCharType="end"/>
      </w:r>
    </w:p>
    <w:p w14:paraId="4CB47097"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Figure 5: Employment Status by Settlement in Rustenburg (NUSP Survey Data)</w:t>
      </w:r>
      <w:r w:rsidRPr="007415F4">
        <w:rPr>
          <w:noProof/>
        </w:rPr>
        <w:tab/>
      </w:r>
      <w:r w:rsidRPr="007415F4">
        <w:rPr>
          <w:noProof/>
        </w:rPr>
        <w:fldChar w:fldCharType="begin"/>
      </w:r>
      <w:r w:rsidRPr="007415F4">
        <w:rPr>
          <w:noProof/>
        </w:rPr>
        <w:instrText xml:space="preserve"> PAGEREF _Toc270945508 \h </w:instrText>
      </w:r>
      <w:r w:rsidRPr="007415F4">
        <w:rPr>
          <w:noProof/>
        </w:rPr>
      </w:r>
      <w:r w:rsidRPr="007415F4">
        <w:rPr>
          <w:noProof/>
        </w:rPr>
        <w:fldChar w:fldCharType="separate"/>
      </w:r>
      <w:r w:rsidR="00E9048A">
        <w:rPr>
          <w:noProof/>
        </w:rPr>
        <w:t>11</w:t>
      </w:r>
      <w:r w:rsidRPr="007415F4">
        <w:rPr>
          <w:noProof/>
        </w:rPr>
        <w:fldChar w:fldCharType="end"/>
      </w:r>
    </w:p>
    <w:p w14:paraId="41502B72"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Figure 6: Household Income profile of Seven Limpopo Informal Settlements (HDA Data)</w:t>
      </w:r>
      <w:r w:rsidRPr="007415F4">
        <w:rPr>
          <w:noProof/>
        </w:rPr>
        <w:tab/>
      </w:r>
      <w:r w:rsidRPr="007415F4">
        <w:rPr>
          <w:noProof/>
        </w:rPr>
        <w:fldChar w:fldCharType="begin"/>
      </w:r>
      <w:r w:rsidRPr="007415F4">
        <w:rPr>
          <w:noProof/>
        </w:rPr>
        <w:instrText xml:space="preserve"> PAGEREF _Toc270945509 \h </w:instrText>
      </w:r>
      <w:r w:rsidRPr="007415F4">
        <w:rPr>
          <w:noProof/>
        </w:rPr>
      </w:r>
      <w:r w:rsidRPr="007415F4">
        <w:rPr>
          <w:noProof/>
        </w:rPr>
        <w:fldChar w:fldCharType="separate"/>
      </w:r>
      <w:r w:rsidR="00E9048A">
        <w:rPr>
          <w:noProof/>
        </w:rPr>
        <w:t>12</w:t>
      </w:r>
      <w:r w:rsidRPr="007415F4">
        <w:rPr>
          <w:noProof/>
        </w:rPr>
        <w:fldChar w:fldCharType="end"/>
      </w:r>
    </w:p>
    <w:p w14:paraId="3B9F7F0B"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Figure 7: Household Income profile of Seven Limpopo Informal Settlements (HDA Data)</w:t>
      </w:r>
      <w:r w:rsidRPr="007415F4">
        <w:rPr>
          <w:noProof/>
        </w:rPr>
        <w:tab/>
      </w:r>
      <w:r w:rsidRPr="007415F4">
        <w:rPr>
          <w:noProof/>
        </w:rPr>
        <w:fldChar w:fldCharType="begin"/>
      </w:r>
      <w:r w:rsidRPr="007415F4">
        <w:rPr>
          <w:noProof/>
        </w:rPr>
        <w:instrText xml:space="preserve"> PAGEREF _Toc270945510 \h </w:instrText>
      </w:r>
      <w:r w:rsidRPr="007415F4">
        <w:rPr>
          <w:noProof/>
        </w:rPr>
      </w:r>
      <w:r w:rsidRPr="007415F4">
        <w:rPr>
          <w:noProof/>
        </w:rPr>
        <w:fldChar w:fldCharType="separate"/>
      </w:r>
      <w:r w:rsidR="00E9048A">
        <w:rPr>
          <w:noProof/>
        </w:rPr>
        <w:t>13</w:t>
      </w:r>
      <w:r w:rsidRPr="007415F4">
        <w:rPr>
          <w:noProof/>
        </w:rPr>
        <w:fldChar w:fldCharType="end"/>
      </w:r>
    </w:p>
    <w:p w14:paraId="70D99F89"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Figure 8: Subsidy Eligibility of Households in Six Limpopo Informal Settlements (HDA Analysis)</w:t>
      </w:r>
      <w:r w:rsidRPr="007415F4">
        <w:rPr>
          <w:noProof/>
        </w:rPr>
        <w:tab/>
      </w:r>
      <w:r w:rsidRPr="007415F4">
        <w:rPr>
          <w:noProof/>
        </w:rPr>
        <w:fldChar w:fldCharType="begin"/>
      </w:r>
      <w:r w:rsidRPr="007415F4">
        <w:rPr>
          <w:noProof/>
        </w:rPr>
        <w:instrText xml:space="preserve"> PAGEREF _Toc270945511 \h </w:instrText>
      </w:r>
      <w:r w:rsidRPr="007415F4">
        <w:rPr>
          <w:noProof/>
        </w:rPr>
      </w:r>
      <w:r w:rsidRPr="007415F4">
        <w:rPr>
          <w:noProof/>
        </w:rPr>
        <w:fldChar w:fldCharType="separate"/>
      </w:r>
      <w:r w:rsidR="00E9048A">
        <w:rPr>
          <w:noProof/>
        </w:rPr>
        <w:t>15</w:t>
      </w:r>
      <w:r w:rsidRPr="007415F4">
        <w:rPr>
          <w:noProof/>
        </w:rPr>
        <w:fldChar w:fldCharType="end"/>
      </w:r>
    </w:p>
    <w:p w14:paraId="67CA431A"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Figure 9: Factors Influencing Effective Demand for Housing Consolidation</w:t>
      </w:r>
      <w:r w:rsidRPr="007415F4">
        <w:rPr>
          <w:noProof/>
        </w:rPr>
        <w:tab/>
      </w:r>
      <w:r w:rsidRPr="007415F4">
        <w:rPr>
          <w:noProof/>
        </w:rPr>
        <w:fldChar w:fldCharType="begin"/>
      </w:r>
      <w:r w:rsidRPr="007415F4">
        <w:rPr>
          <w:noProof/>
        </w:rPr>
        <w:instrText xml:space="preserve"> PAGEREF _Toc270945512 \h </w:instrText>
      </w:r>
      <w:r w:rsidRPr="007415F4">
        <w:rPr>
          <w:noProof/>
        </w:rPr>
      </w:r>
      <w:r w:rsidRPr="007415F4">
        <w:rPr>
          <w:noProof/>
        </w:rPr>
        <w:fldChar w:fldCharType="separate"/>
      </w:r>
      <w:r w:rsidR="00E9048A">
        <w:rPr>
          <w:noProof/>
        </w:rPr>
        <w:t>42</w:t>
      </w:r>
      <w:r w:rsidRPr="007415F4">
        <w:rPr>
          <w:noProof/>
        </w:rPr>
        <w:fldChar w:fldCharType="end"/>
      </w:r>
    </w:p>
    <w:p w14:paraId="557D31DB"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Figure 10: Upgrading Development Modes</w:t>
      </w:r>
      <w:r w:rsidRPr="007415F4">
        <w:rPr>
          <w:noProof/>
        </w:rPr>
        <w:tab/>
      </w:r>
      <w:r w:rsidRPr="007415F4">
        <w:rPr>
          <w:noProof/>
        </w:rPr>
        <w:fldChar w:fldCharType="begin"/>
      </w:r>
      <w:r w:rsidRPr="007415F4">
        <w:rPr>
          <w:noProof/>
        </w:rPr>
        <w:instrText xml:space="preserve"> PAGEREF _Toc270945513 \h </w:instrText>
      </w:r>
      <w:r w:rsidRPr="007415F4">
        <w:rPr>
          <w:noProof/>
        </w:rPr>
      </w:r>
      <w:r w:rsidRPr="007415F4">
        <w:rPr>
          <w:noProof/>
        </w:rPr>
        <w:fldChar w:fldCharType="separate"/>
      </w:r>
      <w:r w:rsidR="00E9048A">
        <w:rPr>
          <w:noProof/>
        </w:rPr>
        <w:t>47</w:t>
      </w:r>
      <w:r w:rsidRPr="007415F4">
        <w:rPr>
          <w:noProof/>
        </w:rPr>
        <w:fldChar w:fldCharType="end"/>
      </w:r>
    </w:p>
    <w:p w14:paraId="3EEE909A"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Figure 11: Conceptual Framework – House Consolidation Scenarios and Roles</w:t>
      </w:r>
      <w:r w:rsidRPr="007415F4">
        <w:rPr>
          <w:noProof/>
        </w:rPr>
        <w:tab/>
      </w:r>
      <w:r w:rsidRPr="007415F4">
        <w:rPr>
          <w:noProof/>
        </w:rPr>
        <w:fldChar w:fldCharType="begin"/>
      </w:r>
      <w:r w:rsidRPr="007415F4">
        <w:rPr>
          <w:noProof/>
        </w:rPr>
        <w:instrText xml:space="preserve"> PAGEREF _Toc270945514 \h </w:instrText>
      </w:r>
      <w:r w:rsidRPr="007415F4">
        <w:rPr>
          <w:noProof/>
        </w:rPr>
      </w:r>
      <w:r w:rsidRPr="007415F4">
        <w:rPr>
          <w:noProof/>
        </w:rPr>
        <w:fldChar w:fldCharType="separate"/>
      </w:r>
      <w:r w:rsidR="00E9048A">
        <w:rPr>
          <w:noProof/>
        </w:rPr>
        <w:t>49</w:t>
      </w:r>
      <w:r w:rsidRPr="007415F4">
        <w:rPr>
          <w:noProof/>
        </w:rPr>
        <w:fldChar w:fldCharType="end"/>
      </w:r>
    </w:p>
    <w:p w14:paraId="612E28F4"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Figure 12: Conceptual Framework – Nature of Support Inputs per Scenario, per Role</w:t>
      </w:r>
      <w:r w:rsidRPr="007415F4">
        <w:rPr>
          <w:noProof/>
        </w:rPr>
        <w:tab/>
      </w:r>
      <w:r w:rsidRPr="007415F4">
        <w:rPr>
          <w:noProof/>
        </w:rPr>
        <w:fldChar w:fldCharType="begin"/>
      </w:r>
      <w:r w:rsidRPr="007415F4">
        <w:rPr>
          <w:noProof/>
        </w:rPr>
        <w:instrText xml:space="preserve"> PAGEREF _Toc270945515 \h </w:instrText>
      </w:r>
      <w:r w:rsidRPr="007415F4">
        <w:rPr>
          <w:noProof/>
        </w:rPr>
      </w:r>
      <w:r w:rsidRPr="007415F4">
        <w:rPr>
          <w:noProof/>
        </w:rPr>
        <w:fldChar w:fldCharType="separate"/>
      </w:r>
      <w:r w:rsidR="00E9048A">
        <w:rPr>
          <w:noProof/>
        </w:rPr>
        <w:t>54</w:t>
      </w:r>
      <w:r w:rsidRPr="007415F4">
        <w:rPr>
          <w:noProof/>
        </w:rPr>
        <w:fldChar w:fldCharType="end"/>
      </w:r>
    </w:p>
    <w:p w14:paraId="42E5FDA5"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Figure 13: Implementation Framework for the UISP (Phases One to Four)</w:t>
      </w:r>
      <w:r w:rsidRPr="007415F4">
        <w:rPr>
          <w:noProof/>
        </w:rPr>
        <w:tab/>
      </w:r>
      <w:r w:rsidRPr="007415F4">
        <w:rPr>
          <w:noProof/>
        </w:rPr>
        <w:fldChar w:fldCharType="begin"/>
      </w:r>
      <w:r w:rsidRPr="007415F4">
        <w:rPr>
          <w:noProof/>
        </w:rPr>
        <w:instrText xml:space="preserve"> PAGEREF _Toc270945516 \h </w:instrText>
      </w:r>
      <w:r w:rsidRPr="007415F4">
        <w:rPr>
          <w:noProof/>
        </w:rPr>
      </w:r>
      <w:r w:rsidRPr="007415F4">
        <w:rPr>
          <w:noProof/>
        </w:rPr>
        <w:fldChar w:fldCharType="separate"/>
      </w:r>
      <w:r w:rsidR="00E9048A">
        <w:rPr>
          <w:noProof/>
        </w:rPr>
        <w:t>59</w:t>
      </w:r>
      <w:r w:rsidRPr="007415F4">
        <w:rPr>
          <w:noProof/>
        </w:rPr>
        <w:fldChar w:fldCharType="end"/>
      </w:r>
    </w:p>
    <w:p w14:paraId="0C407717" w14:textId="6D48AA44"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Figure 14: Top Structure Consolidation in Relation to the UISP Phases</w:t>
      </w:r>
      <w:r w:rsidRPr="007415F4">
        <w:rPr>
          <w:noProof/>
        </w:rPr>
        <w:tab/>
      </w:r>
      <w:r w:rsidRPr="007415F4">
        <w:rPr>
          <w:noProof/>
        </w:rPr>
        <w:fldChar w:fldCharType="begin"/>
      </w:r>
      <w:r w:rsidRPr="007415F4">
        <w:rPr>
          <w:noProof/>
        </w:rPr>
        <w:instrText xml:space="preserve"> PAGEREF _Toc270945517 \h </w:instrText>
      </w:r>
      <w:r w:rsidRPr="007415F4">
        <w:rPr>
          <w:noProof/>
        </w:rPr>
      </w:r>
      <w:r w:rsidRPr="007415F4">
        <w:rPr>
          <w:noProof/>
        </w:rPr>
        <w:fldChar w:fldCharType="separate"/>
      </w:r>
      <w:r w:rsidR="00E9048A">
        <w:rPr>
          <w:noProof/>
        </w:rPr>
        <w:t>62</w:t>
      </w:r>
      <w:r w:rsidRPr="007415F4">
        <w:rPr>
          <w:noProof/>
        </w:rPr>
        <w:fldChar w:fldCharType="end"/>
      </w:r>
    </w:p>
    <w:p w14:paraId="20256029"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 xml:space="preserve">Figure 15: </w:t>
      </w:r>
      <w:r w:rsidRPr="007415F4">
        <w:rPr>
          <w:bCs/>
          <w:noProof/>
        </w:rPr>
        <w:t>Relative Financial Contributions of Different Actors in SA UISP Projects (Subsidy Determination, 2013)</w:t>
      </w:r>
      <w:r w:rsidRPr="007415F4">
        <w:rPr>
          <w:noProof/>
        </w:rPr>
        <w:tab/>
      </w:r>
      <w:r w:rsidRPr="007415F4">
        <w:rPr>
          <w:noProof/>
        </w:rPr>
        <w:fldChar w:fldCharType="begin"/>
      </w:r>
      <w:r w:rsidRPr="007415F4">
        <w:rPr>
          <w:noProof/>
        </w:rPr>
        <w:instrText xml:space="preserve"> PAGEREF _Toc270945518 \h </w:instrText>
      </w:r>
      <w:r w:rsidRPr="007415F4">
        <w:rPr>
          <w:noProof/>
        </w:rPr>
      </w:r>
      <w:r w:rsidRPr="007415F4">
        <w:rPr>
          <w:noProof/>
        </w:rPr>
        <w:fldChar w:fldCharType="separate"/>
      </w:r>
      <w:r w:rsidR="00E9048A">
        <w:rPr>
          <w:noProof/>
        </w:rPr>
        <w:t>63</w:t>
      </w:r>
      <w:r w:rsidRPr="007415F4">
        <w:rPr>
          <w:noProof/>
        </w:rPr>
        <w:fldChar w:fldCharType="end"/>
      </w:r>
    </w:p>
    <w:p w14:paraId="54E6BE37"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 xml:space="preserve">Figure 16: </w:t>
      </w:r>
      <w:r w:rsidRPr="007415F4">
        <w:rPr>
          <w:bCs/>
          <w:noProof/>
        </w:rPr>
        <w:t>House Consolidation in Relation to UISP Conceptual Framework</w:t>
      </w:r>
      <w:r w:rsidRPr="007415F4">
        <w:rPr>
          <w:noProof/>
        </w:rPr>
        <w:tab/>
      </w:r>
      <w:r w:rsidRPr="007415F4">
        <w:rPr>
          <w:noProof/>
        </w:rPr>
        <w:fldChar w:fldCharType="begin"/>
      </w:r>
      <w:r w:rsidRPr="007415F4">
        <w:rPr>
          <w:noProof/>
        </w:rPr>
        <w:instrText xml:space="preserve"> PAGEREF _Toc270945519 \h </w:instrText>
      </w:r>
      <w:r w:rsidRPr="007415F4">
        <w:rPr>
          <w:noProof/>
        </w:rPr>
      </w:r>
      <w:r w:rsidRPr="007415F4">
        <w:rPr>
          <w:noProof/>
        </w:rPr>
        <w:fldChar w:fldCharType="separate"/>
      </w:r>
      <w:r w:rsidR="00E9048A">
        <w:rPr>
          <w:noProof/>
        </w:rPr>
        <w:t>66</w:t>
      </w:r>
      <w:r w:rsidRPr="007415F4">
        <w:rPr>
          <w:noProof/>
        </w:rPr>
        <w:fldChar w:fldCharType="end"/>
      </w:r>
    </w:p>
    <w:p w14:paraId="331C1C19"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 xml:space="preserve">Figure 17: </w:t>
      </w:r>
      <w:r w:rsidRPr="007415F4">
        <w:rPr>
          <w:bCs/>
          <w:noProof/>
        </w:rPr>
        <w:t>House Consolidation in Relation to UISP Conceptual Framework</w:t>
      </w:r>
      <w:r w:rsidRPr="007415F4">
        <w:rPr>
          <w:noProof/>
        </w:rPr>
        <w:tab/>
      </w:r>
      <w:r w:rsidRPr="007415F4">
        <w:rPr>
          <w:noProof/>
        </w:rPr>
        <w:fldChar w:fldCharType="begin"/>
      </w:r>
      <w:r w:rsidRPr="007415F4">
        <w:rPr>
          <w:noProof/>
        </w:rPr>
        <w:instrText xml:space="preserve"> PAGEREF _Toc270945520 \h </w:instrText>
      </w:r>
      <w:r w:rsidRPr="007415F4">
        <w:rPr>
          <w:noProof/>
        </w:rPr>
      </w:r>
      <w:r w:rsidRPr="007415F4">
        <w:rPr>
          <w:noProof/>
        </w:rPr>
        <w:fldChar w:fldCharType="separate"/>
      </w:r>
      <w:r w:rsidR="00E9048A">
        <w:rPr>
          <w:noProof/>
        </w:rPr>
        <w:t>68</w:t>
      </w:r>
      <w:r w:rsidRPr="007415F4">
        <w:rPr>
          <w:noProof/>
        </w:rPr>
        <w:fldChar w:fldCharType="end"/>
      </w:r>
    </w:p>
    <w:p w14:paraId="586EB5EF"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Figure 18:</w:t>
      </w:r>
      <w:r w:rsidRPr="007415F4">
        <w:rPr>
          <w:bCs/>
          <w:noProof/>
        </w:rPr>
        <w:t xml:space="preserve"> Work Process for Subsidized Top Structure Development (IRDP)</w:t>
      </w:r>
      <w:r w:rsidRPr="007415F4">
        <w:rPr>
          <w:noProof/>
        </w:rPr>
        <w:tab/>
      </w:r>
      <w:r w:rsidRPr="007415F4">
        <w:rPr>
          <w:noProof/>
        </w:rPr>
        <w:fldChar w:fldCharType="begin"/>
      </w:r>
      <w:r w:rsidRPr="007415F4">
        <w:rPr>
          <w:noProof/>
        </w:rPr>
        <w:instrText xml:space="preserve"> PAGEREF _Toc270945521 \h </w:instrText>
      </w:r>
      <w:r w:rsidRPr="007415F4">
        <w:rPr>
          <w:noProof/>
        </w:rPr>
      </w:r>
      <w:r w:rsidRPr="007415F4">
        <w:rPr>
          <w:noProof/>
        </w:rPr>
        <w:fldChar w:fldCharType="separate"/>
      </w:r>
      <w:r w:rsidR="00E9048A">
        <w:rPr>
          <w:noProof/>
        </w:rPr>
        <w:t>74</w:t>
      </w:r>
      <w:r w:rsidRPr="007415F4">
        <w:rPr>
          <w:noProof/>
        </w:rPr>
        <w:fldChar w:fldCharType="end"/>
      </w:r>
    </w:p>
    <w:p w14:paraId="2A467D46"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 xml:space="preserve">Figure 19: </w:t>
      </w:r>
      <w:r w:rsidRPr="007415F4">
        <w:rPr>
          <w:bCs/>
          <w:noProof/>
        </w:rPr>
        <w:t>Enhanced Peoples Housing Process: Implementation Work Process</w:t>
      </w:r>
      <w:r w:rsidRPr="007415F4">
        <w:rPr>
          <w:noProof/>
        </w:rPr>
        <w:tab/>
      </w:r>
      <w:r w:rsidRPr="007415F4">
        <w:rPr>
          <w:noProof/>
        </w:rPr>
        <w:fldChar w:fldCharType="begin"/>
      </w:r>
      <w:r w:rsidRPr="007415F4">
        <w:rPr>
          <w:noProof/>
        </w:rPr>
        <w:instrText xml:space="preserve"> PAGEREF _Toc270945522 \h </w:instrText>
      </w:r>
      <w:r w:rsidRPr="007415F4">
        <w:rPr>
          <w:noProof/>
        </w:rPr>
      </w:r>
      <w:r w:rsidRPr="007415F4">
        <w:rPr>
          <w:noProof/>
        </w:rPr>
        <w:fldChar w:fldCharType="separate"/>
      </w:r>
      <w:r w:rsidR="00E9048A">
        <w:rPr>
          <w:noProof/>
        </w:rPr>
        <w:t>79</w:t>
      </w:r>
      <w:r w:rsidRPr="007415F4">
        <w:rPr>
          <w:noProof/>
        </w:rPr>
        <w:fldChar w:fldCharType="end"/>
      </w:r>
    </w:p>
    <w:p w14:paraId="6D40AC09"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 xml:space="preserve">Figure 20: </w:t>
      </w:r>
      <w:r w:rsidRPr="007415F4">
        <w:rPr>
          <w:bCs/>
          <w:noProof/>
        </w:rPr>
        <w:t>Work Process for Voucher Programme</w:t>
      </w:r>
      <w:r w:rsidRPr="007415F4">
        <w:rPr>
          <w:noProof/>
        </w:rPr>
        <w:tab/>
      </w:r>
      <w:r w:rsidRPr="007415F4">
        <w:rPr>
          <w:noProof/>
        </w:rPr>
        <w:fldChar w:fldCharType="begin"/>
      </w:r>
      <w:r w:rsidRPr="007415F4">
        <w:rPr>
          <w:noProof/>
        </w:rPr>
        <w:instrText xml:space="preserve"> PAGEREF _Toc270945523 \h </w:instrText>
      </w:r>
      <w:r w:rsidRPr="007415F4">
        <w:rPr>
          <w:noProof/>
        </w:rPr>
      </w:r>
      <w:r w:rsidRPr="007415F4">
        <w:rPr>
          <w:noProof/>
        </w:rPr>
        <w:fldChar w:fldCharType="separate"/>
      </w:r>
      <w:r w:rsidR="00E9048A">
        <w:rPr>
          <w:noProof/>
        </w:rPr>
        <w:t>85</w:t>
      </w:r>
      <w:r w:rsidRPr="007415F4">
        <w:rPr>
          <w:noProof/>
        </w:rPr>
        <w:fldChar w:fldCharType="end"/>
      </w:r>
    </w:p>
    <w:p w14:paraId="6514CBA7"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 xml:space="preserve">Figure 21: </w:t>
      </w:r>
      <w:r w:rsidRPr="007415F4">
        <w:rPr>
          <w:rFonts w:cs="Arial"/>
          <w:noProof/>
        </w:rPr>
        <w:t>Blended Approach to House Consolidation – The Incremental Housing Support Framework</w:t>
      </w:r>
      <w:r w:rsidRPr="007415F4">
        <w:rPr>
          <w:noProof/>
        </w:rPr>
        <w:tab/>
      </w:r>
      <w:r w:rsidRPr="007415F4">
        <w:rPr>
          <w:noProof/>
        </w:rPr>
        <w:fldChar w:fldCharType="begin"/>
      </w:r>
      <w:r w:rsidRPr="007415F4">
        <w:rPr>
          <w:noProof/>
        </w:rPr>
        <w:instrText xml:space="preserve"> PAGEREF _Toc270945524 \h </w:instrText>
      </w:r>
      <w:r w:rsidRPr="007415F4">
        <w:rPr>
          <w:noProof/>
        </w:rPr>
      </w:r>
      <w:r w:rsidRPr="007415F4">
        <w:rPr>
          <w:noProof/>
        </w:rPr>
        <w:fldChar w:fldCharType="separate"/>
      </w:r>
      <w:r w:rsidR="00E9048A">
        <w:rPr>
          <w:noProof/>
        </w:rPr>
        <w:t>93</w:t>
      </w:r>
      <w:r w:rsidRPr="007415F4">
        <w:rPr>
          <w:noProof/>
        </w:rPr>
        <w:fldChar w:fldCharType="end"/>
      </w:r>
    </w:p>
    <w:p w14:paraId="69D5C591"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 xml:space="preserve">Figure 22: </w:t>
      </w:r>
      <w:r w:rsidRPr="007415F4">
        <w:rPr>
          <w:rFonts w:cs="Arial"/>
          <w:noProof/>
        </w:rPr>
        <w:t>Generic Implementation Framework for House Consolidation</w:t>
      </w:r>
      <w:r w:rsidRPr="007415F4">
        <w:rPr>
          <w:noProof/>
        </w:rPr>
        <w:tab/>
      </w:r>
      <w:r w:rsidRPr="007415F4">
        <w:rPr>
          <w:noProof/>
        </w:rPr>
        <w:fldChar w:fldCharType="begin"/>
      </w:r>
      <w:r w:rsidRPr="007415F4">
        <w:rPr>
          <w:noProof/>
        </w:rPr>
        <w:instrText xml:space="preserve"> PAGEREF _Toc270945525 \h </w:instrText>
      </w:r>
      <w:r w:rsidRPr="007415F4">
        <w:rPr>
          <w:noProof/>
        </w:rPr>
      </w:r>
      <w:r w:rsidRPr="007415F4">
        <w:rPr>
          <w:noProof/>
        </w:rPr>
        <w:fldChar w:fldCharType="separate"/>
      </w:r>
      <w:r w:rsidR="00E9048A">
        <w:rPr>
          <w:noProof/>
        </w:rPr>
        <w:t>95</w:t>
      </w:r>
      <w:r w:rsidRPr="007415F4">
        <w:rPr>
          <w:noProof/>
        </w:rPr>
        <w:fldChar w:fldCharType="end"/>
      </w:r>
    </w:p>
    <w:p w14:paraId="49094E33" w14:textId="77777777" w:rsidR="007415F4" w:rsidRPr="007415F4" w:rsidRDefault="007415F4">
      <w:pPr>
        <w:pStyle w:val="TableofFigures"/>
        <w:tabs>
          <w:tab w:val="right" w:leader="dot" w:pos="9350"/>
        </w:tabs>
        <w:rPr>
          <w:rFonts w:eastAsiaTheme="minorEastAsia" w:cstheme="minorBidi"/>
          <w:smallCaps w:val="0"/>
          <w:noProof/>
          <w:sz w:val="24"/>
          <w:szCs w:val="24"/>
          <w:lang w:val="en-ZA" w:eastAsia="ja-JP"/>
        </w:rPr>
      </w:pPr>
      <w:r w:rsidRPr="007415F4">
        <w:rPr>
          <w:noProof/>
        </w:rPr>
        <w:t xml:space="preserve">Figure 23: </w:t>
      </w:r>
      <w:r w:rsidRPr="007415F4">
        <w:rPr>
          <w:rFonts w:cs="Arial"/>
          <w:noProof/>
        </w:rPr>
        <w:t xml:space="preserve">Generic </w:t>
      </w:r>
      <w:r w:rsidRPr="007415F4">
        <w:rPr>
          <w:noProof/>
        </w:rPr>
        <w:t>Small Unit Options (Ekurhuleni E4G Project)</w:t>
      </w:r>
      <w:r w:rsidRPr="007415F4">
        <w:rPr>
          <w:noProof/>
        </w:rPr>
        <w:tab/>
      </w:r>
      <w:r w:rsidRPr="007415F4">
        <w:rPr>
          <w:noProof/>
        </w:rPr>
        <w:fldChar w:fldCharType="begin"/>
      </w:r>
      <w:r w:rsidRPr="007415F4">
        <w:rPr>
          <w:noProof/>
        </w:rPr>
        <w:instrText xml:space="preserve"> PAGEREF _Toc270945526 \h </w:instrText>
      </w:r>
      <w:r w:rsidRPr="007415F4">
        <w:rPr>
          <w:noProof/>
        </w:rPr>
      </w:r>
      <w:r w:rsidRPr="007415F4">
        <w:rPr>
          <w:noProof/>
        </w:rPr>
        <w:fldChar w:fldCharType="separate"/>
      </w:r>
      <w:r w:rsidR="00E9048A">
        <w:rPr>
          <w:noProof/>
        </w:rPr>
        <w:t>104</w:t>
      </w:r>
      <w:r w:rsidRPr="007415F4">
        <w:rPr>
          <w:noProof/>
        </w:rPr>
        <w:fldChar w:fldCharType="end"/>
      </w:r>
    </w:p>
    <w:p w14:paraId="0509E468"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Pr>
          <w:noProof/>
        </w:rPr>
        <w:t>Figure 20: Image Location and layout of Gumtree Road Informal Settlement, Ethekwini, KZN.</w:t>
      </w:r>
      <w:r>
        <w:rPr>
          <w:noProof/>
        </w:rPr>
        <w:tab/>
      </w:r>
      <w:r>
        <w:rPr>
          <w:noProof/>
        </w:rPr>
        <w:fldChar w:fldCharType="begin"/>
      </w:r>
      <w:r>
        <w:rPr>
          <w:noProof/>
        </w:rPr>
        <w:instrText xml:space="preserve"> PAGEREF _Toc270945527 \h </w:instrText>
      </w:r>
      <w:r>
        <w:rPr>
          <w:noProof/>
        </w:rPr>
      </w:r>
      <w:r>
        <w:rPr>
          <w:noProof/>
        </w:rPr>
        <w:fldChar w:fldCharType="separate"/>
      </w:r>
      <w:r w:rsidR="00E9048A">
        <w:rPr>
          <w:noProof/>
        </w:rPr>
        <w:t>149</w:t>
      </w:r>
      <w:r>
        <w:rPr>
          <w:noProof/>
        </w:rPr>
        <w:fldChar w:fldCharType="end"/>
      </w:r>
    </w:p>
    <w:p w14:paraId="678C1024"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Pr>
          <w:noProof/>
        </w:rPr>
        <w:t>Figure 21: Image: Map indicating steepness of slope.</w:t>
      </w:r>
      <w:r>
        <w:rPr>
          <w:noProof/>
        </w:rPr>
        <w:tab/>
      </w:r>
      <w:r>
        <w:rPr>
          <w:noProof/>
        </w:rPr>
        <w:fldChar w:fldCharType="begin"/>
      </w:r>
      <w:r>
        <w:rPr>
          <w:noProof/>
        </w:rPr>
        <w:instrText xml:space="preserve"> PAGEREF _Toc270945528 \h </w:instrText>
      </w:r>
      <w:r>
        <w:rPr>
          <w:noProof/>
        </w:rPr>
      </w:r>
      <w:r>
        <w:rPr>
          <w:noProof/>
        </w:rPr>
        <w:fldChar w:fldCharType="separate"/>
      </w:r>
      <w:r w:rsidR="00E9048A">
        <w:rPr>
          <w:noProof/>
        </w:rPr>
        <w:t>150</w:t>
      </w:r>
      <w:r>
        <w:rPr>
          <w:noProof/>
        </w:rPr>
        <w:fldChar w:fldCharType="end"/>
      </w:r>
    </w:p>
    <w:p w14:paraId="03543549"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Pr>
          <w:noProof/>
        </w:rPr>
        <w:t>Figure 22: Percentages of households per income/month category (Source: StatsSA, 2011)</w:t>
      </w:r>
      <w:r>
        <w:rPr>
          <w:noProof/>
        </w:rPr>
        <w:tab/>
      </w:r>
      <w:r>
        <w:rPr>
          <w:noProof/>
        </w:rPr>
        <w:fldChar w:fldCharType="begin"/>
      </w:r>
      <w:r>
        <w:rPr>
          <w:noProof/>
        </w:rPr>
        <w:instrText xml:space="preserve"> PAGEREF _Toc270945529 \h </w:instrText>
      </w:r>
      <w:r>
        <w:rPr>
          <w:noProof/>
        </w:rPr>
      </w:r>
      <w:r>
        <w:rPr>
          <w:noProof/>
        </w:rPr>
        <w:fldChar w:fldCharType="separate"/>
      </w:r>
      <w:r w:rsidR="00E9048A">
        <w:rPr>
          <w:noProof/>
        </w:rPr>
        <w:t>152</w:t>
      </w:r>
      <w:r>
        <w:rPr>
          <w:noProof/>
        </w:rPr>
        <w:fldChar w:fldCharType="end"/>
      </w:r>
    </w:p>
    <w:p w14:paraId="508CDCD4"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Pr>
          <w:noProof/>
        </w:rPr>
        <w:t>Figure 23: Image: Levels of education within the settlement (Source: StatsSA, 2011)</w:t>
      </w:r>
      <w:r>
        <w:rPr>
          <w:noProof/>
        </w:rPr>
        <w:tab/>
      </w:r>
      <w:r>
        <w:rPr>
          <w:noProof/>
        </w:rPr>
        <w:fldChar w:fldCharType="begin"/>
      </w:r>
      <w:r>
        <w:rPr>
          <w:noProof/>
        </w:rPr>
        <w:instrText xml:space="preserve"> PAGEREF _Toc270945530 \h </w:instrText>
      </w:r>
      <w:r>
        <w:rPr>
          <w:noProof/>
        </w:rPr>
      </w:r>
      <w:r>
        <w:rPr>
          <w:noProof/>
        </w:rPr>
        <w:fldChar w:fldCharType="separate"/>
      </w:r>
      <w:r w:rsidR="00E9048A">
        <w:rPr>
          <w:noProof/>
        </w:rPr>
        <w:t>155</w:t>
      </w:r>
      <w:r>
        <w:rPr>
          <w:noProof/>
        </w:rPr>
        <w:fldChar w:fldCharType="end"/>
      </w:r>
    </w:p>
    <w:p w14:paraId="47008A68"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Pr>
          <w:noProof/>
        </w:rPr>
        <w:t>Figure 24: Image: Monthly household income (Source: StatsSA, 2011)</w:t>
      </w:r>
      <w:r>
        <w:rPr>
          <w:noProof/>
        </w:rPr>
        <w:tab/>
      </w:r>
      <w:r>
        <w:rPr>
          <w:noProof/>
        </w:rPr>
        <w:fldChar w:fldCharType="begin"/>
      </w:r>
      <w:r>
        <w:rPr>
          <w:noProof/>
        </w:rPr>
        <w:instrText xml:space="preserve"> PAGEREF _Toc270945531 \h </w:instrText>
      </w:r>
      <w:r>
        <w:rPr>
          <w:noProof/>
        </w:rPr>
      </w:r>
      <w:r>
        <w:rPr>
          <w:noProof/>
        </w:rPr>
        <w:fldChar w:fldCharType="separate"/>
      </w:r>
      <w:r w:rsidR="00E9048A">
        <w:rPr>
          <w:noProof/>
        </w:rPr>
        <w:t>155</w:t>
      </w:r>
      <w:r>
        <w:rPr>
          <w:noProof/>
        </w:rPr>
        <w:fldChar w:fldCharType="end"/>
      </w:r>
    </w:p>
    <w:p w14:paraId="7ACA9D02"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Pr>
          <w:noProof/>
        </w:rPr>
        <w:t>Figure 26: Image: Image of Alberton Station Informal Settlement (Source: SDI Report, 2009)</w:t>
      </w:r>
      <w:r>
        <w:rPr>
          <w:noProof/>
        </w:rPr>
        <w:tab/>
      </w:r>
      <w:r>
        <w:rPr>
          <w:noProof/>
        </w:rPr>
        <w:fldChar w:fldCharType="begin"/>
      </w:r>
      <w:r>
        <w:rPr>
          <w:noProof/>
        </w:rPr>
        <w:instrText xml:space="preserve"> PAGEREF _Toc270945532 \h </w:instrText>
      </w:r>
      <w:r>
        <w:rPr>
          <w:noProof/>
        </w:rPr>
      </w:r>
      <w:r>
        <w:rPr>
          <w:noProof/>
        </w:rPr>
        <w:fldChar w:fldCharType="separate"/>
      </w:r>
      <w:r w:rsidR="00E9048A">
        <w:rPr>
          <w:noProof/>
        </w:rPr>
        <w:t>159</w:t>
      </w:r>
      <w:r>
        <w:rPr>
          <w:noProof/>
        </w:rPr>
        <w:fldChar w:fldCharType="end"/>
      </w:r>
    </w:p>
    <w:p w14:paraId="49F63EC7"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Pr>
          <w:noProof/>
        </w:rPr>
        <w:t>Figure 27: Image: Lwazi settlement (Source: SDI website, 2011)</w:t>
      </w:r>
      <w:r>
        <w:rPr>
          <w:noProof/>
        </w:rPr>
        <w:tab/>
      </w:r>
      <w:r>
        <w:rPr>
          <w:noProof/>
        </w:rPr>
        <w:fldChar w:fldCharType="begin"/>
      </w:r>
      <w:r>
        <w:rPr>
          <w:noProof/>
        </w:rPr>
        <w:instrText xml:space="preserve"> PAGEREF _Toc270945533 \h </w:instrText>
      </w:r>
      <w:r>
        <w:rPr>
          <w:noProof/>
        </w:rPr>
      </w:r>
      <w:r>
        <w:rPr>
          <w:noProof/>
        </w:rPr>
        <w:fldChar w:fldCharType="separate"/>
      </w:r>
      <w:r w:rsidR="00E9048A">
        <w:rPr>
          <w:noProof/>
        </w:rPr>
        <w:t>161</w:t>
      </w:r>
      <w:r>
        <w:rPr>
          <w:noProof/>
        </w:rPr>
        <w:fldChar w:fldCharType="end"/>
      </w:r>
    </w:p>
    <w:p w14:paraId="06D32540" w14:textId="77777777" w:rsidR="007415F4" w:rsidRDefault="007415F4">
      <w:pPr>
        <w:pStyle w:val="TableofFigures"/>
        <w:tabs>
          <w:tab w:val="right" w:leader="dot" w:pos="9350"/>
        </w:tabs>
        <w:rPr>
          <w:rFonts w:eastAsiaTheme="minorEastAsia" w:cstheme="minorBidi"/>
          <w:smallCaps w:val="0"/>
          <w:noProof/>
          <w:sz w:val="24"/>
          <w:szCs w:val="24"/>
          <w:lang w:val="en-ZA" w:eastAsia="ja-JP"/>
        </w:rPr>
      </w:pPr>
      <w:r>
        <w:rPr>
          <w:noProof/>
        </w:rPr>
        <w:t>Figure 28: Image: Aerial photograph of Los Angeles Informal Settlement (Source: SDI Report, 2010)</w:t>
      </w:r>
      <w:r>
        <w:rPr>
          <w:noProof/>
        </w:rPr>
        <w:tab/>
      </w:r>
      <w:r>
        <w:rPr>
          <w:noProof/>
        </w:rPr>
        <w:fldChar w:fldCharType="begin"/>
      </w:r>
      <w:r>
        <w:rPr>
          <w:noProof/>
        </w:rPr>
        <w:instrText xml:space="preserve"> PAGEREF _Toc270945534 \h </w:instrText>
      </w:r>
      <w:r>
        <w:rPr>
          <w:noProof/>
        </w:rPr>
      </w:r>
      <w:r>
        <w:rPr>
          <w:noProof/>
        </w:rPr>
        <w:fldChar w:fldCharType="separate"/>
      </w:r>
      <w:r w:rsidR="00E9048A">
        <w:rPr>
          <w:noProof/>
        </w:rPr>
        <w:t>164</w:t>
      </w:r>
      <w:r>
        <w:rPr>
          <w:noProof/>
        </w:rPr>
        <w:fldChar w:fldCharType="end"/>
      </w:r>
    </w:p>
    <w:p w14:paraId="18C53B4D" w14:textId="77777777" w:rsidR="006E5C14" w:rsidRDefault="00DC584C" w:rsidP="002D3192">
      <w:pPr>
        <w:rPr>
          <w:szCs w:val="22"/>
        </w:rPr>
      </w:pPr>
      <w:r w:rsidRPr="00863E1F">
        <w:rPr>
          <w:szCs w:val="22"/>
        </w:rPr>
        <w:fldChar w:fldCharType="end"/>
      </w:r>
    </w:p>
    <w:p w14:paraId="53D78250" w14:textId="2BAA598C" w:rsidR="006E5C14" w:rsidRDefault="006E5C14" w:rsidP="002D3192">
      <w:pPr>
        <w:rPr>
          <w:szCs w:val="22"/>
        </w:rPr>
        <w:sectPr w:rsidR="006E5C14" w:rsidSect="00DC584C">
          <w:headerReference w:type="default" r:id="rId13"/>
          <w:footerReference w:type="default" r:id="rId14"/>
          <w:pgSz w:w="12240" w:h="15840" w:code="1"/>
          <w:pgMar w:top="1440" w:right="1440" w:bottom="1440" w:left="1440" w:header="851" w:footer="851" w:gutter="0"/>
          <w:pgNumType w:fmt="lowerRoman" w:start="1"/>
          <w:cols w:space="720"/>
          <w:docGrid w:linePitch="360"/>
        </w:sectPr>
      </w:pPr>
    </w:p>
    <w:p w14:paraId="1B69B5FF" w14:textId="0E582117" w:rsidR="001D590D" w:rsidRDefault="001D590D" w:rsidP="002D3192">
      <w:pPr>
        <w:rPr>
          <w:szCs w:val="22"/>
        </w:rPr>
      </w:pPr>
    </w:p>
    <w:p w14:paraId="12B2F64C" w14:textId="17B8DE61" w:rsidR="00EE7F92" w:rsidRDefault="00EE7F92" w:rsidP="007274A0">
      <w:pPr>
        <w:pStyle w:val="Heading1"/>
        <w:numPr>
          <w:ilvl w:val="0"/>
          <w:numId w:val="0"/>
        </w:numPr>
        <w:ind w:left="360" w:hanging="360"/>
      </w:pPr>
      <w:bookmarkStart w:id="7" w:name="_Toc261617557"/>
      <w:bookmarkStart w:id="8" w:name="_Toc262067773"/>
      <w:bookmarkStart w:id="9" w:name="_Toc270946007"/>
      <w:r w:rsidRPr="00EE7F92">
        <w:t>ACRONYMS</w:t>
      </w:r>
      <w:bookmarkEnd w:id="7"/>
      <w:bookmarkEnd w:id="8"/>
      <w:bookmarkEnd w:id="9"/>
    </w:p>
    <w:tbl>
      <w:tblPr>
        <w:tblStyle w:val="TableGrid"/>
        <w:tblW w:w="0" w:type="auto"/>
        <w:tblLook w:val="04A0" w:firstRow="1" w:lastRow="0" w:firstColumn="1" w:lastColumn="0" w:noHBand="0" w:noVBand="1"/>
      </w:tblPr>
      <w:tblGrid>
        <w:gridCol w:w="1526"/>
        <w:gridCol w:w="8050"/>
      </w:tblGrid>
      <w:tr w:rsidR="00B53E36" w14:paraId="22E7445C" w14:textId="77777777" w:rsidTr="00B53E36">
        <w:tc>
          <w:tcPr>
            <w:tcW w:w="1526" w:type="dxa"/>
          </w:tcPr>
          <w:p w14:paraId="70FC6DF0" w14:textId="77777777" w:rsidR="00B53E36" w:rsidRDefault="00B53E36" w:rsidP="00B53E36">
            <w:r>
              <w:t>CRO</w:t>
            </w:r>
          </w:p>
        </w:tc>
        <w:tc>
          <w:tcPr>
            <w:tcW w:w="8050" w:type="dxa"/>
          </w:tcPr>
          <w:p w14:paraId="1F127A37" w14:textId="5F19D493" w:rsidR="00B53E36" w:rsidRDefault="00B53E36" w:rsidP="00B53E36">
            <w:r>
              <w:t xml:space="preserve">Community Resource </w:t>
            </w:r>
            <w:r w:rsidR="008B47BF">
              <w:t>Organization</w:t>
            </w:r>
            <w:r>
              <w:t xml:space="preserve"> as specified in the EPHP </w:t>
            </w:r>
          </w:p>
        </w:tc>
      </w:tr>
      <w:tr w:rsidR="00B53E36" w14:paraId="6E67B751" w14:textId="77777777" w:rsidTr="00B53E36">
        <w:tc>
          <w:tcPr>
            <w:tcW w:w="1526" w:type="dxa"/>
          </w:tcPr>
          <w:p w14:paraId="1D362FA0" w14:textId="77777777" w:rsidR="00B53E36" w:rsidRDefault="00B53E36" w:rsidP="00B53E36">
            <w:r>
              <w:t>EPHP</w:t>
            </w:r>
          </w:p>
        </w:tc>
        <w:tc>
          <w:tcPr>
            <w:tcW w:w="8050" w:type="dxa"/>
          </w:tcPr>
          <w:p w14:paraId="42CDDB6D" w14:textId="77777777" w:rsidR="00B53E36" w:rsidRDefault="00B53E36" w:rsidP="00B53E36">
            <w:r>
              <w:t>Enhanced Peoples Housing Process</w:t>
            </w:r>
          </w:p>
        </w:tc>
      </w:tr>
      <w:tr w:rsidR="00B53E36" w14:paraId="07FC9066" w14:textId="77777777" w:rsidTr="00B53E36">
        <w:tc>
          <w:tcPr>
            <w:tcW w:w="1526" w:type="dxa"/>
          </w:tcPr>
          <w:p w14:paraId="1BF08CA6" w14:textId="77777777" w:rsidR="00B53E36" w:rsidRDefault="00B53E36" w:rsidP="00B53E36">
            <w:r>
              <w:t>HSC</w:t>
            </w:r>
          </w:p>
        </w:tc>
        <w:tc>
          <w:tcPr>
            <w:tcW w:w="8050" w:type="dxa"/>
          </w:tcPr>
          <w:p w14:paraId="76507745" w14:textId="77777777" w:rsidR="00B53E36" w:rsidRDefault="00B53E36" w:rsidP="00B53E36">
            <w:r>
              <w:t>Housing Support Centre</w:t>
            </w:r>
          </w:p>
        </w:tc>
      </w:tr>
      <w:tr w:rsidR="00B53E36" w14:paraId="48CD29E1" w14:textId="77777777" w:rsidTr="00B53E36">
        <w:tc>
          <w:tcPr>
            <w:tcW w:w="1526" w:type="dxa"/>
          </w:tcPr>
          <w:p w14:paraId="7F3C55F8" w14:textId="77777777" w:rsidR="00B53E36" w:rsidRDefault="00B53E36" w:rsidP="00B53E36">
            <w:r>
              <w:t>IA</w:t>
            </w:r>
          </w:p>
        </w:tc>
        <w:tc>
          <w:tcPr>
            <w:tcW w:w="8050" w:type="dxa"/>
          </w:tcPr>
          <w:p w14:paraId="48BAFEC8" w14:textId="77777777" w:rsidR="00B53E36" w:rsidRDefault="00B53E36" w:rsidP="00B53E36">
            <w:r>
              <w:t>Implementing Agent</w:t>
            </w:r>
          </w:p>
        </w:tc>
      </w:tr>
      <w:tr w:rsidR="00B53E36" w14:paraId="1F279D21" w14:textId="77777777" w:rsidTr="00B53E36">
        <w:tc>
          <w:tcPr>
            <w:tcW w:w="1526" w:type="dxa"/>
          </w:tcPr>
          <w:p w14:paraId="01CC73CF" w14:textId="77777777" w:rsidR="00B53E36" w:rsidRDefault="00B53E36" w:rsidP="00B53E36">
            <w:r>
              <w:t>IRHVP</w:t>
            </w:r>
          </w:p>
        </w:tc>
        <w:tc>
          <w:tcPr>
            <w:tcW w:w="8050" w:type="dxa"/>
          </w:tcPr>
          <w:p w14:paraId="1B83823A" w14:textId="77777777" w:rsidR="00B53E36" w:rsidRDefault="00B53E36" w:rsidP="00B53E36">
            <w:r>
              <w:t>Individual Rural Housing Vouched Programme</w:t>
            </w:r>
          </w:p>
        </w:tc>
      </w:tr>
      <w:tr w:rsidR="00B53E36" w14:paraId="22FBBCEB" w14:textId="77777777" w:rsidTr="00B53E36">
        <w:tc>
          <w:tcPr>
            <w:tcW w:w="1526" w:type="dxa"/>
          </w:tcPr>
          <w:p w14:paraId="4DC3ABFE" w14:textId="77777777" w:rsidR="00B53E36" w:rsidRDefault="00B53E36" w:rsidP="00B53E36">
            <w:r>
              <w:t>IRDP</w:t>
            </w:r>
          </w:p>
        </w:tc>
        <w:tc>
          <w:tcPr>
            <w:tcW w:w="8050" w:type="dxa"/>
          </w:tcPr>
          <w:p w14:paraId="66AA012B" w14:textId="77777777" w:rsidR="00B53E36" w:rsidRDefault="00B53E36" w:rsidP="00B53E36">
            <w:r>
              <w:t xml:space="preserve">Integrated Residential Development Programme </w:t>
            </w:r>
          </w:p>
        </w:tc>
      </w:tr>
      <w:tr w:rsidR="00B53E36" w14:paraId="06573D44" w14:textId="77777777" w:rsidTr="00B53E36">
        <w:tc>
          <w:tcPr>
            <w:tcW w:w="1526" w:type="dxa"/>
          </w:tcPr>
          <w:p w14:paraId="2E8B453C" w14:textId="77777777" w:rsidR="00B53E36" w:rsidRDefault="00B53E36" w:rsidP="00B53E36">
            <w:r>
              <w:t>IDT</w:t>
            </w:r>
          </w:p>
        </w:tc>
        <w:tc>
          <w:tcPr>
            <w:tcW w:w="8050" w:type="dxa"/>
          </w:tcPr>
          <w:p w14:paraId="2FEBDBAD" w14:textId="77777777" w:rsidR="00B53E36" w:rsidRDefault="00B53E36" w:rsidP="00B53E36">
            <w:r>
              <w:t xml:space="preserve">Independent Development Trust </w:t>
            </w:r>
          </w:p>
        </w:tc>
      </w:tr>
      <w:tr w:rsidR="00B53E36" w14:paraId="5DB545EF" w14:textId="77777777" w:rsidTr="00B53E36">
        <w:tc>
          <w:tcPr>
            <w:tcW w:w="1526" w:type="dxa"/>
          </w:tcPr>
          <w:p w14:paraId="5BD5FCC5" w14:textId="77777777" w:rsidR="00B53E36" w:rsidRDefault="00B53E36" w:rsidP="00B53E36">
            <w:r>
              <w:t>ISU</w:t>
            </w:r>
          </w:p>
        </w:tc>
        <w:tc>
          <w:tcPr>
            <w:tcW w:w="8050" w:type="dxa"/>
          </w:tcPr>
          <w:p w14:paraId="3B4EEBB5" w14:textId="77777777" w:rsidR="00B53E36" w:rsidRDefault="00B53E36" w:rsidP="00B53E36">
            <w:r>
              <w:t xml:space="preserve">Informal Settlement Upgrading </w:t>
            </w:r>
          </w:p>
        </w:tc>
      </w:tr>
      <w:tr w:rsidR="00B53E36" w14:paraId="47FCB414" w14:textId="77777777" w:rsidTr="00B53E36">
        <w:tc>
          <w:tcPr>
            <w:tcW w:w="1526" w:type="dxa"/>
          </w:tcPr>
          <w:p w14:paraId="0E48D119" w14:textId="77777777" w:rsidR="00B53E36" w:rsidRDefault="00B53E36" w:rsidP="00B53E36">
            <w:r>
              <w:t>LED</w:t>
            </w:r>
          </w:p>
        </w:tc>
        <w:tc>
          <w:tcPr>
            <w:tcW w:w="8050" w:type="dxa"/>
          </w:tcPr>
          <w:p w14:paraId="1A8A5572" w14:textId="77777777" w:rsidR="00B53E36" w:rsidRDefault="00B53E36" w:rsidP="00B53E36">
            <w:r>
              <w:t xml:space="preserve">Local Economic Development </w:t>
            </w:r>
          </w:p>
        </w:tc>
      </w:tr>
      <w:tr w:rsidR="00B53E36" w14:paraId="1A4D48A2" w14:textId="77777777" w:rsidTr="00B53E36">
        <w:tc>
          <w:tcPr>
            <w:tcW w:w="1526" w:type="dxa"/>
          </w:tcPr>
          <w:p w14:paraId="44954FE9" w14:textId="77777777" w:rsidR="00B53E36" w:rsidRDefault="00B53E36" w:rsidP="00B53E36">
            <w:r>
              <w:t>NHBRC</w:t>
            </w:r>
          </w:p>
        </w:tc>
        <w:tc>
          <w:tcPr>
            <w:tcW w:w="8050" w:type="dxa"/>
          </w:tcPr>
          <w:p w14:paraId="2F278605" w14:textId="77777777" w:rsidR="00B53E36" w:rsidRDefault="00B53E36" w:rsidP="00B53E36">
            <w:r>
              <w:t>National Home Builders Registration Council</w:t>
            </w:r>
          </w:p>
        </w:tc>
      </w:tr>
      <w:tr w:rsidR="00B53E36" w14:paraId="5402F484" w14:textId="77777777" w:rsidTr="00B53E36">
        <w:tc>
          <w:tcPr>
            <w:tcW w:w="1526" w:type="dxa"/>
          </w:tcPr>
          <w:p w14:paraId="21E82806" w14:textId="77777777" w:rsidR="00B53E36" w:rsidRDefault="00B53E36" w:rsidP="00B53E36">
            <w:r>
              <w:t>NUSP</w:t>
            </w:r>
          </w:p>
        </w:tc>
        <w:tc>
          <w:tcPr>
            <w:tcW w:w="8050" w:type="dxa"/>
          </w:tcPr>
          <w:p w14:paraId="6254385B" w14:textId="77777777" w:rsidR="00B53E36" w:rsidRDefault="00B53E36" w:rsidP="00B53E36">
            <w:r>
              <w:t>National Upgrading Support Programme</w:t>
            </w:r>
          </w:p>
        </w:tc>
      </w:tr>
      <w:tr w:rsidR="00B53E36" w14:paraId="61ED49A8" w14:textId="77777777" w:rsidTr="00B53E36">
        <w:tc>
          <w:tcPr>
            <w:tcW w:w="1526" w:type="dxa"/>
          </w:tcPr>
          <w:p w14:paraId="106B56A7" w14:textId="77777777" w:rsidR="00B53E36" w:rsidRDefault="00B53E36" w:rsidP="00B53E36">
            <w:r>
              <w:t>SEDA</w:t>
            </w:r>
          </w:p>
        </w:tc>
        <w:tc>
          <w:tcPr>
            <w:tcW w:w="8050" w:type="dxa"/>
          </w:tcPr>
          <w:p w14:paraId="00E81153" w14:textId="77777777" w:rsidR="00B53E36" w:rsidRDefault="00B53E36" w:rsidP="00B53E36">
            <w:r>
              <w:t>Small Enterprise Development Agency</w:t>
            </w:r>
          </w:p>
        </w:tc>
      </w:tr>
      <w:tr w:rsidR="00B53E36" w14:paraId="767F4019" w14:textId="77777777" w:rsidTr="00B53E36">
        <w:tc>
          <w:tcPr>
            <w:tcW w:w="1526" w:type="dxa"/>
          </w:tcPr>
          <w:p w14:paraId="672FAE30" w14:textId="77777777" w:rsidR="00B53E36" w:rsidRDefault="00B53E36" w:rsidP="00B53E36">
            <w:r>
              <w:t>SETA</w:t>
            </w:r>
          </w:p>
        </w:tc>
        <w:tc>
          <w:tcPr>
            <w:tcW w:w="8050" w:type="dxa"/>
          </w:tcPr>
          <w:p w14:paraId="2B3A4BEB" w14:textId="77777777" w:rsidR="00B53E36" w:rsidRDefault="00B53E36" w:rsidP="00B53E36">
            <w:r>
              <w:t xml:space="preserve">Sector Education and Training Authority </w:t>
            </w:r>
          </w:p>
        </w:tc>
      </w:tr>
      <w:tr w:rsidR="00B53E36" w14:paraId="7CC180ED" w14:textId="77777777" w:rsidTr="00B53E36">
        <w:tc>
          <w:tcPr>
            <w:tcW w:w="1526" w:type="dxa"/>
          </w:tcPr>
          <w:p w14:paraId="0ACAF519" w14:textId="77777777" w:rsidR="00B53E36" w:rsidRDefault="00B53E36" w:rsidP="00B53E36">
            <w:r>
              <w:t>TRA</w:t>
            </w:r>
          </w:p>
        </w:tc>
        <w:tc>
          <w:tcPr>
            <w:tcW w:w="8050" w:type="dxa"/>
          </w:tcPr>
          <w:p w14:paraId="272976DB" w14:textId="77777777" w:rsidR="00B53E36" w:rsidRDefault="00B53E36" w:rsidP="00B53E36">
            <w:r>
              <w:t>Transitional Residential Area</w:t>
            </w:r>
          </w:p>
        </w:tc>
      </w:tr>
      <w:tr w:rsidR="00B53E36" w14:paraId="0BB2138E" w14:textId="77777777" w:rsidTr="00B53E36">
        <w:tc>
          <w:tcPr>
            <w:tcW w:w="1526" w:type="dxa"/>
          </w:tcPr>
          <w:p w14:paraId="267C0E58" w14:textId="77777777" w:rsidR="00B53E36" w:rsidRDefault="00B53E36" w:rsidP="00B53E36">
            <w:r>
              <w:t>TA</w:t>
            </w:r>
          </w:p>
        </w:tc>
        <w:tc>
          <w:tcPr>
            <w:tcW w:w="8050" w:type="dxa"/>
          </w:tcPr>
          <w:p w14:paraId="003EFE65" w14:textId="77777777" w:rsidR="00B53E36" w:rsidRDefault="00B53E36" w:rsidP="00B53E36">
            <w:r>
              <w:t>Technical Assistance</w:t>
            </w:r>
          </w:p>
        </w:tc>
      </w:tr>
      <w:tr w:rsidR="00B53E36" w14:paraId="78F9E447" w14:textId="77777777" w:rsidTr="00B53E36">
        <w:tc>
          <w:tcPr>
            <w:tcW w:w="1526" w:type="dxa"/>
          </w:tcPr>
          <w:p w14:paraId="49A4DE2B" w14:textId="77777777" w:rsidR="00B53E36" w:rsidRDefault="00B53E36" w:rsidP="00B53E36">
            <w:r>
              <w:t xml:space="preserve">NPC </w:t>
            </w:r>
          </w:p>
        </w:tc>
        <w:tc>
          <w:tcPr>
            <w:tcW w:w="8050" w:type="dxa"/>
          </w:tcPr>
          <w:p w14:paraId="54EBE696" w14:textId="77777777" w:rsidR="00B53E36" w:rsidRDefault="00B53E36" w:rsidP="00B53E36">
            <w:r>
              <w:t xml:space="preserve">National Planning Commission </w:t>
            </w:r>
          </w:p>
        </w:tc>
      </w:tr>
      <w:tr w:rsidR="00B53E36" w14:paraId="49B03488" w14:textId="77777777" w:rsidTr="00B53E36">
        <w:tc>
          <w:tcPr>
            <w:tcW w:w="1526" w:type="dxa"/>
          </w:tcPr>
          <w:p w14:paraId="25B76531" w14:textId="77777777" w:rsidR="00B53E36" w:rsidRDefault="00B53E36" w:rsidP="00B53E36">
            <w:r>
              <w:t>HDA</w:t>
            </w:r>
          </w:p>
        </w:tc>
        <w:tc>
          <w:tcPr>
            <w:tcW w:w="8050" w:type="dxa"/>
          </w:tcPr>
          <w:p w14:paraId="07B1C3C6" w14:textId="77777777" w:rsidR="00B53E36" w:rsidRDefault="00B53E36" w:rsidP="00B53E36">
            <w:r>
              <w:t xml:space="preserve">Housing Development Agency </w:t>
            </w:r>
          </w:p>
        </w:tc>
      </w:tr>
      <w:tr w:rsidR="00B53E36" w14:paraId="5663B690" w14:textId="77777777" w:rsidTr="00B53E36">
        <w:tc>
          <w:tcPr>
            <w:tcW w:w="1526" w:type="dxa"/>
          </w:tcPr>
          <w:p w14:paraId="07DC28B1" w14:textId="77777777" w:rsidR="00B53E36" w:rsidRDefault="00B53E36" w:rsidP="00B53E36">
            <w:r>
              <w:t>MFMA</w:t>
            </w:r>
          </w:p>
        </w:tc>
        <w:tc>
          <w:tcPr>
            <w:tcW w:w="8050" w:type="dxa"/>
          </w:tcPr>
          <w:p w14:paraId="2411B544" w14:textId="77777777" w:rsidR="00B53E36" w:rsidRDefault="00B53E36" w:rsidP="00B53E36">
            <w:r>
              <w:t>Municipal Finance Management Act</w:t>
            </w:r>
          </w:p>
        </w:tc>
      </w:tr>
      <w:tr w:rsidR="00B53E36" w14:paraId="293E148B" w14:textId="77777777" w:rsidTr="00B53E36">
        <w:tc>
          <w:tcPr>
            <w:tcW w:w="1526" w:type="dxa"/>
          </w:tcPr>
          <w:p w14:paraId="4A5F8961" w14:textId="77777777" w:rsidR="00B53E36" w:rsidRDefault="00B53E36" w:rsidP="00B53E36">
            <w:r>
              <w:t>NDP</w:t>
            </w:r>
          </w:p>
        </w:tc>
        <w:tc>
          <w:tcPr>
            <w:tcW w:w="8050" w:type="dxa"/>
          </w:tcPr>
          <w:p w14:paraId="4E262AA0" w14:textId="77777777" w:rsidR="00B53E36" w:rsidRDefault="00B53E36" w:rsidP="00B53E36">
            <w:r>
              <w:t>National Development Plan</w:t>
            </w:r>
          </w:p>
        </w:tc>
      </w:tr>
      <w:tr w:rsidR="00B53E36" w14:paraId="1577AD93" w14:textId="77777777" w:rsidTr="00B53E36">
        <w:tc>
          <w:tcPr>
            <w:tcW w:w="1526" w:type="dxa"/>
          </w:tcPr>
          <w:p w14:paraId="4DA6D8DC" w14:textId="77777777" w:rsidR="00B53E36" w:rsidRDefault="00B53E36" w:rsidP="00B53E36">
            <w:r>
              <w:t>NBR’s</w:t>
            </w:r>
          </w:p>
        </w:tc>
        <w:tc>
          <w:tcPr>
            <w:tcW w:w="8050" w:type="dxa"/>
          </w:tcPr>
          <w:p w14:paraId="14DA4AE3" w14:textId="77777777" w:rsidR="00B53E36" w:rsidRDefault="00B53E36" w:rsidP="00B53E36">
            <w:r>
              <w:t xml:space="preserve">National Building Regulations </w:t>
            </w:r>
          </w:p>
        </w:tc>
      </w:tr>
      <w:tr w:rsidR="00B53E36" w14:paraId="3F849A6F" w14:textId="77777777" w:rsidTr="00B53E36">
        <w:tc>
          <w:tcPr>
            <w:tcW w:w="1526" w:type="dxa"/>
          </w:tcPr>
          <w:p w14:paraId="2B4AA257" w14:textId="77777777" w:rsidR="00B53E36" w:rsidRDefault="00B53E36" w:rsidP="00B53E36">
            <w:r>
              <w:t>NHBRC</w:t>
            </w:r>
          </w:p>
        </w:tc>
        <w:tc>
          <w:tcPr>
            <w:tcW w:w="8050" w:type="dxa"/>
          </w:tcPr>
          <w:p w14:paraId="6942B773" w14:textId="77777777" w:rsidR="00B53E36" w:rsidRDefault="00B53E36" w:rsidP="00B53E36">
            <w:r>
              <w:t>National Home Builders Registration Council</w:t>
            </w:r>
          </w:p>
        </w:tc>
      </w:tr>
      <w:tr w:rsidR="00B53E36" w14:paraId="6F06893F" w14:textId="77777777" w:rsidTr="00B53E36">
        <w:tc>
          <w:tcPr>
            <w:tcW w:w="1526" w:type="dxa"/>
          </w:tcPr>
          <w:p w14:paraId="5D255E21" w14:textId="77777777" w:rsidR="00B53E36" w:rsidRDefault="00B53E36" w:rsidP="00B53E36">
            <w:r>
              <w:t>PFMA</w:t>
            </w:r>
          </w:p>
        </w:tc>
        <w:tc>
          <w:tcPr>
            <w:tcW w:w="8050" w:type="dxa"/>
          </w:tcPr>
          <w:p w14:paraId="7D98EE9A" w14:textId="77777777" w:rsidR="00B53E36" w:rsidRDefault="00B53E36" w:rsidP="00B53E36">
            <w:r>
              <w:t>Public Finance Management Act</w:t>
            </w:r>
          </w:p>
        </w:tc>
      </w:tr>
      <w:tr w:rsidR="00B53E36" w14:paraId="094325AD" w14:textId="77777777" w:rsidTr="00B53E36">
        <w:tc>
          <w:tcPr>
            <w:tcW w:w="1526" w:type="dxa"/>
          </w:tcPr>
          <w:p w14:paraId="68CC271A" w14:textId="77777777" w:rsidR="00B53E36" w:rsidRDefault="00B53E36" w:rsidP="00B53E36">
            <w:r>
              <w:t>PD</w:t>
            </w:r>
          </w:p>
        </w:tc>
        <w:tc>
          <w:tcPr>
            <w:tcW w:w="8050" w:type="dxa"/>
          </w:tcPr>
          <w:p w14:paraId="7B04FBF7" w14:textId="77777777" w:rsidR="00B53E36" w:rsidRDefault="00B53E36" w:rsidP="00B53E36">
            <w:r>
              <w:t xml:space="preserve">Provincial Department of Human Settlements </w:t>
            </w:r>
          </w:p>
        </w:tc>
      </w:tr>
      <w:tr w:rsidR="00B53E36" w14:paraId="6B817E60" w14:textId="77777777" w:rsidTr="00B53E36">
        <w:tc>
          <w:tcPr>
            <w:tcW w:w="1526" w:type="dxa"/>
          </w:tcPr>
          <w:p w14:paraId="70090362" w14:textId="77777777" w:rsidR="00B53E36" w:rsidRDefault="00B53E36" w:rsidP="00B53E36">
            <w:r>
              <w:t xml:space="preserve">USDG </w:t>
            </w:r>
          </w:p>
        </w:tc>
        <w:tc>
          <w:tcPr>
            <w:tcW w:w="8050" w:type="dxa"/>
          </w:tcPr>
          <w:p w14:paraId="24D3C6E1" w14:textId="77777777" w:rsidR="00B53E36" w:rsidRDefault="00B53E36" w:rsidP="00B53E36">
            <w:r>
              <w:t>Urban Services Development Grant</w:t>
            </w:r>
          </w:p>
        </w:tc>
      </w:tr>
      <w:tr w:rsidR="00B53E36" w14:paraId="7D97563E" w14:textId="77777777" w:rsidTr="00B53E36">
        <w:tc>
          <w:tcPr>
            <w:tcW w:w="1526" w:type="dxa"/>
          </w:tcPr>
          <w:p w14:paraId="61DA2481" w14:textId="77777777" w:rsidR="00B53E36" w:rsidRDefault="00B53E36" w:rsidP="00B53E36">
            <w:r>
              <w:t>UISP</w:t>
            </w:r>
          </w:p>
        </w:tc>
        <w:tc>
          <w:tcPr>
            <w:tcW w:w="8050" w:type="dxa"/>
          </w:tcPr>
          <w:p w14:paraId="08B75DD4" w14:textId="77777777" w:rsidR="00B53E36" w:rsidRDefault="00B53E36" w:rsidP="00B53E36">
            <w:r>
              <w:t xml:space="preserve">Upgrading of Informal Settlements Programme </w:t>
            </w:r>
          </w:p>
        </w:tc>
      </w:tr>
    </w:tbl>
    <w:p w14:paraId="06170C29" w14:textId="77777777" w:rsidR="00B53E36" w:rsidRPr="00B53E36" w:rsidRDefault="00B53E36" w:rsidP="00B53E36"/>
    <w:p w14:paraId="46BE2692" w14:textId="77777777" w:rsidR="00EE7F92" w:rsidRDefault="00EE7F92" w:rsidP="00EE7F92"/>
    <w:p w14:paraId="65AEE053" w14:textId="77777777" w:rsidR="00FA7DF5" w:rsidRDefault="00FA7DF5" w:rsidP="00EE7F92"/>
    <w:p w14:paraId="00E0B9BB" w14:textId="77777777" w:rsidR="00FA7DF5" w:rsidRDefault="00FA7DF5" w:rsidP="00EE7F92"/>
    <w:p w14:paraId="4841EBC9" w14:textId="77777777" w:rsidR="00FA7DF5" w:rsidRDefault="00FA7DF5" w:rsidP="00EE7F92"/>
    <w:p w14:paraId="23FF6859" w14:textId="77777777" w:rsidR="00FA7DF5" w:rsidRDefault="00FA7DF5" w:rsidP="00EE7F92"/>
    <w:p w14:paraId="07DA843C" w14:textId="3BF541D6" w:rsidR="00EE7F92" w:rsidRPr="00EE7F92" w:rsidRDefault="00EE7F92" w:rsidP="00EE7F92">
      <w:pPr>
        <w:sectPr w:rsidR="00EE7F92" w:rsidRPr="00EE7F92" w:rsidSect="00DC584C">
          <w:pgSz w:w="12240" w:h="15840" w:code="1"/>
          <w:pgMar w:top="1440" w:right="1440" w:bottom="1440" w:left="1440" w:header="851" w:footer="851" w:gutter="0"/>
          <w:pgNumType w:fmt="lowerRoman"/>
          <w:cols w:space="720"/>
          <w:docGrid w:linePitch="360"/>
        </w:sectPr>
      </w:pPr>
    </w:p>
    <w:p w14:paraId="3CDBC2EF" w14:textId="4CDE5E6E" w:rsidR="00260F40" w:rsidRDefault="0014429F" w:rsidP="005C077C">
      <w:pPr>
        <w:pStyle w:val="Heading1"/>
      </w:pPr>
      <w:bookmarkStart w:id="10" w:name="_Toc262067774"/>
      <w:bookmarkStart w:id="11" w:name="_Toc270946008"/>
      <w:r w:rsidRPr="005C077C">
        <w:lastRenderedPageBreak/>
        <w:t>I</w:t>
      </w:r>
      <w:r w:rsidR="003B0578" w:rsidRPr="005C077C">
        <w:t>ntroduction</w:t>
      </w:r>
      <w:bookmarkEnd w:id="10"/>
      <w:bookmarkEnd w:id="11"/>
    </w:p>
    <w:p w14:paraId="489B8B01" w14:textId="549CDF1F" w:rsidR="00B53E36" w:rsidRDefault="00B53E36" w:rsidP="00B53E36">
      <w:pPr>
        <w:autoSpaceDE w:val="0"/>
        <w:autoSpaceDN w:val="0"/>
        <w:adjustRightInd w:val="0"/>
        <w:spacing w:line="360" w:lineRule="auto"/>
      </w:pPr>
      <w:r w:rsidRPr="00526BF5">
        <w:t>This report contains the results of an assignment focussing on the promotion of housing consolidation within shack settlement upgrading in S</w:t>
      </w:r>
      <w:r w:rsidR="00DE5F82">
        <w:t>outh Africa</w:t>
      </w:r>
      <w:r w:rsidR="008B08C9">
        <w:t>,</w:t>
      </w:r>
      <w:r w:rsidRPr="00526BF5">
        <w:t xml:space="preserve"> undertaken for the World Bank’s Multi-Donor Trust Fund (MDTF) in support of the National Upgrading Support Programme and the National Treasury</w:t>
      </w:r>
      <w:r w:rsidR="00DE5F82">
        <w:t xml:space="preserve">’s </w:t>
      </w:r>
      <w:r w:rsidRPr="00526BF5">
        <w:t>Cities Support Programme (CSP).</w:t>
      </w:r>
    </w:p>
    <w:p w14:paraId="123091A3" w14:textId="77777777" w:rsidR="00B53E36" w:rsidRDefault="00B53E36" w:rsidP="00540DD7">
      <w:pPr>
        <w:pStyle w:val="Heading2"/>
      </w:pPr>
      <w:bookmarkStart w:id="12" w:name="_Toc270946009"/>
      <w:r>
        <w:t>Background</w:t>
      </w:r>
      <w:bookmarkEnd w:id="12"/>
      <w:r>
        <w:t xml:space="preserve"> </w:t>
      </w:r>
    </w:p>
    <w:p w14:paraId="1643C21A" w14:textId="77777777" w:rsidR="00DE5F82" w:rsidRDefault="00B53E36" w:rsidP="00B53E36">
      <w:pPr>
        <w:autoSpaceDE w:val="0"/>
        <w:autoSpaceDN w:val="0"/>
        <w:adjustRightInd w:val="0"/>
        <w:spacing w:line="360" w:lineRule="auto"/>
      </w:pPr>
      <w:r w:rsidRPr="00DA3887">
        <w:rPr>
          <w:highlight w:val="yellow"/>
        </w:rPr>
        <w:t>The S</w:t>
      </w:r>
      <w:r w:rsidR="0047631F" w:rsidRPr="00DA3887">
        <w:rPr>
          <w:highlight w:val="yellow"/>
        </w:rPr>
        <w:t xml:space="preserve">outh </w:t>
      </w:r>
      <w:r w:rsidRPr="00DA3887">
        <w:rPr>
          <w:highlight w:val="yellow"/>
        </w:rPr>
        <w:t>A</w:t>
      </w:r>
      <w:r w:rsidR="0047631F" w:rsidRPr="00DA3887">
        <w:rPr>
          <w:highlight w:val="yellow"/>
        </w:rPr>
        <w:t>frican</w:t>
      </w:r>
      <w:r w:rsidRPr="00DA3887">
        <w:rPr>
          <w:highlight w:val="yellow"/>
        </w:rPr>
        <w:t xml:space="preserve"> National Government has</w:t>
      </w:r>
      <w:r w:rsidR="0047631F" w:rsidRPr="00DA3887">
        <w:rPr>
          <w:highlight w:val="yellow"/>
        </w:rPr>
        <w:t xml:space="preserve"> </w:t>
      </w:r>
      <w:r w:rsidRPr="00DA3887">
        <w:rPr>
          <w:highlight w:val="yellow"/>
        </w:rPr>
        <w:t>set development outcomes in key sectors for the period 2010-2014</w:t>
      </w:r>
      <w:r w:rsidR="00DE5F82" w:rsidRPr="00DA3887">
        <w:rPr>
          <w:highlight w:val="yellow"/>
        </w:rPr>
        <w:t xml:space="preserve">. These include </w:t>
      </w:r>
      <w:r w:rsidRPr="00DA3887">
        <w:rPr>
          <w:highlight w:val="yellow"/>
        </w:rPr>
        <w:t>the provision of basic services and tenure to 400 000 households in well-located informal settlements</w:t>
      </w:r>
      <w:r w:rsidR="00DE5F82" w:rsidRPr="00DA3887">
        <w:rPr>
          <w:highlight w:val="yellow"/>
        </w:rPr>
        <w:t>.</w:t>
      </w:r>
      <w:r w:rsidR="00DE5F82">
        <w:t xml:space="preserve"> This goal equates to approximately </w:t>
      </w:r>
      <w:r w:rsidRPr="00526BF5">
        <w:t>3</w:t>
      </w:r>
      <w:r w:rsidR="00DE5F82">
        <w:t>3</w:t>
      </w:r>
      <w:r w:rsidRPr="00526BF5">
        <w:t>% of the estimated 1.2 million households currently living in informal settlements</w:t>
      </w:r>
      <w:r w:rsidR="00DE5F82">
        <w:t>, which indicates</w:t>
      </w:r>
      <w:r w:rsidR="0047631F">
        <w:t xml:space="preserve"> the </w:t>
      </w:r>
      <w:r w:rsidR="00733FA6" w:rsidRPr="00DA3887">
        <w:rPr>
          <w:highlight w:val="yellow"/>
        </w:rPr>
        <w:t>attention that government is increasingly putting onto incremental approaches to informal settlement upgrading.</w:t>
      </w:r>
      <w:r w:rsidR="00733FA6">
        <w:t xml:space="preserve"> </w:t>
      </w:r>
    </w:p>
    <w:p w14:paraId="07B16993" w14:textId="37337EDA" w:rsidR="00B53E36" w:rsidRPr="00526BF5" w:rsidRDefault="00B53E36" w:rsidP="00B53E36">
      <w:pPr>
        <w:autoSpaceDE w:val="0"/>
        <w:autoSpaceDN w:val="0"/>
        <w:adjustRightInd w:val="0"/>
        <w:spacing w:line="360" w:lineRule="auto"/>
      </w:pPr>
      <w:r w:rsidRPr="00526BF5">
        <w:t>Th</w:t>
      </w:r>
      <w:r w:rsidR="00733FA6">
        <w:t>is</w:t>
      </w:r>
      <w:r w:rsidRPr="00526BF5">
        <w:t xml:space="preserve"> increasing emphasis on incremental upgrading of informal settlements</w:t>
      </w:r>
      <w:r w:rsidR="00733FA6">
        <w:t xml:space="preserve"> also</w:t>
      </w:r>
      <w:r w:rsidRPr="00526BF5">
        <w:t xml:space="preserve"> tests the effectiveness of existing government subsidy instruments</w:t>
      </w:r>
      <w:r w:rsidR="00DE5F82">
        <w:t>, implementation approaches</w:t>
      </w:r>
      <w:r w:rsidRPr="00526BF5">
        <w:t xml:space="preserve"> and finance flows. The National Department of Human Settlements (NDHS) needs to find ways to improve </w:t>
      </w:r>
      <w:r w:rsidR="00DE5F82">
        <w:t>the</w:t>
      </w:r>
      <w:r w:rsidRPr="00526BF5">
        <w:t xml:space="preserve"> integrat</w:t>
      </w:r>
      <w:r w:rsidR="00DE5F82">
        <w:t>ion of</w:t>
      </w:r>
      <w:r w:rsidRPr="00526BF5">
        <w:t xml:space="preserve"> community and household savings, housing finance and </w:t>
      </w:r>
      <w:r w:rsidR="00DE5F82">
        <w:t xml:space="preserve">sources of </w:t>
      </w:r>
      <w:r w:rsidRPr="00526BF5">
        <w:t xml:space="preserve">credit to achieve the provision of incremental housing at scale. It </w:t>
      </w:r>
      <w:r w:rsidR="00DE5F82">
        <w:t>must also</w:t>
      </w:r>
      <w:r w:rsidRPr="00526BF5">
        <w:t xml:space="preserve"> build on its current review of the state subsidy mechanisms to ensure that, where necessary, they support the incremental provision of housing.</w:t>
      </w:r>
    </w:p>
    <w:p w14:paraId="3C2BE8CC" w14:textId="4D963C0C" w:rsidR="00B53E36" w:rsidRDefault="00B53E36" w:rsidP="00540DD7">
      <w:pPr>
        <w:pStyle w:val="Heading2"/>
      </w:pPr>
      <w:bookmarkStart w:id="13" w:name="_Toc377124055"/>
      <w:bookmarkStart w:id="14" w:name="_Toc270946010"/>
      <w:r>
        <w:t>Objective</w:t>
      </w:r>
      <w:r w:rsidR="00DE5F82">
        <w:t>s</w:t>
      </w:r>
      <w:r>
        <w:t xml:space="preserve"> of the assignment</w:t>
      </w:r>
      <w:bookmarkEnd w:id="13"/>
      <w:bookmarkEnd w:id="14"/>
      <w:r>
        <w:t xml:space="preserve"> </w:t>
      </w:r>
    </w:p>
    <w:p w14:paraId="7B8E9D04" w14:textId="75881238" w:rsidR="00B53E36" w:rsidRPr="00526BF5" w:rsidRDefault="00B53E36" w:rsidP="00B53E36">
      <w:pPr>
        <w:autoSpaceDE w:val="0"/>
        <w:autoSpaceDN w:val="0"/>
        <w:adjustRightInd w:val="0"/>
        <w:spacing w:line="360" w:lineRule="auto"/>
      </w:pPr>
      <w:r w:rsidRPr="00DA3887">
        <w:rPr>
          <w:highlight w:val="yellow"/>
        </w:rPr>
        <w:t>The objective</w:t>
      </w:r>
      <w:r w:rsidR="00733FA6" w:rsidRPr="00DA3887">
        <w:rPr>
          <w:highlight w:val="yellow"/>
        </w:rPr>
        <w:t>s</w:t>
      </w:r>
      <w:r w:rsidRPr="00DA3887">
        <w:rPr>
          <w:highlight w:val="yellow"/>
        </w:rPr>
        <w:t xml:space="preserve"> of </w:t>
      </w:r>
      <w:r w:rsidR="00DE5F82" w:rsidRPr="00DA3887">
        <w:rPr>
          <w:highlight w:val="yellow"/>
        </w:rPr>
        <w:t>this</w:t>
      </w:r>
      <w:r w:rsidRPr="00DA3887">
        <w:rPr>
          <w:highlight w:val="yellow"/>
        </w:rPr>
        <w:t xml:space="preserve"> assignment were to review current practices, subsidy instruments and sources of non-state finance related to the promotion of, and planning for, the incremental provision of housing in situ shack settlement upgrades, and to recommend practical actions</w:t>
      </w:r>
      <w:r w:rsidRPr="00526BF5">
        <w:t xml:space="preserve"> for consideration under the National Upgrading Support Programme (NUSP).</w:t>
      </w:r>
    </w:p>
    <w:p w14:paraId="292AAA86" w14:textId="77777777" w:rsidR="00B53E36" w:rsidRDefault="00B53E36" w:rsidP="00540DD7">
      <w:pPr>
        <w:pStyle w:val="Heading2"/>
      </w:pPr>
      <w:bookmarkStart w:id="15" w:name="_Toc377124057"/>
      <w:bookmarkStart w:id="16" w:name="_Toc270946011"/>
      <w:r>
        <w:t>Audience</w:t>
      </w:r>
      <w:bookmarkEnd w:id="15"/>
      <w:bookmarkEnd w:id="16"/>
    </w:p>
    <w:p w14:paraId="009DB94E" w14:textId="68ADA075" w:rsidR="00B53E36" w:rsidRPr="00263B6A" w:rsidRDefault="00B53E36" w:rsidP="00B53E36">
      <w:pPr>
        <w:autoSpaceDE w:val="0"/>
        <w:autoSpaceDN w:val="0"/>
        <w:adjustRightInd w:val="0"/>
        <w:spacing w:line="360" w:lineRule="auto"/>
        <w:rPr>
          <w:rFonts w:cs="Arial"/>
          <w:szCs w:val="22"/>
        </w:rPr>
      </w:pPr>
      <w:r w:rsidRPr="00A87FF8">
        <w:rPr>
          <w:highlight w:val="yellow"/>
        </w:rPr>
        <w:t>This report seeks to be practitioner-focused, and provide</w:t>
      </w:r>
      <w:r w:rsidR="00DE5F82" w:rsidRPr="00A87FF8">
        <w:rPr>
          <w:highlight w:val="yellow"/>
        </w:rPr>
        <w:t>s</w:t>
      </w:r>
      <w:r w:rsidRPr="00A87FF8">
        <w:rPr>
          <w:highlight w:val="yellow"/>
        </w:rPr>
        <w:t xml:space="preserve"> a practical guide that actors engaged in informal settlement </w:t>
      </w:r>
      <w:r w:rsidR="00733FA6" w:rsidRPr="00A87FF8">
        <w:rPr>
          <w:highlight w:val="yellow"/>
        </w:rPr>
        <w:t xml:space="preserve">upgrading </w:t>
      </w:r>
      <w:r w:rsidRPr="00A87FF8">
        <w:rPr>
          <w:highlight w:val="yellow"/>
        </w:rPr>
        <w:t>programmes can use to assist them to understand, implement</w:t>
      </w:r>
      <w:r w:rsidR="00DE5F82" w:rsidRPr="00A87FF8">
        <w:rPr>
          <w:highlight w:val="yellow"/>
        </w:rPr>
        <w:t>,</w:t>
      </w:r>
      <w:r w:rsidRPr="00A87FF8">
        <w:rPr>
          <w:highlight w:val="yellow"/>
        </w:rPr>
        <w:t xml:space="preserve"> monitor and review house consolidation </w:t>
      </w:r>
      <w:r w:rsidR="00733FA6" w:rsidRPr="00A87FF8">
        <w:rPr>
          <w:highlight w:val="yellow"/>
        </w:rPr>
        <w:t xml:space="preserve">and </w:t>
      </w:r>
      <w:r w:rsidRPr="00A87FF8">
        <w:rPr>
          <w:highlight w:val="yellow"/>
        </w:rPr>
        <w:t xml:space="preserve">support </w:t>
      </w:r>
      <w:r w:rsidR="00DE5F82" w:rsidRPr="00A87FF8">
        <w:rPr>
          <w:highlight w:val="yellow"/>
        </w:rPr>
        <w:t xml:space="preserve">facilitative </w:t>
      </w:r>
      <w:r w:rsidRPr="00A87FF8">
        <w:rPr>
          <w:highlight w:val="yellow"/>
        </w:rPr>
        <w:t xml:space="preserve">interventions in informal </w:t>
      </w:r>
      <w:r w:rsidRPr="00A87FF8">
        <w:rPr>
          <w:highlight w:val="yellow"/>
        </w:rPr>
        <w:lastRenderedPageBreak/>
        <w:t>settlement upgrading programmes.</w:t>
      </w:r>
      <w:r w:rsidRPr="00526BF5">
        <w:t xml:space="preserve"> The main target</w:t>
      </w:r>
      <w:r w:rsidR="00DE5F82">
        <w:t xml:space="preserve"> audiences for </w:t>
      </w:r>
      <w:r w:rsidRPr="00526BF5">
        <w:t>the document are therefore the National Departments (</w:t>
      </w:r>
      <w:r>
        <w:t>Human Settlements</w:t>
      </w:r>
      <w:r w:rsidRPr="00526BF5">
        <w:t xml:space="preserve"> and the Treasury City Support programme</w:t>
      </w:r>
      <w:r>
        <w:t>)</w:t>
      </w:r>
      <w:r w:rsidRPr="00526BF5">
        <w:t>, provincial bodies, municipalities, and NPOs engaged in in situ informal</w:t>
      </w:r>
      <w:r w:rsidRPr="00263B6A">
        <w:rPr>
          <w:rFonts w:cs="Arial"/>
          <w:szCs w:val="22"/>
        </w:rPr>
        <w:t xml:space="preserve"> </w:t>
      </w:r>
      <w:r>
        <w:rPr>
          <w:rFonts w:cs="Arial"/>
          <w:szCs w:val="22"/>
        </w:rPr>
        <w:t>settlement upgrading programmes and projects.</w:t>
      </w:r>
    </w:p>
    <w:p w14:paraId="3DDA8E2C" w14:textId="67F189D5" w:rsidR="00B53E36" w:rsidRDefault="00DE5F82" w:rsidP="00540DD7">
      <w:pPr>
        <w:pStyle w:val="Heading2"/>
      </w:pPr>
      <w:bookmarkStart w:id="17" w:name="_Toc270946012"/>
      <w:r>
        <w:t xml:space="preserve">Report </w:t>
      </w:r>
      <w:r w:rsidR="00B53E36" w:rsidRPr="000D58D5">
        <w:t>Structure</w:t>
      </w:r>
      <w:bookmarkEnd w:id="17"/>
    </w:p>
    <w:p w14:paraId="048D079B" w14:textId="77777777" w:rsidR="00B53E36" w:rsidRDefault="00B53E36" w:rsidP="00B53E36">
      <w:r>
        <w:t>The structure of this report is as follows:</w:t>
      </w:r>
    </w:p>
    <w:p w14:paraId="3169672D" w14:textId="409E5BB3" w:rsidR="00B53E36" w:rsidRPr="00F707B1" w:rsidRDefault="00B53E36" w:rsidP="00B53E36">
      <w:pPr>
        <w:autoSpaceDE w:val="0"/>
        <w:autoSpaceDN w:val="0"/>
        <w:adjustRightInd w:val="0"/>
        <w:spacing w:line="360" w:lineRule="auto"/>
        <w:rPr>
          <w:rFonts w:cs="Arial"/>
          <w:szCs w:val="22"/>
        </w:rPr>
      </w:pPr>
      <w:r w:rsidRPr="00B542E8">
        <w:rPr>
          <w:b/>
        </w:rPr>
        <w:t>Chapter 2</w:t>
      </w:r>
      <w:r w:rsidR="00B542E8" w:rsidRPr="00B542E8">
        <w:rPr>
          <w:b/>
        </w:rPr>
        <w:t>: Shelter Consolidation and the National Human Settlements Context</w:t>
      </w:r>
      <w:r w:rsidR="00B542E8">
        <w:t xml:space="preserve"> </w:t>
      </w:r>
      <w:r>
        <w:t xml:space="preserve">locates the </w:t>
      </w:r>
      <w:r w:rsidR="00733FA6">
        <w:t xml:space="preserve">practise of </w:t>
      </w:r>
      <w:r>
        <w:t>upgrading informal settlements in general, and the Upgrading of Informal Settlements Programme in particular, within past, current and evolving human settlements policy in SA.  Key areas of policy review and uncertainty are identified and new policy imperatives of relevance to housing consolidation in informal settlements are noted.</w:t>
      </w:r>
    </w:p>
    <w:p w14:paraId="33A80716" w14:textId="1630C22A" w:rsidR="00B53E36" w:rsidRDefault="00B53E36" w:rsidP="00B53E36">
      <w:pPr>
        <w:spacing w:line="360" w:lineRule="auto"/>
        <w:rPr>
          <w:rFonts w:cs="Arial"/>
          <w:szCs w:val="22"/>
        </w:rPr>
      </w:pPr>
      <w:r w:rsidRPr="0014759C">
        <w:rPr>
          <w:b/>
        </w:rPr>
        <w:t>Chapter 3</w:t>
      </w:r>
      <w:r w:rsidR="00B542E8">
        <w:rPr>
          <w:b/>
        </w:rPr>
        <w:t>: Understanding In-Situ Informal Settlement Upgrading</w:t>
      </w:r>
      <w:r>
        <w:t xml:space="preserve"> provides </w:t>
      </w:r>
      <w:r w:rsidRPr="00083319">
        <w:rPr>
          <w:rFonts w:cs="Arial"/>
          <w:szCs w:val="22"/>
        </w:rPr>
        <w:t xml:space="preserve">a conceptual framework for understanding the consolidation of houses within the context of </w:t>
      </w:r>
      <w:r>
        <w:rPr>
          <w:rFonts w:cs="Arial"/>
          <w:szCs w:val="22"/>
        </w:rPr>
        <w:t xml:space="preserve">informal settlement upgrading </w:t>
      </w:r>
      <w:r w:rsidR="00733FA6">
        <w:rPr>
          <w:rFonts w:cs="Arial"/>
          <w:szCs w:val="22"/>
        </w:rPr>
        <w:t xml:space="preserve">(ISU) </w:t>
      </w:r>
      <w:r w:rsidRPr="00083319">
        <w:rPr>
          <w:rFonts w:cs="Arial"/>
          <w:szCs w:val="22"/>
        </w:rPr>
        <w:t xml:space="preserve">programmes. It considers the theoretical approach to upgrading of informal settlements, and provides a framework for identifying the resources and involvement of </w:t>
      </w:r>
      <w:r w:rsidR="00733FA6">
        <w:rPr>
          <w:rFonts w:cs="Arial"/>
          <w:szCs w:val="22"/>
        </w:rPr>
        <w:t xml:space="preserve">different </w:t>
      </w:r>
      <w:r>
        <w:rPr>
          <w:rFonts w:cs="Arial"/>
          <w:szCs w:val="22"/>
        </w:rPr>
        <w:t xml:space="preserve">actors </w:t>
      </w:r>
      <w:r w:rsidRPr="00083319">
        <w:rPr>
          <w:rFonts w:cs="Arial"/>
          <w:szCs w:val="22"/>
        </w:rPr>
        <w:t>in</w:t>
      </w:r>
      <w:r>
        <w:rPr>
          <w:rFonts w:cs="Arial"/>
          <w:szCs w:val="22"/>
        </w:rPr>
        <w:t xml:space="preserve"> </w:t>
      </w:r>
      <w:r w:rsidRPr="00083319">
        <w:rPr>
          <w:rFonts w:cs="Arial"/>
          <w:szCs w:val="22"/>
        </w:rPr>
        <w:t xml:space="preserve">house consolidation within </w:t>
      </w:r>
      <w:r>
        <w:rPr>
          <w:rFonts w:cs="Arial"/>
          <w:szCs w:val="22"/>
        </w:rPr>
        <w:t>a settlement</w:t>
      </w:r>
      <w:r w:rsidR="00733FA6">
        <w:rPr>
          <w:rFonts w:cs="Arial"/>
          <w:szCs w:val="22"/>
        </w:rPr>
        <w:t>’</w:t>
      </w:r>
      <w:r>
        <w:rPr>
          <w:rFonts w:cs="Arial"/>
          <w:szCs w:val="22"/>
        </w:rPr>
        <w:t xml:space="preserve">s </w:t>
      </w:r>
      <w:r w:rsidRPr="00083319">
        <w:rPr>
          <w:rFonts w:cs="Arial"/>
          <w:szCs w:val="22"/>
        </w:rPr>
        <w:t>institutional, subsidy and demographic context.</w:t>
      </w:r>
      <w:r>
        <w:rPr>
          <w:rFonts w:cs="Arial"/>
          <w:szCs w:val="22"/>
        </w:rPr>
        <w:t xml:space="preserve"> It </w:t>
      </w:r>
      <w:r w:rsidR="00A571FE">
        <w:rPr>
          <w:rFonts w:cs="Arial"/>
          <w:szCs w:val="22"/>
        </w:rPr>
        <w:t xml:space="preserve">also </w:t>
      </w:r>
      <w:r>
        <w:rPr>
          <w:rFonts w:cs="Arial"/>
          <w:szCs w:val="22"/>
        </w:rPr>
        <w:t>develops a tool for categorising different approaches to housing consolidation in ISU and identifies three principal modes through which housing consolidation in ISU can be pursued</w:t>
      </w:r>
      <w:r w:rsidR="00DE5F82">
        <w:rPr>
          <w:rFonts w:cs="Arial"/>
          <w:szCs w:val="22"/>
        </w:rPr>
        <w:t>,</w:t>
      </w:r>
      <w:r>
        <w:rPr>
          <w:rFonts w:cs="Arial"/>
          <w:szCs w:val="22"/>
        </w:rPr>
        <w:t xml:space="preserve"> ranging from state provided houses, through a mixed state/private/community mode </w:t>
      </w:r>
      <w:r w:rsidR="00DE5F82">
        <w:rPr>
          <w:rFonts w:cs="Arial"/>
          <w:szCs w:val="22"/>
        </w:rPr>
        <w:t>to</w:t>
      </w:r>
      <w:r>
        <w:rPr>
          <w:rFonts w:cs="Arial"/>
          <w:szCs w:val="22"/>
        </w:rPr>
        <w:t xml:space="preserve"> a mode that is wholly unsupported by government after the site servicing stage.</w:t>
      </w:r>
    </w:p>
    <w:p w14:paraId="50249362" w14:textId="6C87B2FE" w:rsidR="00B53E36" w:rsidRPr="008B7412" w:rsidRDefault="00B53E36" w:rsidP="00B53E36">
      <w:pPr>
        <w:spacing w:line="360" w:lineRule="auto"/>
        <w:rPr>
          <w:rFonts w:cs="Arial"/>
          <w:szCs w:val="22"/>
        </w:rPr>
      </w:pPr>
      <w:r>
        <w:rPr>
          <w:rFonts w:cs="Arial"/>
          <w:szCs w:val="22"/>
        </w:rPr>
        <w:t xml:space="preserve"> </w:t>
      </w:r>
      <w:r w:rsidRPr="0014759C">
        <w:rPr>
          <w:rFonts w:cs="Arial"/>
          <w:b/>
          <w:szCs w:val="22"/>
        </w:rPr>
        <w:t>Chapter 4</w:t>
      </w:r>
      <w:r w:rsidR="00B542E8">
        <w:rPr>
          <w:rFonts w:cs="Arial"/>
          <w:b/>
          <w:szCs w:val="22"/>
        </w:rPr>
        <w:t>: The Upgrading of Informal Settlements Programme</w:t>
      </w:r>
      <w:r>
        <w:rPr>
          <w:rFonts w:cs="Arial"/>
          <w:szCs w:val="22"/>
        </w:rPr>
        <w:t xml:space="preserve"> </w:t>
      </w:r>
      <w:r w:rsidRPr="008B7412">
        <w:rPr>
          <w:rFonts w:cs="Arial"/>
          <w:szCs w:val="22"/>
        </w:rPr>
        <w:t>examine</w:t>
      </w:r>
      <w:r>
        <w:rPr>
          <w:rFonts w:cs="Arial"/>
          <w:szCs w:val="22"/>
        </w:rPr>
        <w:t>s</w:t>
      </w:r>
      <w:r w:rsidRPr="008B7412">
        <w:rPr>
          <w:rFonts w:cs="Arial"/>
          <w:szCs w:val="22"/>
        </w:rPr>
        <w:t xml:space="preserve"> the principal programme instrument for </w:t>
      </w:r>
      <w:r>
        <w:rPr>
          <w:rFonts w:cs="Arial"/>
          <w:szCs w:val="22"/>
        </w:rPr>
        <w:t xml:space="preserve">informal settlement upgrading </w:t>
      </w:r>
      <w:r w:rsidRPr="008B7412">
        <w:rPr>
          <w:rFonts w:cs="Arial"/>
          <w:szCs w:val="22"/>
        </w:rPr>
        <w:t>in SA</w:t>
      </w:r>
      <w:r>
        <w:rPr>
          <w:rFonts w:cs="Arial"/>
          <w:szCs w:val="22"/>
        </w:rPr>
        <w:t xml:space="preserve"> – the </w:t>
      </w:r>
      <w:r w:rsidRPr="00526BF5">
        <w:rPr>
          <w:rFonts w:cs="Arial"/>
          <w:i/>
          <w:szCs w:val="22"/>
        </w:rPr>
        <w:t>Upgrading of Informal Settlements Programme</w:t>
      </w:r>
      <w:r>
        <w:rPr>
          <w:rFonts w:cs="Arial"/>
          <w:szCs w:val="22"/>
        </w:rPr>
        <w:t xml:space="preserve"> - and explores how </w:t>
      </w:r>
      <w:r w:rsidR="00DE5F82">
        <w:rPr>
          <w:rFonts w:cs="Arial"/>
          <w:szCs w:val="22"/>
        </w:rPr>
        <w:t>this programme</w:t>
      </w:r>
      <w:r>
        <w:rPr>
          <w:rFonts w:cs="Arial"/>
          <w:szCs w:val="22"/>
        </w:rPr>
        <w:t xml:space="preserve"> provides for the in situ settlement upgrading work streams and activities discussed conceptually in Chapter 3.</w:t>
      </w:r>
    </w:p>
    <w:p w14:paraId="2636FFE1" w14:textId="02E2DDAC" w:rsidR="00B53E36" w:rsidRDefault="00B53E36" w:rsidP="00B53E36">
      <w:pPr>
        <w:spacing w:line="360" w:lineRule="auto"/>
        <w:rPr>
          <w:rFonts w:cs="Arial"/>
          <w:szCs w:val="22"/>
        </w:rPr>
      </w:pPr>
      <w:r w:rsidRPr="00314CA7">
        <w:rPr>
          <w:rFonts w:cs="Arial"/>
          <w:b/>
          <w:szCs w:val="22"/>
        </w:rPr>
        <w:t>Chapter 5</w:t>
      </w:r>
      <w:r w:rsidR="00B542E8">
        <w:rPr>
          <w:rFonts w:cs="Arial"/>
          <w:b/>
          <w:szCs w:val="22"/>
        </w:rPr>
        <w:t>: The State Subsidy-Led Approach to House Consolidation in In-Situ Upgrading</w:t>
      </w:r>
      <w:r>
        <w:rPr>
          <w:rFonts w:cs="Arial"/>
          <w:szCs w:val="22"/>
        </w:rPr>
        <w:t xml:space="preserve"> </w:t>
      </w:r>
      <w:r w:rsidRPr="000952EA">
        <w:rPr>
          <w:rFonts w:cs="Arial"/>
          <w:szCs w:val="22"/>
        </w:rPr>
        <w:t xml:space="preserve">focuses on the </w:t>
      </w:r>
      <w:r w:rsidRPr="00314CA7">
        <w:rPr>
          <w:rFonts w:cs="Arial"/>
          <w:szCs w:val="22"/>
        </w:rPr>
        <w:t xml:space="preserve">state </w:t>
      </w:r>
      <w:r w:rsidR="00E01C9B">
        <w:rPr>
          <w:rFonts w:cs="Arial"/>
          <w:szCs w:val="22"/>
        </w:rPr>
        <w:t>subsidized</w:t>
      </w:r>
      <w:r w:rsidRPr="00314CA7">
        <w:rPr>
          <w:rFonts w:cs="Arial"/>
          <w:szCs w:val="22"/>
        </w:rPr>
        <w:t xml:space="preserve"> top structure dominant mode of </w:t>
      </w:r>
      <w:r w:rsidRPr="00C058F2">
        <w:rPr>
          <w:rFonts w:cs="Arial"/>
          <w:szCs w:val="22"/>
          <w:highlight w:val="yellow"/>
        </w:rPr>
        <w:t xml:space="preserve">housing consolidation (essentially the replacement of the informal housing stock in a settlement with state </w:t>
      </w:r>
      <w:r w:rsidR="00E839C8" w:rsidRPr="00C058F2">
        <w:rPr>
          <w:rFonts w:cs="Arial"/>
          <w:szCs w:val="22"/>
          <w:highlight w:val="yellow"/>
        </w:rPr>
        <w:t>subsidised</w:t>
      </w:r>
      <w:r w:rsidRPr="00C058F2">
        <w:rPr>
          <w:rFonts w:cs="Arial"/>
          <w:szCs w:val="22"/>
          <w:highlight w:val="yellow"/>
        </w:rPr>
        <w:t xml:space="preserve"> dwellings</w:t>
      </w:r>
      <w:r w:rsidR="00E839C8" w:rsidRPr="00C058F2">
        <w:rPr>
          <w:rFonts w:cs="Arial"/>
          <w:szCs w:val="22"/>
          <w:highlight w:val="yellow"/>
        </w:rPr>
        <w:t>)</w:t>
      </w:r>
      <w:r w:rsidRPr="000952EA">
        <w:rPr>
          <w:rFonts w:cs="Arial"/>
          <w:szCs w:val="22"/>
        </w:rPr>
        <w:t>.</w:t>
      </w:r>
      <w:r>
        <w:rPr>
          <w:rFonts w:cs="Arial"/>
          <w:szCs w:val="22"/>
        </w:rPr>
        <w:t xml:space="preserve"> </w:t>
      </w:r>
      <w:r w:rsidR="00E839C8">
        <w:rPr>
          <w:rFonts w:cs="Arial"/>
          <w:szCs w:val="22"/>
        </w:rPr>
        <w:t>The chapter</w:t>
      </w:r>
      <w:r>
        <w:rPr>
          <w:rFonts w:cs="Arial"/>
          <w:szCs w:val="22"/>
        </w:rPr>
        <w:t xml:space="preserve"> starts by exploring the preconditions for the state led mode to succeed, where</w:t>
      </w:r>
      <w:r w:rsidR="00E839C8">
        <w:rPr>
          <w:rFonts w:cs="Arial"/>
          <w:szCs w:val="22"/>
        </w:rPr>
        <w:t xml:space="preserve"> </w:t>
      </w:r>
      <w:r>
        <w:rPr>
          <w:rFonts w:cs="Arial"/>
          <w:szCs w:val="22"/>
        </w:rPr>
        <w:t>after the suitability of various subsidy delivery systems within the National Housing code are assessed against</w:t>
      </w:r>
      <w:r w:rsidR="00574545">
        <w:rPr>
          <w:rFonts w:cs="Arial"/>
          <w:szCs w:val="22"/>
        </w:rPr>
        <w:t xml:space="preserve"> </w:t>
      </w:r>
      <w:r>
        <w:rPr>
          <w:rFonts w:cs="Arial"/>
          <w:szCs w:val="22"/>
        </w:rPr>
        <w:t xml:space="preserve"> (i) current capacity, (ii) creating the </w:t>
      </w:r>
      <w:r w:rsidR="00574545">
        <w:rPr>
          <w:rFonts w:cs="Arial"/>
          <w:szCs w:val="22"/>
        </w:rPr>
        <w:t xml:space="preserve">conditions </w:t>
      </w:r>
      <w:r>
        <w:rPr>
          <w:rFonts w:cs="Arial"/>
          <w:szCs w:val="22"/>
        </w:rPr>
        <w:t xml:space="preserve">for </w:t>
      </w:r>
      <w:r w:rsidR="00E839C8">
        <w:rPr>
          <w:rFonts w:cs="Arial"/>
          <w:szCs w:val="22"/>
        </w:rPr>
        <w:t>on-going</w:t>
      </w:r>
      <w:r>
        <w:rPr>
          <w:rFonts w:cs="Arial"/>
          <w:szCs w:val="22"/>
        </w:rPr>
        <w:t xml:space="preserve"> private </w:t>
      </w:r>
      <w:r>
        <w:rPr>
          <w:rFonts w:cs="Arial"/>
          <w:szCs w:val="22"/>
        </w:rPr>
        <w:lastRenderedPageBreak/>
        <w:t xml:space="preserve">investment in unit expansion and improvements, and (iii) the need to create flexibility to respond to possible shifts in the housing subsidy environment. The chapter concludes with an assessment of whether the components necessary to sustain the consolidation process are </w:t>
      </w:r>
      <w:r w:rsidR="00E839C8">
        <w:rPr>
          <w:rFonts w:cs="Arial"/>
          <w:szCs w:val="22"/>
        </w:rPr>
        <w:t xml:space="preserve">currently </w:t>
      </w:r>
      <w:r>
        <w:rPr>
          <w:rFonts w:cs="Arial"/>
          <w:szCs w:val="22"/>
        </w:rPr>
        <w:t xml:space="preserve">provided for in public funding programmes. </w:t>
      </w:r>
    </w:p>
    <w:p w14:paraId="27031615" w14:textId="132BC4D6" w:rsidR="00B53E36" w:rsidRDefault="00B53E36" w:rsidP="00B53E36">
      <w:pPr>
        <w:spacing w:line="360" w:lineRule="auto"/>
        <w:rPr>
          <w:rFonts w:cs="Arial"/>
          <w:szCs w:val="22"/>
        </w:rPr>
      </w:pPr>
      <w:r>
        <w:rPr>
          <w:rFonts w:cs="Arial"/>
          <w:b/>
          <w:szCs w:val="22"/>
        </w:rPr>
        <w:t>Chapter 6</w:t>
      </w:r>
      <w:r w:rsidR="00B542E8">
        <w:rPr>
          <w:rFonts w:cs="Arial"/>
          <w:b/>
          <w:szCs w:val="22"/>
        </w:rPr>
        <w:t xml:space="preserve">: </w:t>
      </w:r>
      <w:r w:rsidR="00B542E8" w:rsidRPr="00B542E8">
        <w:rPr>
          <w:b/>
          <w:noProof/>
        </w:rPr>
        <w:t xml:space="preserve">The </w:t>
      </w:r>
      <w:r w:rsidR="00B542E8">
        <w:rPr>
          <w:b/>
          <w:noProof/>
        </w:rPr>
        <w:t>P</w:t>
      </w:r>
      <w:r w:rsidR="00B542E8" w:rsidRPr="00B542E8">
        <w:rPr>
          <w:b/>
          <w:noProof/>
        </w:rPr>
        <w:t xml:space="preserve">rivate </w:t>
      </w:r>
      <w:r w:rsidR="00B542E8">
        <w:rPr>
          <w:b/>
          <w:noProof/>
        </w:rPr>
        <w:t>I</w:t>
      </w:r>
      <w:r w:rsidR="00B542E8" w:rsidRPr="00B542E8">
        <w:rPr>
          <w:b/>
          <w:noProof/>
        </w:rPr>
        <w:t xml:space="preserve">nitiative </w:t>
      </w:r>
      <w:r w:rsidR="00B542E8">
        <w:rPr>
          <w:b/>
          <w:noProof/>
        </w:rPr>
        <w:t>L</w:t>
      </w:r>
      <w:r w:rsidR="00B542E8" w:rsidRPr="00B542E8">
        <w:rPr>
          <w:b/>
          <w:noProof/>
        </w:rPr>
        <w:t xml:space="preserve">ed </w:t>
      </w:r>
      <w:r w:rsidR="00B542E8">
        <w:rPr>
          <w:b/>
          <w:noProof/>
        </w:rPr>
        <w:t>A</w:t>
      </w:r>
      <w:r w:rsidR="00B542E8" w:rsidRPr="00B542E8">
        <w:rPr>
          <w:b/>
          <w:noProof/>
        </w:rPr>
        <w:t>pproach/</w:t>
      </w:r>
      <w:r w:rsidR="00B542E8">
        <w:rPr>
          <w:b/>
          <w:noProof/>
        </w:rPr>
        <w:t xml:space="preserve"> </w:t>
      </w:r>
      <w:r w:rsidR="00B542E8" w:rsidRPr="00B542E8">
        <w:rPr>
          <w:b/>
          <w:noProof/>
        </w:rPr>
        <w:t xml:space="preserve">Blended/ Incremental </w:t>
      </w:r>
      <w:r w:rsidR="00B542E8">
        <w:rPr>
          <w:b/>
          <w:noProof/>
        </w:rPr>
        <w:t>M</w:t>
      </w:r>
      <w:r w:rsidR="00B542E8" w:rsidRPr="00B542E8">
        <w:rPr>
          <w:b/>
          <w:noProof/>
        </w:rPr>
        <w:t xml:space="preserve">ode of </w:t>
      </w:r>
      <w:r w:rsidR="00B542E8">
        <w:rPr>
          <w:b/>
          <w:noProof/>
        </w:rPr>
        <w:t>H</w:t>
      </w:r>
      <w:r w:rsidR="00B542E8" w:rsidRPr="00B542E8">
        <w:rPr>
          <w:b/>
          <w:noProof/>
        </w:rPr>
        <w:t xml:space="preserve">ousing </w:t>
      </w:r>
      <w:r w:rsidR="00B542E8">
        <w:rPr>
          <w:b/>
          <w:noProof/>
        </w:rPr>
        <w:t>C</w:t>
      </w:r>
      <w:r w:rsidR="00B542E8" w:rsidRPr="00B542E8">
        <w:rPr>
          <w:b/>
          <w:noProof/>
        </w:rPr>
        <w:t xml:space="preserve">onsolidation in </w:t>
      </w:r>
      <w:r w:rsidR="00B542E8">
        <w:rPr>
          <w:b/>
          <w:noProof/>
        </w:rPr>
        <w:t>S</w:t>
      </w:r>
      <w:r w:rsidR="00B542E8" w:rsidRPr="00B542E8">
        <w:rPr>
          <w:b/>
          <w:noProof/>
        </w:rPr>
        <w:t xml:space="preserve">ettlement </w:t>
      </w:r>
      <w:r w:rsidR="00B542E8">
        <w:rPr>
          <w:b/>
          <w:noProof/>
        </w:rPr>
        <w:t>U</w:t>
      </w:r>
      <w:r w:rsidR="00B542E8" w:rsidRPr="00B542E8">
        <w:rPr>
          <w:b/>
          <w:noProof/>
        </w:rPr>
        <w:t>pgrading</w:t>
      </w:r>
      <w:r w:rsidRPr="00B542E8">
        <w:rPr>
          <w:rFonts w:cs="Arial"/>
          <w:b/>
          <w:szCs w:val="22"/>
        </w:rPr>
        <w:t xml:space="preserve"> </w:t>
      </w:r>
      <w:r w:rsidRPr="009370FB">
        <w:rPr>
          <w:rFonts w:cs="Arial"/>
          <w:szCs w:val="22"/>
        </w:rPr>
        <w:t>examine</w:t>
      </w:r>
      <w:r>
        <w:rPr>
          <w:rFonts w:cs="Arial"/>
          <w:szCs w:val="22"/>
        </w:rPr>
        <w:t>s</w:t>
      </w:r>
      <w:r w:rsidRPr="009370FB">
        <w:rPr>
          <w:rFonts w:cs="Arial"/>
          <w:szCs w:val="22"/>
        </w:rPr>
        <w:t xml:space="preserve"> a housing consolidation mode suited </w:t>
      </w:r>
      <w:r>
        <w:rPr>
          <w:rFonts w:cs="Arial"/>
          <w:szCs w:val="22"/>
        </w:rPr>
        <w:t xml:space="preserve">to </w:t>
      </w:r>
      <w:r w:rsidRPr="009370FB">
        <w:rPr>
          <w:rFonts w:cs="Arial"/>
          <w:szCs w:val="22"/>
        </w:rPr>
        <w:t>contexts where fiscal constraints</w:t>
      </w:r>
      <w:r>
        <w:rPr>
          <w:rFonts w:cs="Arial"/>
          <w:szCs w:val="22"/>
        </w:rPr>
        <w:t xml:space="preserve"> and/or the social composition of the informal settlement dictate that </w:t>
      </w:r>
      <w:r w:rsidRPr="009370FB">
        <w:rPr>
          <w:rFonts w:cs="Arial"/>
          <w:szCs w:val="22"/>
        </w:rPr>
        <w:t>the</w:t>
      </w:r>
      <w:r>
        <w:rPr>
          <w:rFonts w:cs="Arial"/>
          <w:szCs w:val="22"/>
        </w:rPr>
        <w:t xml:space="preserve"> state provided top structure </w:t>
      </w:r>
      <w:r w:rsidR="00574545">
        <w:rPr>
          <w:rFonts w:cs="Arial"/>
          <w:szCs w:val="22"/>
        </w:rPr>
        <w:t xml:space="preserve">dominant </w:t>
      </w:r>
      <w:r>
        <w:rPr>
          <w:rFonts w:cs="Arial"/>
          <w:szCs w:val="22"/>
        </w:rPr>
        <w:t xml:space="preserve">mode is not feasible. </w:t>
      </w:r>
      <w:r w:rsidR="00E839C8">
        <w:rPr>
          <w:rFonts w:cs="Arial"/>
          <w:szCs w:val="22"/>
        </w:rPr>
        <w:t>T</w:t>
      </w:r>
      <w:r>
        <w:rPr>
          <w:rFonts w:cs="Arial"/>
          <w:szCs w:val="22"/>
        </w:rPr>
        <w:t>he basic preconditions for the success of this mode</w:t>
      </w:r>
      <w:r w:rsidR="00E839C8">
        <w:rPr>
          <w:rFonts w:cs="Arial"/>
          <w:szCs w:val="22"/>
        </w:rPr>
        <w:t xml:space="preserve"> are outlined</w:t>
      </w:r>
      <w:r>
        <w:rPr>
          <w:rFonts w:cs="Arial"/>
          <w:szCs w:val="22"/>
        </w:rPr>
        <w:t>, and thereafter the key activities and work streams associated with this mode and which actors need to perform which of these functions</w:t>
      </w:r>
      <w:r w:rsidR="00E839C8">
        <w:rPr>
          <w:rFonts w:cs="Arial"/>
          <w:szCs w:val="22"/>
        </w:rPr>
        <w:t xml:space="preserve"> are examined</w:t>
      </w:r>
      <w:r>
        <w:rPr>
          <w:rFonts w:cs="Arial"/>
          <w:szCs w:val="22"/>
        </w:rPr>
        <w:t>. The temporal location of these activities within the overall upgrading process is explored, where after capacity of various public</w:t>
      </w:r>
      <w:r w:rsidR="00E839C8">
        <w:rPr>
          <w:rFonts w:cs="Arial"/>
          <w:szCs w:val="22"/>
        </w:rPr>
        <w:t>ly</w:t>
      </w:r>
      <w:r>
        <w:rPr>
          <w:rFonts w:cs="Arial"/>
          <w:szCs w:val="22"/>
        </w:rPr>
        <w:t xml:space="preserve"> fund</w:t>
      </w:r>
      <w:r w:rsidR="00E839C8">
        <w:rPr>
          <w:rFonts w:cs="Arial"/>
          <w:szCs w:val="22"/>
        </w:rPr>
        <w:t>ed</w:t>
      </w:r>
      <w:r>
        <w:rPr>
          <w:rFonts w:cs="Arial"/>
          <w:szCs w:val="22"/>
        </w:rPr>
        <w:t xml:space="preserve"> programmes to </w:t>
      </w:r>
      <w:r w:rsidR="00E839C8">
        <w:rPr>
          <w:rFonts w:cs="Arial"/>
          <w:szCs w:val="22"/>
        </w:rPr>
        <w:t>support</w:t>
      </w:r>
      <w:r>
        <w:rPr>
          <w:rFonts w:cs="Arial"/>
          <w:szCs w:val="22"/>
        </w:rPr>
        <w:t xml:space="preserve"> these activities </w:t>
      </w:r>
      <w:r w:rsidR="00E839C8">
        <w:rPr>
          <w:rFonts w:cs="Arial"/>
          <w:szCs w:val="22"/>
        </w:rPr>
        <w:t>are</w:t>
      </w:r>
      <w:r>
        <w:rPr>
          <w:rFonts w:cs="Arial"/>
          <w:szCs w:val="22"/>
        </w:rPr>
        <w:t xml:space="preserve"> assessed and key funding gaps are identified. </w:t>
      </w:r>
    </w:p>
    <w:p w14:paraId="7F56CC80" w14:textId="4F6C571D" w:rsidR="00B542E8" w:rsidRPr="00B542E8" w:rsidRDefault="00B53E36" w:rsidP="00B542E8">
      <w:pPr>
        <w:spacing w:line="360" w:lineRule="auto"/>
        <w:rPr>
          <w:rFonts w:cs="Arial"/>
          <w:szCs w:val="22"/>
        </w:rPr>
      </w:pPr>
      <w:r w:rsidRPr="000C7078">
        <w:rPr>
          <w:rFonts w:cs="Arial"/>
          <w:b/>
          <w:szCs w:val="22"/>
        </w:rPr>
        <w:t>Chapter 7</w:t>
      </w:r>
      <w:r w:rsidR="00B542E8">
        <w:rPr>
          <w:rFonts w:cs="Arial"/>
          <w:b/>
          <w:szCs w:val="22"/>
        </w:rPr>
        <w:t>: Conclusions and Recommendations</w:t>
      </w:r>
      <w:r w:rsidRPr="000C7078">
        <w:rPr>
          <w:rFonts w:cs="Arial"/>
          <w:b/>
          <w:szCs w:val="22"/>
        </w:rPr>
        <w:t xml:space="preserve"> </w:t>
      </w:r>
      <w:r w:rsidRPr="00B542E8">
        <w:rPr>
          <w:rFonts w:cs="Arial"/>
          <w:szCs w:val="22"/>
        </w:rPr>
        <w:t xml:space="preserve">provides a </w:t>
      </w:r>
      <w:r w:rsidR="00DA56D5" w:rsidRPr="00B542E8">
        <w:rPr>
          <w:rFonts w:cs="Arial"/>
          <w:szCs w:val="22"/>
        </w:rPr>
        <w:t xml:space="preserve">synthesis of the </w:t>
      </w:r>
      <w:r w:rsidR="00100CAF" w:rsidRPr="00B542E8">
        <w:rPr>
          <w:rFonts w:cs="Arial"/>
          <w:szCs w:val="22"/>
        </w:rPr>
        <w:t>main findings relating to the viability of the various modes of housing consolidation within informal settlement upgrading and the funding of the key components of the various modes.</w:t>
      </w:r>
      <w:r w:rsidRPr="00B542E8">
        <w:rPr>
          <w:rFonts w:cs="Arial"/>
          <w:szCs w:val="22"/>
        </w:rPr>
        <w:t xml:space="preserve"> The chapter concludes with a set of recommendations relating to</w:t>
      </w:r>
      <w:r w:rsidR="00B542E8" w:rsidRPr="00B542E8">
        <w:rPr>
          <w:rFonts w:cs="Arial"/>
          <w:szCs w:val="22"/>
        </w:rPr>
        <w:t xml:space="preserve"> the need for political consensus building; clarifying the intent, design and application of the UISP; developing alternative top structure instruments and funding methodologies; widening house consolidation supports in the UISP; undertaking case Studies and pilot projects to test new approaches; and engagement with other agencies.</w:t>
      </w:r>
    </w:p>
    <w:p w14:paraId="7B7AFDE2" w14:textId="77777777" w:rsidR="00B542E8" w:rsidRDefault="00B542E8" w:rsidP="00B53E36">
      <w:pPr>
        <w:spacing w:line="360" w:lineRule="auto"/>
        <w:rPr>
          <w:rFonts w:cs="Arial"/>
          <w:szCs w:val="22"/>
        </w:rPr>
      </w:pPr>
    </w:p>
    <w:p w14:paraId="21A3BF94" w14:textId="77777777" w:rsidR="00B53E36" w:rsidRDefault="00B53E36" w:rsidP="00B53E36"/>
    <w:p w14:paraId="5742627E" w14:textId="77777777" w:rsidR="00B53E36" w:rsidRPr="00B53E36" w:rsidRDefault="00B53E36" w:rsidP="00B53E36"/>
    <w:p w14:paraId="55D22C01" w14:textId="77777777" w:rsidR="00260F40" w:rsidRDefault="00260F40" w:rsidP="00260F40"/>
    <w:p w14:paraId="7C97655B" w14:textId="77777777" w:rsidR="00A56F66" w:rsidRDefault="00A56F66" w:rsidP="00260F40"/>
    <w:p w14:paraId="157346EF" w14:textId="77777777" w:rsidR="00260F40" w:rsidRPr="00260F40" w:rsidRDefault="00260F40" w:rsidP="00260F40"/>
    <w:p w14:paraId="308B3A4C" w14:textId="4D9C81B3" w:rsidR="00260F40" w:rsidRDefault="00260F40" w:rsidP="00540DD7">
      <w:pPr>
        <w:pStyle w:val="Heading2"/>
        <w:numPr>
          <w:ilvl w:val="0"/>
          <w:numId w:val="0"/>
        </w:numPr>
        <w:ind w:left="1224"/>
        <w:sectPr w:rsidR="00260F40" w:rsidSect="00DC584C">
          <w:pgSz w:w="12240" w:h="15840" w:code="1"/>
          <w:pgMar w:top="1440" w:right="1440" w:bottom="1440" w:left="1440" w:header="851" w:footer="851" w:gutter="0"/>
          <w:pgNumType w:start="1"/>
          <w:cols w:space="720"/>
          <w:docGrid w:linePitch="360"/>
        </w:sectPr>
      </w:pPr>
    </w:p>
    <w:p w14:paraId="27E09E37" w14:textId="67F6EC7B" w:rsidR="002A0C94" w:rsidRPr="00BA1D66" w:rsidRDefault="002A0C94" w:rsidP="00727BFC">
      <w:pPr>
        <w:pStyle w:val="Heading1"/>
      </w:pPr>
      <w:bookmarkStart w:id="18" w:name="_Toc261617562"/>
      <w:bookmarkStart w:id="19" w:name="_Toc262067778"/>
      <w:bookmarkStart w:id="20" w:name="_Toc270946013"/>
      <w:r w:rsidRPr="00BA1D66">
        <w:lastRenderedPageBreak/>
        <w:t xml:space="preserve">Shelter Consolidation and the National Human </w:t>
      </w:r>
      <w:r w:rsidRPr="00B86077">
        <w:t>Settlements</w:t>
      </w:r>
      <w:r w:rsidRPr="00BA1D66">
        <w:t xml:space="preserve"> Context in South A</w:t>
      </w:r>
      <w:r w:rsidR="002D548D" w:rsidRPr="00BA1D66">
        <w:t>f</w:t>
      </w:r>
      <w:r w:rsidRPr="00BA1D66">
        <w:t>rica</w:t>
      </w:r>
      <w:bookmarkEnd w:id="4"/>
      <w:bookmarkEnd w:id="18"/>
      <w:bookmarkEnd w:id="19"/>
      <w:bookmarkEnd w:id="20"/>
    </w:p>
    <w:p w14:paraId="5D4741DF" w14:textId="12CF16BB" w:rsidR="00E1711F" w:rsidRPr="00F707B1" w:rsidRDefault="00F707B1" w:rsidP="00F707B1">
      <w:pPr>
        <w:autoSpaceDE w:val="0"/>
        <w:autoSpaceDN w:val="0"/>
        <w:adjustRightInd w:val="0"/>
        <w:spacing w:line="360" w:lineRule="auto"/>
        <w:rPr>
          <w:rFonts w:cs="Arial"/>
          <w:szCs w:val="22"/>
        </w:rPr>
      </w:pPr>
      <w:r w:rsidRPr="00F707B1">
        <w:rPr>
          <w:rFonts w:cs="Arial"/>
          <w:szCs w:val="22"/>
        </w:rPr>
        <w:t xml:space="preserve">This </w:t>
      </w:r>
      <w:r w:rsidR="00176C7A">
        <w:rPr>
          <w:rFonts w:cs="Arial"/>
          <w:szCs w:val="22"/>
        </w:rPr>
        <w:t>Chapter</w:t>
      </w:r>
      <w:r w:rsidRPr="00F707B1">
        <w:rPr>
          <w:rFonts w:cs="Arial"/>
          <w:szCs w:val="22"/>
        </w:rPr>
        <w:t xml:space="preserve"> examines the positioning of informal settlement upgrading with</w:t>
      </w:r>
      <w:r w:rsidR="00F26D47">
        <w:rPr>
          <w:rFonts w:cs="Arial"/>
          <w:szCs w:val="22"/>
        </w:rPr>
        <w:t>in</w:t>
      </w:r>
      <w:r w:rsidRPr="00F707B1">
        <w:rPr>
          <w:rFonts w:cs="Arial"/>
          <w:szCs w:val="22"/>
        </w:rPr>
        <w:t xml:space="preserve"> past, present a</w:t>
      </w:r>
      <w:r>
        <w:rPr>
          <w:rFonts w:cs="Arial"/>
          <w:szCs w:val="22"/>
        </w:rPr>
        <w:t xml:space="preserve">nd evolving human settlement </w:t>
      </w:r>
      <w:r w:rsidRPr="00F707B1">
        <w:rPr>
          <w:rFonts w:cs="Arial"/>
          <w:szCs w:val="22"/>
        </w:rPr>
        <w:t>policy and funding programmes in SA</w:t>
      </w:r>
      <w:r>
        <w:rPr>
          <w:rFonts w:cs="Arial"/>
          <w:szCs w:val="22"/>
        </w:rPr>
        <w:t xml:space="preserve"> in order to provide the policy context for the housing consolidation focus of this investigation.</w:t>
      </w:r>
    </w:p>
    <w:p w14:paraId="6D60724F" w14:textId="70854143" w:rsidR="00F707B1" w:rsidRDefault="002A0C94" w:rsidP="00540DD7">
      <w:pPr>
        <w:pStyle w:val="Heading2"/>
      </w:pPr>
      <w:bookmarkStart w:id="21" w:name="_Toc255626951"/>
      <w:bookmarkStart w:id="22" w:name="_Toc261617563"/>
      <w:bookmarkStart w:id="23" w:name="_Toc262067779"/>
      <w:bookmarkStart w:id="24" w:name="_Toc270946014"/>
      <w:r w:rsidRPr="0061049B">
        <w:t>The National Human Settlements context</w:t>
      </w:r>
      <w:bookmarkEnd w:id="21"/>
      <w:bookmarkEnd w:id="22"/>
      <w:bookmarkEnd w:id="23"/>
      <w:bookmarkEnd w:id="24"/>
      <w:r w:rsidRPr="0061049B">
        <w:t xml:space="preserve"> </w:t>
      </w:r>
    </w:p>
    <w:p w14:paraId="175919C2" w14:textId="2C9C5919" w:rsidR="003A3EAE" w:rsidRDefault="003A3EAE" w:rsidP="003A3EAE">
      <w:pPr>
        <w:spacing w:line="360" w:lineRule="auto"/>
        <w:rPr>
          <w:rFonts w:cs="Arial"/>
          <w:szCs w:val="22"/>
        </w:rPr>
      </w:pPr>
      <w:r>
        <w:rPr>
          <w:rFonts w:cs="Arial"/>
          <w:szCs w:val="22"/>
        </w:rPr>
        <w:t>The 2011 census records that ther</w:t>
      </w:r>
      <w:r w:rsidR="001607A1">
        <w:rPr>
          <w:rFonts w:cs="Arial"/>
          <w:szCs w:val="22"/>
        </w:rPr>
        <w:t>e</w:t>
      </w:r>
      <w:r>
        <w:rPr>
          <w:rFonts w:cs="Arial"/>
          <w:szCs w:val="22"/>
        </w:rPr>
        <w:t xml:space="preserve"> are now 51.8 million households (14.5 million households) living in SA</w:t>
      </w:r>
      <w:r w:rsidR="001607A1">
        <w:rPr>
          <w:rFonts w:cs="Arial"/>
          <w:szCs w:val="22"/>
        </w:rPr>
        <w:t xml:space="preserve"> and, of these, </w:t>
      </w:r>
      <w:r w:rsidR="00332789">
        <w:rPr>
          <w:rFonts w:cs="Arial"/>
          <w:szCs w:val="22"/>
        </w:rPr>
        <w:t xml:space="preserve">approximately </w:t>
      </w:r>
      <w:r w:rsidR="00F707B1">
        <w:rPr>
          <w:rFonts w:cs="Arial"/>
          <w:szCs w:val="22"/>
        </w:rPr>
        <w:t>1.2</w:t>
      </w:r>
      <w:r w:rsidR="006D7D38">
        <w:rPr>
          <w:rFonts w:cs="Arial"/>
          <w:szCs w:val="22"/>
        </w:rPr>
        <w:t>5</w:t>
      </w:r>
      <w:r w:rsidR="00332789">
        <w:rPr>
          <w:rFonts w:cs="Arial"/>
          <w:szCs w:val="22"/>
        </w:rPr>
        <w:t xml:space="preserve"> million households live in </w:t>
      </w:r>
      <w:r w:rsidR="004D0712">
        <w:rPr>
          <w:rFonts w:cs="Arial"/>
          <w:szCs w:val="22"/>
        </w:rPr>
        <w:t>informal settlements</w:t>
      </w:r>
      <w:r w:rsidR="00332789">
        <w:rPr>
          <w:rFonts w:cs="Arial"/>
          <w:szCs w:val="22"/>
        </w:rPr>
        <w:t xml:space="preserve"> (</w:t>
      </w:r>
      <w:r w:rsidR="008079A8">
        <w:rPr>
          <w:rFonts w:cs="Arial"/>
          <w:szCs w:val="22"/>
        </w:rPr>
        <w:t>StatsSA, 2012)</w:t>
      </w:r>
      <w:r w:rsidR="004D0712">
        <w:rPr>
          <w:rFonts w:cs="Arial"/>
          <w:szCs w:val="22"/>
        </w:rPr>
        <w:t xml:space="preserve">. </w:t>
      </w:r>
      <w:r w:rsidR="004D0712" w:rsidRPr="00A87FF8">
        <w:rPr>
          <w:rFonts w:cs="Arial"/>
          <w:szCs w:val="22"/>
          <w:highlight w:val="yellow"/>
        </w:rPr>
        <w:t>While the proportion of South African households living in informal settlements has decreased, the total number of people living in informal settlements has increased over the last two decades.  Further, there are now roughly equal numbers of people living in backyard shacks and rooms than in informal settlements.</w:t>
      </w:r>
    </w:p>
    <w:p w14:paraId="0196A0D8" w14:textId="0B8C17EA" w:rsidR="0014517D" w:rsidRDefault="0051411E" w:rsidP="00CF1919">
      <w:pPr>
        <w:pStyle w:val="Caption"/>
      </w:pPr>
      <w:bookmarkStart w:id="25" w:name="_Toc382146298"/>
      <w:r w:rsidRPr="0051411E">
        <w:rPr>
          <w:noProof/>
          <w:lang w:val="en-US"/>
        </w:rPr>
        <w:drawing>
          <wp:inline distT="0" distB="0" distL="0" distR="0" wp14:anchorId="4C493ABA" wp14:editId="27C1521C">
            <wp:extent cx="5943600" cy="3631677"/>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943600" cy="3631677"/>
                    </a:xfrm>
                    <a:prstGeom prst="rect">
                      <a:avLst/>
                    </a:prstGeom>
                    <a:noFill/>
                    <a:ln>
                      <a:noFill/>
                    </a:ln>
                  </pic:spPr>
                </pic:pic>
              </a:graphicData>
            </a:graphic>
          </wp:inline>
        </w:drawing>
      </w:r>
    </w:p>
    <w:p w14:paraId="0EBBFA7D" w14:textId="3E77D63C" w:rsidR="00EC0A74" w:rsidRDefault="00EC0A74" w:rsidP="00CF1919">
      <w:pPr>
        <w:pStyle w:val="Caption"/>
      </w:pPr>
      <w:bookmarkStart w:id="26" w:name="_Toc262046871"/>
      <w:bookmarkStart w:id="27" w:name="_Toc270945504"/>
      <w:bookmarkStart w:id="28" w:name="_Toc255626952"/>
      <w:bookmarkStart w:id="29" w:name="_Toc261617564"/>
      <w:bookmarkEnd w:id="25"/>
      <w:r w:rsidRPr="00216BD3">
        <w:t xml:space="preserve">Figure </w:t>
      </w:r>
      <w:r w:rsidRPr="00216BD3">
        <w:fldChar w:fldCharType="begin"/>
      </w:r>
      <w:r w:rsidRPr="00216BD3">
        <w:instrText xml:space="preserve"> SEQ Figure \* ARABIC </w:instrText>
      </w:r>
      <w:r w:rsidRPr="00216BD3">
        <w:fldChar w:fldCharType="separate"/>
      </w:r>
      <w:r w:rsidR="00E9048A">
        <w:rPr>
          <w:noProof/>
        </w:rPr>
        <w:t>1</w:t>
      </w:r>
      <w:r w:rsidRPr="00216BD3">
        <w:fldChar w:fldCharType="end"/>
      </w:r>
      <w:r w:rsidRPr="00216BD3">
        <w:t xml:space="preserve">: </w:t>
      </w:r>
      <w:bookmarkEnd w:id="26"/>
      <w:r w:rsidRPr="00216BD3">
        <w:t>Households Living in Informal Circumstances in South Africa (</w:t>
      </w:r>
      <w:r w:rsidR="006D7D38">
        <w:t>2007 &amp; 2011)</w:t>
      </w:r>
      <w:r w:rsidR="00A618AB">
        <w:t xml:space="preserve"> </w:t>
      </w:r>
      <w:r w:rsidR="00E01C9B">
        <w:t>(Gardner and Rubin, 2013)</w:t>
      </w:r>
      <w:bookmarkEnd w:id="27"/>
      <w:r w:rsidR="004D0712">
        <w:t xml:space="preserve"> </w:t>
      </w:r>
    </w:p>
    <w:p w14:paraId="524D9996" w14:textId="77777777" w:rsidR="00220C7D" w:rsidRPr="00220C7D" w:rsidRDefault="00220C7D" w:rsidP="00220C7D"/>
    <w:p w14:paraId="128215DB" w14:textId="5416D5AD" w:rsidR="009F18CE" w:rsidRDefault="006D0BC2" w:rsidP="00540DD7">
      <w:pPr>
        <w:pStyle w:val="Heading2"/>
      </w:pPr>
      <w:bookmarkStart w:id="30" w:name="_Toc270946015"/>
      <w:bookmarkStart w:id="31" w:name="_Toc262067780"/>
      <w:r>
        <w:lastRenderedPageBreak/>
        <w:t xml:space="preserve">Profiling </w:t>
      </w:r>
      <w:r w:rsidR="009F18CE">
        <w:t>Informal Settlement</w:t>
      </w:r>
      <w:r w:rsidR="00CF3F6C">
        <w:t xml:space="preserve"> in South Africa</w:t>
      </w:r>
      <w:bookmarkEnd w:id="30"/>
    </w:p>
    <w:p w14:paraId="443D7EA1" w14:textId="77777777" w:rsidR="00777E03" w:rsidRDefault="00777E03" w:rsidP="00126636">
      <w:pPr>
        <w:spacing w:line="360" w:lineRule="auto"/>
        <w:rPr>
          <w:rFonts w:cs="Arial"/>
          <w:szCs w:val="22"/>
        </w:rPr>
      </w:pPr>
    </w:p>
    <w:p w14:paraId="5E61773A" w14:textId="3DDDDCBF" w:rsidR="00126636" w:rsidRPr="00126636" w:rsidRDefault="009F18CE" w:rsidP="00126636">
      <w:pPr>
        <w:spacing w:line="360" w:lineRule="auto"/>
        <w:rPr>
          <w:rFonts w:cs="Arial"/>
          <w:szCs w:val="22"/>
        </w:rPr>
      </w:pPr>
      <w:r w:rsidRPr="009F18CE">
        <w:rPr>
          <w:rFonts w:cs="Arial"/>
          <w:szCs w:val="22"/>
        </w:rPr>
        <w:t xml:space="preserve">While the numbers of households in informal settlements are large, most informal settlements have specific characteristics that </w:t>
      </w:r>
      <w:r w:rsidR="006D0BC2">
        <w:rPr>
          <w:rFonts w:cs="Arial"/>
          <w:szCs w:val="22"/>
        </w:rPr>
        <w:t>influence whether, and how settlement upgrading occurs. Specifically, these factors play a critical role in determining the approach to be taken to shelter consolidation</w:t>
      </w:r>
      <w:r w:rsidRPr="009F18CE">
        <w:rPr>
          <w:rFonts w:cs="Arial"/>
          <w:szCs w:val="22"/>
        </w:rPr>
        <w:t>.</w:t>
      </w:r>
      <w:r>
        <w:rPr>
          <w:rFonts w:cs="Arial"/>
          <w:szCs w:val="22"/>
        </w:rPr>
        <w:t xml:space="preserve"> </w:t>
      </w:r>
      <w:r w:rsidR="00EE4D39">
        <w:rPr>
          <w:rFonts w:cs="Arial"/>
          <w:szCs w:val="22"/>
        </w:rPr>
        <w:t xml:space="preserve">Key parameters of informal settlements that generally impact on the consolidation of houses are discussed </w:t>
      </w:r>
      <w:r w:rsidR="00126636">
        <w:rPr>
          <w:rFonts w:cs="Arial"/>
          <w:szCs w:val="22"/>
        </w:rPr>
        <w:t>broadly</w:t>
      </w:r>
      <w:r w:rsidR="005200FB">
        <w:rPr>
          <w:rFonts w:cs="Arial"/>
          <w:szCs w:val="22"/>
        </w:rPr>
        <w:t xml:space="preserve"> </w:t>
      </w:r>
      <w:r w:rsidR="00EE4D39">
        <w:rPr>
          <w:rFonts w:cs="Arial"/>
          <w:szCs w:val="22"/>
        </w:rPr>
        <w:t>here.</w:t>
      </w:r>
      <w:r w:rsidR="003D69E1">
        <w:rPr>
          <w:rFonts w:cs="Arial"/>
          <w:szCs w:val="22"/>
        </w:rPr>
        <w:t xml:space="preserve">  </w:t>
      </w:r>
    </w:p>
    <w:p w14:paraId="552B0D9D" w14:textId="79967B7C" w:rsidR="00A31431" w:rsidRDefault="003D69E1" w:rsidP="009F18CE">
      <w:pPr>
        <w:spacing w:line="360" w:lineRule="auto"/>
        <w:rPr>
          <w:rFonts w:cs="Arial"/>
          <w:szCs w:val="22"/>
        </w:rPr>
      </w:pPr>
      <w:r>
        <w:rPr>
          <w:rFonts w:cs="Arial"/>
          <w:szCs w:val="22"/>
        </w:rPr>
        <w:t>Results from three sets of survey data are used here to provide an illustrative overview of the diversity within informal settlements. These are</w:t>
      </w:r>
      <w:r w:rsidR="00A31431">
        <w:rPr>
          <w:rFonts w:cs="Arial"/>
          <w:szCs w:val="22"/>
        </w:rPr>
        <w:t>:</w:t>
      </w:r>
    </w:p>
    <w:p w14:paraId="48EF36DA" w14:textId="782AFE92" w:rsidR="006D0BC2" w:rsidRPr="006D0BC2" w:rsidRDefault="006D0BC2" w:rsidP="00F248FD">
      <w:pPr>
        <w:pStyle w:val="ListParagraph"/>
        <w:numPr>
          <w:ilvl w:val="0"/>
          <w:numId w:val="72"/>
        </w:numPr>
        <w:rPr>
          <w:rFonts w:cs="Arial"/>
        </w:rPr>
      </w:pPr>
      <w:r>
        <w:rPr>
          <w:rFonts w:cs="Arial"/>
        </w:rPr>
        <w:t>Seven informal settlement profiles developed for this project in Gumtree, Ethikwini; Diepsloot, Johannesburg; Imizamo Yethu, Hout Bay; Langrug, Stellenbosch; Al</w:t>
      </w:r>
      <w:r w:rsidR="005200FB">
        <w:rPr>
          <w:rFonts w:cs="Arial"/>
        </w:rPr>
        <w:t>b</w:t>
      </w:r>
      <w:r>
        <w:rPr>
          <w:rFonts w:cs="Arial"/>
        </w:rPr>
        <w:t xml:space="preserve">erton Station, Ekurhuleni; Lwazi, Cape Town and Los Angeles, Cape Town. These profiles are included in </w:t>
      </w:r>
      <w:r w:rsidR="005200FB">
        <w:rPr>
          <w:rFonts w:cs="Arial"/>
        </w:rPr>
        <w:t>Annexure</w:t>
      </w:r>
      <w:r w:rsidR="00126636">
        <w:rPr>
          <w:rFonts w:cs="Arial"/>
        </w:rPr>
        <w:t xml:space="preserve"> C of this document.</w:t>
      </w:r>
    </w:p>
    <w:p w14:paraId="7B8B9E8B" w14:textId="3E805B0F" w:rsidR="00A31431" w:rsidRDefault="00A31431" w:rsidP="00F248FD">
      <w:pPr>
        <w:pStyle w:val="ListParagraph"/>
        <w:numPr>
          <w:ilvl w:val="0"/>
          <w:numId w:val="72"/>
        </w:numPr>
        <w:rPr>
          <w:rFonts w:cs="Arial"/>
        </w:rPr>
      </w:pPr>
      <w:r>
        <w:rPr>
          <w:rFonts w:cs="Arial"/>
        </w:rPr>
        <w:t>A</w:t>
      </w:r>
      <w:r w:rsidR="003D69E1" w:rsidRPr="00A31431">
        <w:rPr>
          <w:rFonts w:cs="Arial"/>
        </w:rPr>
        <w:t xml:space="preserve"> set of informal settlement profiling surveys </w:t>
      </w:r>
      <w:r w:rsidRPr="00A31431">
        <w:rPr>
          <w:rFonts w:cs="Arial"/>
        </w:rPr>
        <w:t>undertaken during 2014</w:t>
      </w:r>
      <w:r w:rsidR="003D69E1" w:rsidRPr="00A31431">
        <w:rPr>
          <w:rFonts w:cs="Arial"/>
        </w:rPr>
        <w:t xml:space="preserve"> </w:t>
      </w:r>
      <w:r w:rsidRPr="00A31431">
        <w:rPr>
          <w:rFonts w:cs="Arial"/>
        </w:rPr>
        <w:t>by NUSP</w:t>
      </w:r>
      <w:r>
        <w:rPr>
          <w:rStyle w:val="FootnoteReference"/>
        </w:rPr>
        <w:footnoteReference w:id="1"/>
      </w:r>
      <w:r w:rsidRPr="00A31431">
        <w:rPr>
          <w:rFonts w:cs="Arial"/>
        </w:rPr>
        <w:t xml:space="preserve"> in six settlements in Rustenburg</w:t>
      </w:r>
      <w:r>
        <w:rPr>
          <w:rFonts w:cs="Arial"/>
        </w:rPr>
        <w:t>, namely Mmaditolkwa, Zakhele, YizoYizo, Nak</w:t>
      </w:r>
      <w:r w:rsidR="00126636">
        <w:rPr>
          <w:rFonts w:cs="Arial"/>
        </w:rPr>
        <w:t>eng, Ikemeleng and Freedom Park.</w:t>
      </w:r>
    </w:p>
    <w:p w14:paraId="4198C61D" w14:textId="6C64E83F" w:rsidR="006D0BC2" w:rsidRDefault="00A31431" w:rsidP="00F248FD">
      <w:pPr>
        <w:pStyle w:val="ListParagraph"/>
        <w:numPr>
          <w:ilvl w:val="0"/>
          <w:numId w:val="72"/>
        </w:numPr>
        <w:rPr>
          <w:rFonts w:cs="Arial"/>
        </w:rPr>
      </w:pPr>
      <w:r>
        <w:rPr>
          <w:rFonts w:cs="Arial"/>
        </w:rPr>
        <w:t>A set of informal settlement profiling surveys undertaken by the</w:t>
      </w:r>
      <w:r w:rsidR="003D69E1" w:rsidRPr="00A31431">
        <w:rPr>
          <w:rFonts w:cs="Arial"/>
        </w:rPr>
        <w:t xml:space="preserve"> Housing Development Agency</w:t>
      </w:r>
      <w:r w:rsidR="00126636">
        <w:rPr>
          <w:rFonts w:cs="Arial"/>
        </w:rPr>
        <w:t xml:space="preserve"> (HDA)</w:t>
      </w:r>
      <w:r w:rsidR="003D69E1" w:rsidRPr="00A31431">
        <w:rPr>
          <w:rFonts w:cs="Arial"/>
        </w:rPr>
        <w:t xml:space="preserve"> </w:t>
      </w:r>
      <w:r>
        <w:rPr>
          <w:rFonts w:cs="Arial"/>
        </w:rPr>
        <w:t xml:space="preserve">in </w:t>
      </w:r>
      <w:r w:rsidR="006D0BC2">
        <w:rPr>
          <w:rFonts w:cs="Arial"/>
        </w:rPr>
        <w:t>Extension 6 Jacaranda, Praktiseer Extension 2, Praktiseer Extension 3, Tubatse A, Mohlakaneng, Motetema and S</w:t>
      </w:r>
      <w:r w:rsidR="00126636">
        <w:rPr>
          <w:rFonts w:cs="Arial"/>
        </w:rPr>
        <w:t>mash Block in Limpopo Province.</w:t>
      </w:r>
    </w:p>
    <w:p w14:paraId="036A4F93" w14:textId="153F77F9" w:rsidR="00126636" w:rsidRDefault="00D92B24" w:rsidP="00EE4D39">
      <w:pPr>
        <w:pStyle w:val="Heading3"/>
      </w:pPr>
      <w:r>
        <w:t xml:space="preserve">Physical </w:t>
      </w:r>
      <w:r w:rsidR="00126636">
        <w:t>Settlement Characteristics</w:t>
      </w:r>
    </w:p>
    <w:p w14:paraId="3BE24F03" w14:textId="2B94CFFA" w:rsidR="00126636" w:rsidRDefault="00126636" w:rsidP="00126636">
      <w:pPr>
        <w:spacing w:line="360" w:lineRule="auto"/>
        <w:rPr>
          <w:rFonts w:cs="Arial"/>
          <w:szCs w:val="22"/>
        </w:rPr>
      </w:pPr>
      <w:r>
        <w:rPr>
          <w:rFonts w:cs="Arial"/>
          <w:szCs w:val="22"/>
        </w:rPr>
        <w:t>The following aspects of informal settlements are considered important when developing upgrading plans, and are considered in the seven informal settlement profiles in Annexure C:</w:t>
      </w:r>
    </w:p>
    <w:p w14:paraId="73FDFB21" w14:textId="77777777" w:rsidR="00126636" w:rsidRDefault="00126636" w:rsidP="00F248FD">
      <w:pPr>
        <w:pStyle w:val="ListParagraph"/>
        <w:numPr>
          <w:ilvl w:val="0"/>
          <w:numId w:val="73"/>
        </w:numPr>
        <w:rPr>
          <w:rFonts w:cs="Arial"/>
        </w:rPr>
      </w:pPr>
      <w:r w:rsidRPr="00126636">
        <w:rPr>
          <w:rFonts w:cs="Arial"/>
          <w:b/>
        </w:rPr>
        <w:t>Topography</w:t>
      </w:r>
      <w:r>
        <w:rPr>
          <w:rFonts w:cs="Arial"/>
        </w:rPr>
        <w:t>, including slope, geology and geomorphology of the land on which the settlement is located.</w:t>
      </w:r>
    </w:p>
    <w:p w14:paraId="71982768" w14:textId="77777777" w:rsidR="00126636" w:rsidRDefault="00126636" w:rsidP="00F248FD">
      <w:pPr>
        <w:pStyle w:val="ListParagraph"/>
        <w:numPr>
          <w:ilvl w:val="0"/>
          <w:numId w:val="73"/>
        </w:numPr>
        <w:rPr>
          <w:rFonts w:cs="Arial"/>
        </w:rPr>
      </w:pPr>
      <w:r w:rsidRPr="00126636">
        <w:rPr>
          <w:rFonts w:cs="Arial"/>
          <w:b/>
        </w:rPr>
        <w:t>Settlement Density</w:t>
      </w:r>
      <w:r>
        <w:rPr>
          <w:rFonts w:cs="Arial"/>
        </w:rPr>
        <w:t>, in respect of the number of structures and the number of people per hectare in the settlement.</w:t>
      </w:r>
    </w:p>
    <w:p w14:paraId="752CBBE3" w14:textId="77777777" w:rsidR="00126636" w:rsidRDefault="00126636" w:rsidP="00F248FD">
      <w:pPr>
        <w:pStyle w:val="ListParagraph"/>
        <w:numPr>
          <w:ilvl w:val="0"/>
          <w:numId w:val="73"/>
        </w:numPr>
        <w:rPr>
          <w:rFonts w:cs="Arial"/>
        </w:rPr>
      </w:pPr>
      <w:r w:rsidRPr="00126636">
        <w:rPr>
          <w:rFonts w:cs="Arial"/>
          <w:b/>
        </w:rPr>
        <w:t>Settlement Size</w:t>
      </w:r>
      <w:r>
        <w:rPr>
          <w:rFonts w:cs="Arial"/>
        </w:rPr>
        <w:t>, specifically in relation to the total number of structures and households to be accommodated through any upgrading intervention;</w:t>
      </w:r>
    </w:p>
    <w:p w14:paraId="5030DE16" w14:textId="77777777" w:rsidR="00126636" w:rsidRDefault="00126636" w:rsidP="00F248FD">
      <w:pPr>
        <w:pStyle w:val="ListParagraph"/>
        <w:numPr>
          <w:ilvl w:val="0"/>
          <w:numId w:val="73"/>
        </w:numPr>
        <w:rPr>
          <w:rFonts w:cs="Arial"/>
        </w:rPr>
      </w:pPr>
      <w:r w:rsidRPr="00126636">
        <w:rPr>
          <w:rFonts w:cs="Arial"/>
          <w:b/>
        </w:rPr>
        <w:lastRenderedPageBreak/>
        <w:t>Legal Status</w:t>
      </w:r>
      <w:r>
        <w:rPr>
          <w:rFonts w:cs="Arial"/>
        </w:rPr>
        <w:t xml:space="preserve"> of the settlement, with respect to level of official recognition and tenure formality, as well as the ownership and parameters of the underlying land;</w:t>
      </w:r>
    </w:p>
    <w:p w14:paraId="7DC4DE1C" w14:textId="77777777" w:rsidR="00126636" w:rsidRDefault="00126636" w:rsidP="00F248FD">
      <w:pPr>
        <w:pStyle w:val="ListParagraph"/>
        <w:numPr>
          <w:ilvl w:val="0"/>
          <w:numId w:val="73"/>
        </w:numPr>
        <w:rPr>
          <w:rFonts w:cs="Arial"/>
        </w:rPr>
      </w:pPr>
      <w:r w:rsidRPr="00126636">
        <w:rPr>
          <w:rFonts w:cs="Arial"/>
          <w:b/>
        </w:rPr>
        <w:t>Age of Settlement</w:t>
      </w:r>
      <w:r>
        <w:rPr>
          <w:rFonts w:cs="Arial"/>
        </w:rPr>
        <w:t>, as this often impacts on the level of permanence and amount of household investment already made in the settlement;</w:t>
      </w:r>
    </w:p>
    <w:p w14:paraId="207B791F" w14:textId="3BBFC224" w:rsidR="00126636" w:rsidRPr="00126636" w:rsidRDefault="00126636" w:rsidP="00F248FD">
      <w:pPr>
        <w:pStyle w:val="ListParagraph"/>
        <w:numPr>
          <w:ilvl w:val="0"/>
          <w:numId w:val="73"/>
        </w:numPr>
      </w:pPr>
      <w:r w:rsidRPr="00126636">
        <w:rPr>
          <w:rFonts w:cs="Arial"/>
          <w:b/>
        </w:rPr>
        <w:t>Access to Services</w:t>
      </w:r>
      <w:r w:rsidRPr="00126636">
        <w:rPr>
          <w:rFonts w:cs="Arial"/>
        </w:rPr>
        <w:t>, including types of services (including water, sanitation, electricity, street lighting, roads and social amenities) and levels of service (none, basic, intermediate or full service standards).</w:t>
      </w:r>
    </w:p>
    <w:p w14:paraId="4687AD4E" w14:textId="2DC7E0C3" w:rsidR="00126636" w:rsidRPr="00126636" w:rsidRDefault="00126636" w:rsidP="00F248FD">
      <w:pPr>
        <w:pStyle w:val="ListParagraph"/>
        <w:numPr>
          <w:ilvl w:val="0"/>
          <w:numId w:val="73"/>
        </w:numPr>
      </w:pPr>
      <w:r>
        <w:rPr>
          <w:rFonts w:cs="Arial"/>
          <w:b/>
        </w:rPr>
        <w:t xml:space="preserve">Settlement Location, </w:t>
      </w:r>
      <w:r>
        <w:rPr>
          <w:rFonts w:cs="Arial"/>
        </w:rPr>
        <w:t>in respect of urban areas and location to employment, services and amenities.</w:t>
      </w:r>
    </w:p>
    <w:p w14:paraId="339D1F55" w14:textId="5ED3C8FE" w:rsidR="00126636" w:rsidRPr="00D92B24" w:rsidRDefault="00126636" w:rsidP="00F248FD">
      <w:pPr>
        <w:pStyle w:val="ListParagraph"/>
        <w:numPr>
          <w:ilvl w:val="0"/>
          <w:numId w:val="73"/>
        </w:numPr>
      </w:pPr>
      <w:r>
        <w:rPr>
          <w:rFonts w:cs="Arial"/>
          <w:b/>
        </w:rPr>
        <w:t xml:space="preserve">Built Form, </w:t>
      </w:r>
      <w:r>
        <w:rPr>
          <w:rFonts w:cs="Arial"/>
        </w:rPr>
        <w:t>which includes building typology (</w:t>
      </w:r>
      <w:r w:rsidR="00D92B24">
        <w:rPr>
          <w:rFonts w:cs="Arial"/>
        </w:rPr>
        <w:t>low density, detached units; higher density attached units; whether private space is demarcated or not, and materials used for shelter construction (brick or block, wood, metal sheeting, plastic).</w:t>
      </w:r>
    </w:p>
    <w:p w14:paraId="1F7C1F68" w14:textId="247C06C9" w:rsidR="00D92B24" w:rsidRDefault="00D92B24" w:rsidP="00D92B24">
      <w:pPr>
        <w:pStyle w:val="Heading3"/>
      </w:pPr>
      <w:r>
        <w:t>Socio-Demographic Settlement Characteristics</w:t>
      </w:r>
    </w:p>
    <w:p w14:paraId="3EEA5304" w14:textId="0D21A56C" w:rsidR="00D92B24" w:rsidRPr="00480DDA" w:rsidRDefault="00D92B24" w:rsidP="00480DDA">
      <w:pPr>
        <w:spacing w:line="360" w:lineRule="auto"/>
        <w:rPr>
          <w:rFonts w:cs="Arial"/>
          <w:szCs w:val="22"/>
        </w:rPr>
      </w:pPr>
      <w:r w:rsidRPr="00480DDA">
        <w:rPr>
          <w:rFonts w:cs="Arial"/>
          <w:szCs w:val="22"/>
        </w:rPr>
        <w:t xml:space="preserve">The socio-demographic </w:t>
      </w:r>
      <w:r w:rsidR="00A965D8" w:rsidRPr="00480DDA">
        <w:rPr>
          <w:rFonts w:cs="Arial"/>
          <w:szCs w:val="22"/>
        </w:rPr>
        <w:t>profiles of informal settlement residents also play</w:t>
      </w:r>
      <w:r w:rsidRPr="00480DDA">
        <w:rPr>
          <w:rFonts w:cs="Arial"/>
          <w:szCs w:val="22"/>
        </w:rPr>
        <w:t xml:space="preserve"> a critical role on the approach that can be taken to upgrading.   </w:t>
      </w:r>
    </w:p>
    <w:p w14:paraId="589C5BD2" w14:textId="77777777" w:rsidR="00A965D8" w:rsidRPr="00A965D8" w:rsidRDefault="00D92B24" w:rsidP="00F248FD">
      <w:pPr>
        <w:pStyle w:val="ListParagraph"/>
        <w:numPr>
          <w:ilvl w:val="0"/>
          <w:numId w:val="73"/>
        </w:numPr>
      </w:pPr>
      <w:r>
        <w:rPr>
          <w:rFonts w:cs="Arial"/>
          <w:b/>
        </w:rPr>
        <w:t>Role in the Urban System</w:t>
      </w:r>
      <w:r w:rsidR="00A965D8">
        <w:rPr>
          <w:rFonts w:cs="Arial"/>
          <w:b/>
        </w:rPr>
        <w:t xml:space="preserve">: </w:t>
      </w:r>
      <w:r w:rsidR="00A965D8">
        <w:rPr>
          <w:rFonts w:cs="Arial"/>
        </w:rPr>
        <w:t>The role that an informal settlement plays in the urban system can substantially influence whether, and how, upgrading occurs, and specifically what the desired housing outcomes of residents are.  This can include settlements that house households otherwise unable to access decent accommodation, settlements offering temporary accommodation in specific locations (such as proximate to areas of employment, especially in the primary industry), settlements that offer refuge to households not eligible for residence and housing rights in South Africa.</w:t>
      </w:r>
    </w:p>
    <w:p w14:paraId="2B6B8D85" w14:textId="4EA4BAB0" w:rsidR="00A965D8" w:rsidRPr="00A965D8" w:rsidRDefault="00D92B24" w:rsidP="00F248FD">
      <w:pPr>
        <w:pStyle w:val="ListParagraph"/>
        <w:numPr>
          <w:ilvl w:val="0"/>
          <w:numId w:val="73"/>
        </w:numPr>
      </w:pPr>
      <w:r>
        <w:rPr>
          <w:rFonts w:cs="Arial"/>
        </w:rPr>
        <w:t xml:space="preserve"> </w:t>
      </w:r>
      <w:r w:rsidR="00A965D8">
        <w:rPr>
          <w:rFonts w:cs="Arial"/>
          <w:b/>
        </w:rPr>
        <w:t>Household Size and Composition</w:t>
      </w:r>
      <w:r w:rsidR="009F555F">
        <w:rPr>
          <w:rFonts w:cs="Arial"/>
          <w:b/>
        </w:rPr>
        <w:t xml:space="preserve">: </w:t>
      </w:r>
      <w:r w:rsidR="009F555F" w:rsidRPr="009F555F">
        <w:rPr>
          <w:rFonts w:cs="Arial"/>
        </w:rPr>
        <w:t>Understanding</w:t>
      </w:r>
      <w:r w:rsidR="009F555F">
        <w:rPr>
          <w:rFonts w:cs="Arial"/>
          <w:b/>
        </w:rPr>
        <w:t xml:space="preserve"> </w:t>
      </w:r>
      <w:r w:rsidR="009F555F" w:rsidRPr="009F555F">
        <w:rPr>
          <w:rFonts w:cs="Arial"/>
        </w:rPr>
        <w:t>h</w:t>
      </w:r>
      <w:r w:rsidR="009F555F">
        <w:rPr>
          <w:rFonts w:cs="Arial"/>
        </w:rPr>
        <w:t>ousehold structures</w:t>
      </w:r>
      <w:r w:rsidR="00A965D8">
        <w:rPr>
          <w:rFonts w:cs="Arial"/>
          <w:b/>
        </w:rPr>
        <w:t xml:space="preserve"> </w:t>
      </w:r>
      <w:r w:rsidR="00A965D8">
        <w:rPr>
          <w:rFonts w:cs="Arial"/>
        </w:rPr>
        <w:t>assists to define the nature of accommodation required by residents</w:t>
      </w:r>
      <w:r w:rsidR="009F555F">
        <w:rPr>
          <w:rFonts w:cs="Arial"/>
        </w:rPr>
        <w:t xml:space="preserve"> of informal settlements</w:t>
      </w:r>
      <w:r w:rsidR="00A965D8">
        <w:rPr>
          <w:rFonts w:cs="Arial"/>
        </w:rPr>
        <w:t xml:space="preserve">. However, this may also indicate a level of fragmentation of households between informal settlements and other areas within the urban system. </w:t>
      </w:r>
    </w:p>
    <w:p w14:paraId="3193A613" w14:textId="51DE051F" w:rsidR="00A965D8" w:rsidRPr="00A965D8" w:rsidRDefault="00A965D8" w:rsidP="00F248FD">
      <w:pPr>
        <w:pStyle w:val="ListParagraph"/>
        <w:numPr>
          <w:ilvl w:val="0"/>
          <w:numId w:val="73"/>
        </w:numPr>
      </w:pPr>
      <w:r w:rsidRPr="00A965D8">
        <w:rPr>
          <w:rFonts w:cs="Arial"/>
          <w:b/>
        </w:rPr>
        <w:t>Employment and Incomes</w:t>
      </w:r>
      <w:r w:rsidR="009F555F">
        <w:rPr>
          <w:rFonts w:cs="Arial"/>
          <w:b/>
        </w:rPr>
        <w:t xml:space="preserve">: </w:t>
      </w:r>
      <w:r>
        <w:rPr>
          <w:rFonts w:cs="Arial"/>
        </w:rPr>
        <w:t xml:space="preserve"> </w:t>
      </w:r>
      <w:r w:rsidR="009F555F">
        <w:rPr>
          <w:rFonts w:cs="Arial"/>
        </w:rPr>
        <w:t>Income levels d</w:t>
      </w:r>
      <w:r>
        <w:rPr>
          <w:rFonts w:cs="Arial"/>
        </w:rPr>
        <w:t xml:space="preserve">etermine the economic status of households in the settlement, which in turn influences eligibility for state housing benefits, the ability to afford more formal housing circumstances and affordability of </w:t>
      </w:r>
      <w:r w:rsidR="009F555F">
        <w:rPr>
          <w:rFonts w:cs="Arial"/>
        </w:rPr>
        <w:t xml:space="preserve">ongoing </w:t>
      </w:r>
      <w:r>
        <w:rPr>
          <w:rFonts w:cs="Arial"/>
        </w:rPr>
        <w:t xml:space="preserve">house </w:t>
      </w:r>
      <w:r w:rsidR="009F555F">
        <w:rPr>
          <w:rFonts w:cs="Arial"/>
        </w:rPr>
        <w:t>consolidation</w:t>
      </w:r>
      <w:r>
        <w:rPr>
          <w:rFonts w:cs="Arial"/>
        </w:rPr>
        <w:t>.</w:t>
      </w:r>
    </w:p>
    <w:p w14:paraId="15565943" w14:textId="0E04D4A2" w:rsidR="00A965D8" w:rsidRDefault="00A965D8" w:rsidP="00F248FD">
      <w:pPr>
        <w:pStyle w:val="ListParagraph"/>
        <w:numPr>
          <w:ilvl w:val="0"/>
          <w:numId w:val="73"/>
        </w:numPr>
      </w:pPr>
      <w:r w:rsidRPr="00A965D8">
        <w:rPr>
          <w:b/>
        </w:rPr>
        <w:lastRenderedPageBreak/>
        <w:t>Expenditure on Housing</w:t>
      </w:r>
      <w:r>
        <w:t>:</w:t>
      </w:r>
      <w:r w:rsidR="009F555F">
        <w:t xml:space="preserve"> Incomes are not the only determinant of housing affordability. Households’ relative levels of expenditure also influence what resources may be available for house consolidation</w:t>
      </w:r>
      <w:r w:rsidR="00480DDA">
        <w:t>, and hence the pace at which house consolidation will occur</w:t>
      </w:r>
      <w:r w:rsidR="009F555F">
        <w:t>.</w:t>
      </w:r>
    </w:p>
    <w:p w14:paraId="116F38EF" w14:textId="77777777" w:rsidR="00977744" w:rsidRPr="00A965D8" w:rsidRDefault="00977744" w:rsidP="00F248FD">
      <w:pPr>
        <w:pStyle w:val="ListParagraph"/>
        <w:numPr>
          <w:ilvl w:val="0"/>
          <w:numId w:val="73"/>
        </w:numPr>
      </w:pPr>
      <w:r w:rsidRPr="00A965D8">
        <w:rPr>
          <w:b/>
        </w:rPr>
        <w:t xml:space="preserve">Access to </w:t>
      </w:r>
      <w:r>
        <w:rPr>
          <w:b/>
        </w:rPr>
        <w:t>Financial Resources</w:t>
      </w:r>
      <w:r>
        <w:t>: An important determinant of house consolidation is what financial resources each household can mobilise towards the immediate or longer-term house construction. This includes access to savings and credit for housing.</w:t>
      </w:r>
    </w:p>
    <w:p w14:paraId="58070C9D" w14:textId="35BB8E1E" w:rsidR="00A965D8" w:rsidRPr="00A965D8" w:rsidRDefault="00A965D8" w:rsidP="00F248FD">
      <w:pPr>
        <w:pStyle w:val="ListParagraph"/>
        <w:numPr>
          <w:ilvl w:val="0"/>
          <w:numId w:val="73"/>
        </w:numPr>
      </w:pPr>
      <w:r>
        <w:rPr>
          <w:b/>
        </w:rPr>
        <w:t>Subsidy Eligibility:</w:t>
      </w:r>
      <w:r w:rsidR="00480DDA">
        <w:rPr>
          <w:b/>
        </w:rPr>
        <w:t xml:space="preserve"> </w:t>
      </w:r>
      <w:r w:rsidR="00480DDA">
        <w:t>Key subsidy eligibility criteria, along with interpretations of subsidy eligibility for different subsidy instruments influence what proportion of informal settlers can participate in upgrading processes and may benefit from house subsidies available.</w:t>
      </w:r>
    </w:p>
    <w:p w14:paraId="5820E0EF" w14:textId="3B6344C1" w:rsidR="00A965D8" w:rsidRDefault="00A965D8" w:rsidP="00EE4D39">
      <w:pPr>
        <w:pStyle w:val="Heading3"/>
      </w:pPr>
      <w:r>
        <w:t>Role of Informal Settlements</w:t>
      </w:r>
      <w:r w:rsidR="00480DDA">
        <w:t xml:space="preserve"> in the Urban System</w:t>
      </w:r>
    </w:p>
    <w:p w14:paraId="004AC277" w14:textId="77777777" w:rsidR="00980DD0" w:rsidRDefault="00480DDA" w:rsidP="00480DDA">
      <w:pPr>
        <w:spacing w:line="360" w:lineRule="auto"/>
        <w:rPr>
          <w:rFonts w:cs="Arial"/>
          <w:szCs w:val="22"/>
        </w:rPr>
      </w:pPr>
      <w:r w:rsidRPr="00480DDA">
        <w:rPr>
          <w:rFonts w:cs="Arial"/>
          <w:szCs w:val="22"/>
        </w:rPr>
        <w:t xml:space="preserve">While informal settlements are generally acknowledged to indicate a lack of suitable alternative, affordable accommodation options for its occupants, this interpretation simplifies the complex roles that informal settlements play in the overall settlement system.  </w:t>
      </w:r>
    </w:p>
    <w:p w14:paraId="5DA663E1" w14:textId="12EABDDB" w:rsidR="00980DD0" w:rsidRDefault="00F46047" w:rsidP="00480DDA">
      <w:pPr>
        <w:spacing w:line="360" w:lineRule="auto"/>
        <w:rPr>
          <w:rFonts w:cs="Arial"/>
          <w:szCs w:val="22"/>
        </w:rPr>
      </w:pPr>
      <w:r>
        <w:rPr>
          <w:rFonts w:cs="Arial"/>
          <w:szCs w:val="22"/>
        </w:rPr>
        <w:t>It is clear that many informal settlers aspire to access state-subsidised housing opportunities</w:t>
      </w:r>
      <w:r w:rsidR="00980DD0">
        <w:rPr>
          <w:rFonts w:cs="Arial"/>
          <w:szCs w:val="22"/>
        </w:rPr>
        <w:t>, and for many this means new subsidised housing constructed in greenfields developments. However, increasing anecdotal and survey evidence indicates the strong desire of informal settlement communities to access resources in-situ, via upgrading processes</w:t>
      </w:r>
      <w:r w:rsidR="00286622">
        <w:rPr>
          <w:rStyle w:val="FootnoteReference"/>
          <w:szCs w:val="22"/>
        </w:rPr>
        <w:footnoteReference w:id="2"/>
      </w:r>
      <w:r w:rsidR="00980DD0">
        <w:rPr>
          <w:rFonts w:cs="Arial"/>
          <w:szCs w:val="22"/>
        </w:rPr>
        <w:t xml:space="preserve">. In addition, </w:t>
      </w:r>
      <w:r w:rsidR="00980DD0" w:rsidRPr="00BF1D37">
        <w:rPr>
          <w:rFonts w:cs="Arial"/>
          <w:szCs w:val="22"/>
          <w:highlight w:val="yellow"/>
        </w:rPr>
        <w:t>anecdotal evidence from certain upgrading projects further indicates that communities would also rather receive a different (lesser) level of state investment in housing through upgrading, than remain in a ‘housing queue’ for subsidised accommodation where it is difficult to determine when housing may be accessed. This is also driven by the acknowledgement of the various benefits offered by many informal settlements, including relatively good locations to employment and services, low cost of living (including lower transport costs), already-established social networks and existing investments in accommodation.</w:t>
      </w:r>
      <w:r w:rsidR="00980DD0">
        <w:rPr>
          <w:rFonts w:cs="Arial"/>
          <w:szCs w:val="22"/>
        </w:rPr>
        <w:t xml:space="preserve">  </w:t>
      </w:r>
    </w:p>
    <w:p w14:paraId="502B204B" w14:textId="0A4A245C" w:rsidR="00A965D8" w:rsidRPr="00480DDA" w:rsidRDefault="00980DD0" w:rsidP="00480DDA">
      <w:pPr>
        <w:spacing w:line="360" w:lineRule="auto"/>
        <w:rPr>
          <w:rFonts w:cs="Arial"/>
          <w:szCs w:val="22"/>
        </w:rPr>
      </w:pPr>
      <w:r>
        <w:rPr>
          <w:rFonts w:cs="Arial"/>
          <w:szCs w:val="22"/>
        </w:rPr>
        <w:t xml:space="preserve">An important indicator of future development approaches relates to settlements that serve a temporary, cheap accommodation demand from circulatory migrants working in primary industries such as mining and forestry. Recent profiling of settlements in Rustenburg by NUSP </w:t>
      </w:r>
      <w:r>
        <w:rPr>
          <w:rFonts w:cs="Arial"/>
          <w:szCs w:val="22"/>
        </w:rPr>
        <w:lastRenderedPageBreak/>
        <w:t xml:space="preserve">show that in </w:t>
      </w:r>
      <w:r w:rsidR="0095686B">
        <w:rPr>
          <w:rFonts w:cs="Arial"/>
          <w:szCs w:val="22"/>
        </w:rPr>
        <w:t xml:space="preserve">four out of six settlements, over 90% of full-time and part-time employed household heads are mineworkers. In Ikemeleng, 69% of all employed households are mineworkers, and this figure is 62% in Freedom Park, 60% in Mmaditholkwa yet only 25% in YizoYizo. </w:t>
      </w:r>
    </w:p>
    <w:p w14:paraId="15190E02" w14:textId="006224D1" w:rsidR="00EE4D39" w:rsidRDefault="00BB4664" w:rsidP="00EE4D39">
      <w:pPr>
        <w:pStyle w:val="Heading3"/>
      </w:pPr>
      <w:r>
        <w:t xml:space="preserve">Household </w:t>
      </w:r>
      <w:r w:rsidR="00C07B44">
        <w:t>Size and Composition</w:t>
      </w:r>
    </w:p>
    <w:p w14:paraId="67167412" w14:textId="4A73D3B4" w:rsidR="00BB4664" w:rsidRDefault="00BB4664" w:rsidP="009F18CE">
      <w:pPr>
        <w:spacing w:line="360" w:lineRule="auto"/>
        <w:rPr>
          <w:rFonts w:cs="Arial"/>
          <w:szCs w:val="22"/>
        </w:rPr>
      </w:pPr>
      <w:r>
        <w:rPr>
          <w:rFonts w:cs="Arial"/>
          <w:szCs w:val="22"/>
        </w:rPr>
        <w:t>The</w:t>
      </w:r>
      <w:r w:rsidR="009F18CE">
        <w:rPr>
          <w:rFonts w:cs="Arial"/>
          <w:szCs w:val="22"/>
        </w:rPr>
        <w:t xml:space="preserve"> </w:t>
      </w:r>
      <w:r w:rsidR="00220C7D">
        <w:rPr>
          <w:rFonts w:cs="Arial"/>
          <w:szCs w:val="22"/>
        </w:rPr>
        <w:t>relatively low household sizes</w:t>
      </w:r>
      <w:r w:rsidR="00EE4D39">
        <w:rPr>
          <w:rFonts w:cs="Arial"/>
          <w:szCs w:val="22"/>
        </w:rPr>
        <w:t xml:space="preserve"> </w:t>
      </w:r>
      <w:r>
        <w:rPr>
          <w:rFonts w:cs="Arial"/>
          <w:szCs w:val="22"/>
        </w:rPr>
        <w:t xml:space="preserve">in informal settlements when </w:t>
      </w:r>
      <w:r w:rsidR="00EE4D39">
        <w:rPr>
          <w:rFonts w:cs="Arial"/>
          <w:szCs w:val="22"/>
        </w:rPr>
        <w:t>compared to South Africa</w:t>
      </w:r>
      <w:r w:rsidR="00601070">
        <w:rPr>
          <w:rFonts w:cs="Arial"/>
          <w:szCs w:val="22"/>
        </w:rPr>
        <w:t>n household structures</w:t>
      </w:r>
      <w:r w:rsidR="00EE4D39">
        <w:rPr>
          <w:rFonts w:cs="Arial"/>
          <w:szCs w:val="22"/>
        </w:rPr>
        <w:t xml:space="preserve"> generally</w:t>
      </w:r>
      <w:r>
        <w:rPr>
          <w:rFonts w:cs="Arial"/>
          <w:szCs w:val="22"/>
        </w:rPr>
        <w:t xml:space="preserve"> are a key consideration in shelter consolidation</w:t>
      </w:r>
      <w:r w:rsidR="00220C7D">
        <w:rPr>
          <w:rFonts w:cs="Arial"/>
          <w:szCs w:val="22"/>
        </w:rPr>
        <w:t xml:space="preserve">. </w:t>
      </w:r>
      <w:r w:rsidR="00EE4D39">
        <w:rPr>
          <w:rFonts w:cs="Arial"/>
        </w:rPr>
        <w:t>Nationally, 27% of households comprise one person</w:t>
      </w:r>
      <w:r w:rsidR="00EE4D39">
        <w:rPr>
          <w:rFonts w:cs="Arial"/>
          <w:szCs w:val="22"/>
        </w:rPr>
        <w:t xml:space="preserve">, 21% are two-person households and 15% are three-person households. </w:t>
      </w:r>
      <w:r w:rsidR="00220C7D">
        <w:rPr>
          <w:rFonts w:cs="Arial"/>
          <w:szCs w:val="22"/>
        </w:rPr>
        <w:t xml:space="preserve">Figure 2 illustrates </w:t>
      </w:r>
      <w:r w:rsidR="00EE4D39">
        <w:rPr>
          <w:rFonts w:cs="Arial"/>
          <w:szCs w:val="22"/>
        </w:rPr>
        <w:t xml:space="preserve">however </w:t>
      </w:r>
      <w:r w:rsidR="00220C7D">
        <w:rPr>
          <w:rFonts w:cs="Arial"/>
          <w:szCs w:val="22"/>
        </w:rPr>
        <w:t xml:space="preserve">that </w:t>
      </w:r>
      <w:r w:rsidR="00CF3F6C">
        <w:rPr>
          <w:rFonts w:cs="Arial"/>
          <w:szCs w:val="22"/>
        </w:rPr>
        <w:t xml:space="preserve">38% of all households in informal settlements are single </w:t>
      </w:r>
      <w:r w:rsidR="00B542E8">
        <w:rPr>
          <w:rFonts w:cs="Arial"/>
          <w:szCs w:val="22"/>
        </w:rPr>
        <w:t>person</w:t>
      </w:r>
      <w:r w:rsidR="00CF3F6C">
        <w:rPr>
          <w:rFonts w:cs="Arial"/>
          <w:szCs w:val="22"/>
        </w:rPr>
        <w:t xml:space="preserve"> households</w:t>
      </w:r>
      <w:r>
        <w:rPr>
          <w:rFonts w:cs="Arial"/>
          <w:szCs w:val="22"/>
        </w:rPr>
        <w:t xml:space="preserve">, and that </w:t>
      </w:r>
      <w:r w:rsidR="00CF3F6C">
        <w:rPr>
          <w:rFonts w:cs="Arial"/>
          <w:szCs w:val="22"/>
        </w:rPr>
        <w:t>three</w:t>
      </w:r>
      <w:r>
        <w:rPr>
          <w:rFonts w:cs="Arial"/>
          <w:szCs w:val="22"/>
        </w:rPr>
        <w:t>-</w:t>
      </w:r>
      <w:r w:rsidR="00CF3F6C">
        <w:rPr>
          <w:rFonts w:cs="Arial"/>
          <w:szCs w:val="22"/>
        </w:rPr>
        <w:t xml:space="preserve">quarters of all informal settlement households are smaller than the national average of </w:t>
      </w:r>
      <w:r>
        <w:rPr>
          <w:rFonts w:cs="Arial"/>
          <w:szCs w:val="22"/>
        </w:rPr>
        <w:t xml:space="preserve">around </w:t>
      </w:r>
      <w:r w:rsidR="00CF3F6C">
        <w:rPr>
          <w:rFonts w:cs="Arial"/>
          <w:szCs w:val="22"/>
        </w:rPr>
        <w:t xml:space="preserve">4 people per household. </w:t>
      </w:r>
    </w:p>
    <w:p w14:paraId="63BE9D34" w14:textId="57C150E7" w:rsidR="00286622" w:rsidRDefault="00286622" w:rsidP="00864E7E">
      <w:pPr>
        <w:spacing w:line="360" w:lineRule="auto"/>
        <w:rPr>
          <w:b/>
        </w:rPr>
      </w:pPr>
      <w:r w:rsidRPr="00286622">
        <w:rPr>
          <w:noProof/>
          <w:lang w:val="en-US"/>
        </w:rPr>
        <w:drawing>
          <wp:inline distT="0" distB="0" distL="0" distR="0" wp14:anchorId="2EE5B2D0" wp14:editId="10C7B040">
            <wp:extent cx="5867400" cy="26244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867400" cy="2624455"/>
                    </a:xfrm>
                    <a:prstGeom prst="rect">
                      <a:avLst/>
                    </a:prstGeom>
                    <a:noFill/>
                    <a:ln>
                      <a:noFill/>
                    </a:ln>
                  </pic:spPr>
                </pic:pic>
              </a:graphicData>
            </a:graphic>
          </wp:inline>
        </w:drawing>
      </w:r>
    </w:p>
    <w:p w14:paraId="3766ACF8" w14:textId="77777777" w:rsidR="00864E7E" w:rsidRPr="00220C7D" w:rsidRDefault="00864E7E" w:rsidP="00864E7E">
      <w:pPr>
        <w:spacing w:line="360" w:lineRule="auto"/>
        <w:rPr>
          <w:rFonts w:cs="Arial"/>
          <w:b/>
          <w:szCs w:val="22"/>
        </w:rPr>
      </w:pPr>
      <w:bookmarkStart w:id="32" w:name="_Toc270945505"/>
      <w:r w:rsidRPr="00864E7E">
        <w:rPr>
          <w:b/>
        </w:rPr>
        <w:t xml:space="preserve">Figure </w:t>
      </w:r>
      <w:r w:rsidRPr="00864E7E">
        <w:rPr>
          <w:b/>
        </w:rPr>
        <w:fldChar w:fldCharType="begin"/>
      </w:r>
      <w:r w:rsidRPr="00864E7E">
        <w:rPr>
          <w:b/>
        </w:rPr>
        <w:instrText xml:space="preserve"> SEQ Figure \* ARABIC </w:instrText>
      </w:r>
      <w:r w:rsidRPr="00864E7E">
        <w:rPr>
          <w:b/>
        </w:rPr>
        <w:fldChar w:fldCharType="separate"/>
      </w:r>
      <w:r w:rsidR="00E9048A">
        <w:rPr>
          <w:b/>
          <w:noProof/>
        </w:rPr>
        <w:t>2</w:t>
      </w:r>
      <w:r w:rsidRPr="00864E7E">
        <w:rPr>
          <w:b/>
        </w:rPr>
        <w:fldChar w:fldCharType="end"/>
      </w:r>
      <w:r w:rsidRPr="00864E7E">
        <w:rPr>
          <w:b/>
        </w:rPr>
        <w:t>:</w:t>
      </w:r>
      <w:r>
        <w:rPr>
          <w:b/>
        </w:rPr>
        <w:t xml:space="preserve"> Average Household Sizes in Informal Settlement</w:t>
      </w:r>
      <w:r w:rsidRPr="00220C7D">
        <w:rPr>
          <w:b/>
        </w:rPr>
        <w:t>s</w:t>
      </w:r>
      <w:r>
        <w:rPr>
          <w:b/>
        </w:rPr>
        <w:t xml:space="preserve"> in South Africa (Census 2011)</w:t>
      </w:r>
      <w:bookmarkEnd w:id="32"/>
    </w:p>
    <w:p w14:paraId="264DA92C" w14:textId="62F7DB8D" w:rsidR="00286622" w:rsidRDefault="00286622" w:rsidP="009F18CE">
      <w:pPr>
        <w:spacing w:line="360" w:lineRule="auto"/>
        <w:rPr>
          <w:rFonts w:cs="Arial"/>
          <w:szCs w:val="22"/>
        </w:rPr>
      </w:pPr>
      <w:r>
        <w:rPr>
          <w:rFonts w:cs="Arial"/>
          <w:szCs w:val="22"/>
        </w:rPr>
        <w:t>Figure 3 below shows the proportion of the total informal settlement population per household size.  This shows that roughly equal numbers of people are distributed between single person households, two-person households and three person households.  Together, one, two and three-person households comprise just under half of all informal settlement dwellers, and 75% of households.</w:t>
      </w:r>
    </w:p>
    <w:p w14:paraId="6AA196AD" w14:textId="6E93DC7C" w:rsidR="00286622" w:rsidRDefault="00286622" w:rsidP="009F18CE">
      <w:pPr>
        <w:spacing w:line="360" w:lineRule="auto"/>
        <w:rPr>
          <w:rFonts w:cs="Arial"/>
          <w:szCs w:val="22"/>
        </w:rPr>
      </w:pPr>
      <w:r w:rsidRPr="00286622">
        <w:rPr>
          <w:noProof/>
          <w:lang w:val="en-US"/>
        </w:rPr>
        <w:lastRenderedPageBreak/>
        <w:drawing>
          <wp:inline distT="0" distB="0" distL="0" distR="0" wp14:anchorId="7C34FACC" wp14:editId="4792CC89">
            <wp:extent cx="5943600" cy="2590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943600" cy="2590800"/>
                    </a:xfrm>
                    <a:prstGeom prst="rect">
                      <a:avLst/>
                    </a:prstGeom>
                    <a:noFill/>
                    <a:ln>
                      <a:noFill/>
                    </a:ln>
                  </pic:spPr>
                </pic:pic>
              </a:graphicData>
            </a:graphic>
          </wp:inline>
        </w:drawing>
      </w:r>
    </w:p>
    <w:p w14:paraId="1BC1CDA5" w14:textId="225CA7ED" w:rsidR="00286622" w:rsidRPr="00220C7D" w:rsidRDefault="00286622" w:rsidP="00286622">
      <w:pPr>
        <w:spacing w:line="360" w:lineRule="auto"/>
        <w:rPr>
          <w:rFonts w:cs="Arial"/>
          <w:b/>
          <w:szCs w:val="22"/>
        </w:rPr>
      </w:pPr>
      <w:bookmarkStart w:id="33" w:name="_Toc270945506"/>
      <w:r w:rsidRPr="00864E7E">
        <w:rPr>
          <w:b/>
        </w:rPr>
        <w:t xml:space="preserve">Figure </w:t>
      </w:r>
      <w:r w:rsidRPr="00864E7E">
        <w:rPr>
          <w:b/>
        </w:rPr>
        <w:fldChar w:fldCharType="begin"/>
      </w:r>
      <w:r w:rsidRPr="00864E7E">
        <w:rPr>
          <w:b/>
        </w:rPr>
        <w:instrText xml:space="preserve"> SEQ Figure \* ARABIC </w:instrText>
      </w:r>
      <w:r w:rsidRPr="00864E7E">
        <w:rPr>
          <w:b/>
        </w:rPr>
        <w:fldChar w:fldCharType="separate"/>
      </w:r>
      <w:r w:rsidR="00E9048A">
        <w:rPr>
          <w:b/>
          <w:noProof/>
        </w:rPr>
        <w:t>3</w:t>
      </w:r>
      <w:r w:rsidRPr="00864E7E">
        <w:rPr>
          <w:b/>
        </w:rPr>
        <w:fldChar w:fldCharType="end"/>
      </w:r>
      <w:r w:rsidRPr="00864E7E">
        <w:rPr>
          <w:b/>
        </w:rPr>
        <w:t>:</w:t>
      </w:r>
      <w:r>
        <w:rPr>
          <w:b/>
        </w:rPr>
        <w:t xml:space="preserve"> Average Household Sizes and Number of People in Informal Settlement</w:t>
      </w:r>
      <w:r w:rsidRPr="00220C7D">
        <w:rPr>
          <w:b/>
        </w:rPr>
        <w:t>s</w:t>
      </w:r>
      <w:r>
        <w:rPr>
          <w:b/>
        </w:rPr>
        <w:t xml:space="preserve"> in South Africa (Census 2011)</w:t>
      </w:r>
      <w:bookmarkEnd w:id="33"/>
    </w:p>
    <w:p w14:paraId="1532E606" w14:textId="5CEB937F" w:rsidR="00CF3F6C" w:rsidRDefault="00CF3F6C" w:rsidP="009F18CE">
      <w:pPr>
        <w:spacing w:line="360" w:lineRule="auto"/>
        <w:rPr>
          <w:rFonts w:cs="Arial"/>
          <w:szCs w:val="22"/>
        </w:rPr>
      </w:pPr>
      <w:r>
        <w:rPr>
          <w:rFonts w:cs="Arial"/>
          <w:szCs w:val="22"/>
        </w:rPr>
        <w:t>However, the HDA (2013) also shows how these averages vary widely between settlements. In a sample of seven settlements in Limpopo, the proportion of single person households varied between 12% and 76% of all households.</w:t>
      </w:r>
      <w:r w:rsidR="00C07B44">
        <w:rPr>
          <w:rFonts w:cs="Arial"/>
          <w:szCs w:val="22"/>
        </w:rPr>
        <w:t xml:space="preserve"> </w:t>
      </w:r>
      <w:r w:rsidR="008C45F2">
        <w:rPr>
          <w:rFonts w:cs="Arial"/>
          <w:szCs w:val="22"/>
        </w:rPr>
        <w:t>Figure</w:t>
      </w:r>
      <w:r w:rsidR="00864E7E">
        <w:rPr>
          <w:rFonts w:cs="Arial"/>
          <w:szCs w:val="22"/>
        </w:rPr>
        <w:t xml:space="preserve"> </w:t>
      </w:r>
      <w:r w:rsidR="008E39E7">
        <w:rPr>
          <w:rFonts w:cs="Arial"/>
          <w:szCs w:val="22"/>
        </w:rPr>
        <w:t>4</w:t>
      </w:r>
      <w:r w:rsidR="008C45F2">
        <w:rPr>
          <w:rFonts w:cs="Arial"/>
          <w:szCs w:val="22"/>
        </w:rPr>
        <w:t xml:space="preserve"> below clearly illustrates the high proportion of single person households in two settlements, Smash Block (76%) and Mohlakeneng (60%).  </w:t>
      </w:r>
      <w:r w:rsidR="00C07B44">
        <w:rPr>
          <w:rFonts w:cs="Arial"/>
          <w:szCs w:val="22"/>
        </w:rPr>
        <w:t>In addition, initial survey results</w:t>
      </w:r>
      <w:r w:rsidR="00C07B44">
        <w:rPr>
          <w:rStyle w:val="FootnoteReference"/>
          <w:szCs w:val="22"/>
        </w:rPr>
        <w:footnoteReference w:id="3"/>
      </w:r>
      <w:r w:rsidR="00C07B44">
        <w:rPr>
          <w:rFonts w:cs="Arial"/>
          <w:szCs w:val="22"/>
        </w:rPr>
        <w:t xml:space="preserve"> </w:t>
      </w:r>
      <w:r w:rsidR="008C45F2">
        <w:rPr>
          <w:rFonts w:cs="Arial"/>
          <w:szCs w:val="22"/>
        </w:rPr>
        <w:t xml:space="preserve">undertaken for NUSP in </w:t>
      </w:r>
      <w:r w:rsidR="00C07B44">
        <w:rPr>
          <w:rFonts w:cs="Arial"/>
          <w:szCs w:val="22"/>
        </w:rPr>
        <w:t>six informal settlement</w:t>
      </w:r>
      <w:r w:rsidR="008C45F2">
        <w:rPr>
          <w:rFonts w:cs="Arial"/>
          <w:szCs w:val="22"/>
        </w:rPr>
        <w:t xml:space="preserve">s </w:t>
      </w:r>
      <w:r w:rsidR="00C07B44">
        <w:rPr>
          <w:rFonts w:cs="Arial"/>
          <w:szCs w:val="22"/>
        </w:rPr>
        <w:t>in Rustenburg Local Municipality indicate that average household sizes vary from 3,4 people (Mmaditholkwa and YizoYizo) to as low as 1,7 in Nakeng and 2,1 in Freedom Park.</w:t>
      </w:r>
    </w:p>
    <w:p w14:paraId="1B7E806F" w14:textId="52A1EEA6" w:rsidR="008C45F2" w:rsidRDefault="008C45F2" w:rsidP="009F18CE">
      <w:pPr>
        <w:spacing w:line="360" w:lineRule="auto"/>
        <w:rPr>
          <w:rFonts w:cs="Arial"/>
          <w:szCs w:val="22"/>
        </w:rPr>
      </w:pPr>
      <w:r w:rsidRPr="008C45F2">
        <w:rPr>
          <w:noProof/>
          <w:lang w:val="en-US"/>
        </w:rPr>
        <w:lastRenderedPageBreak/>
        <w:drawing>
          <wp:inline distT="0" distB="0" distL="0" distR="0" wp14:anchorId="250BFB00" wp14:editId="681BAD68">
            <wp:extent cx="5943600" cy="363025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943600" cy="3630250"/>
                    </a:xfrm>
                    <a:prstGeom prst="rect">
                      <a:avLst/>
                    </a:prstGeom>
                    <a:noFill/>
                    <a:ln>
                      <a:noFill/>
                    </a:ln>
                  </pic:spPr>
                </pic:pic>
              </a:graphicData>
            </a:graphic>
          </wp:inline>
        </w:drawing>
      </w:r>
    </w:p>
    <w:p w14:paraId="62D372E3" w14:textId="08D71968" w:rsidR="008C45F2" w:rsidRPr="00DB7398" w:rsidRDefault="008C45F2" w:rsidP="009F18CE">
      <w:pPr>
        <w:spacing w:line="360" w:lineRule="auto"/>
        <w:rPr>
          <w:rFonts w:cs="Arial"/>
          <w:b/>
          <w:szCs w:val="22"/>
        </w:rPr>
      </w:pPr>
      <w:bookmarkStart w:id="34" w:name="_Toc270945507"/>
      <w:r w:rsidRPr="008C45F2">
        <w:rPr>
          <w:b/>
        </w:rPr>
        <w:t xml:space="preserve">Figure </w:t>
      </w:r>
      <w:r w:rsidRPr="00220C7D">
        <w:rPr>
          <w:b/>
        </w:rPr>
        <w:fldChar w:fldCharType="begin"/>
      </w:r>
      <w:r w:rsidRPr="00220C7D">
        <w:rPr>
          <w:b/>
        </w:rPr>
        <w:instrText xml:space="preserve"> SEQ Figure \* ARABIC </w:instrText>
      </w:r>
      <w:r w:rsidRPr="00220C7D">
        <w:rPr>
          <w:b/>
        </w:rPr>
        <w:fldChar w:fldCharType="separate"/>
      </w:r>
      <w:r w:rsidR="00E9048A">
        <w:rPr>
          <w:b/>
          <w:noProof/>
        </w:rPr>
        <w:t>4</w:t>
      </w:r>
      <w:r w:rsidRPr="00220C7D">
        <w:rPr>
          <w:b/>
        </w:rPr>
        <w:fldChar w:fldCharType="end"/>
      </w:r>
      <w:r w:rsidRPr="008C45F2">
        <w:rPr>
          <w:b/>
        </w:rPr>
        <w:t>:</w:t>
      </w:r>
      <w:r w:rsidRPr="008C45F2">
        <w:rPr>
          <w:b/>
          <w:iCs/>
          <w:szCs w:val="22"/>
        </w:rPr>
        <w:t xml:space="preserve"> Household Sizes in Seven Limpopo Settlements</w:t>
      </w:r>
      <w:r>
        <w:rPr>
          <w:b/>
          <w:iCs/>
          <w:szCs w:val="22"/>
        </w:rPr>
        <w:t xml:space="preserve"> </w:t>
      </w:r>
      <w:r w:rsidRPr="00DB7398">
        <w:rPr>
          <w:b/>
          <w:iCs/>
          <w:szCs w:val="22"/>
        </w:rPr>
        <w:t>(</w:t>
      </w:r>
      <w:r w:rsidRPr="00DB7398">
        <w:rPr>
          <w:rFonts w:cs="Arial"/>
          <w:b/>
          <w:szCs w:val="22"/>
        </w:rPr>
        <w:t>HDA Survey Data)</w:t>
      </w:r>
      <w:bookmarkEnd w:id="34"/>
    </w:p>
    <w:p w14:paraId="628F70A2" w14:textId="51726D2E" w:rsidR="009F18CE" w:rsidRDefault="00CF3F6C" w:rsidP="009F18CE">
      <w:pPr>
        <w:spacing w:line="360" w:lineRule="auto"/>
        <w:rPr>
          <w:rFonts w:cs="Arial"/>
          <w:szCs w:val="22"/>
        </w:rPr>
      </w:pPr>
      <w:r>
        <w:rPr>
          <w:rFonts w:cs="Arial"/>
          <w:szCs w:val="22"/>
        </w:rPr>
        <w:t>The needs of such small households, and their linkages to other households</w:t>
      </w:r>
      <w:r w:rsidR="00DB7398">
        <w:rPr>
          <w:rFonts w:cs="Arial"/>
          <w:szCs w:val="22"/>
        </w:rPr>
        <w:t xml:space="preserve"> and rural homes</w:t>
      </w:r>
      <w:r>
        <w:rPr>
          <w:rFonts w:cs="Arial"/>
          <w:szCs w:val="22"/>
        </w:rPr>
        <w:t xml:space="preserve"> </w:t>
      </w:r>
      <w:r w:rsidR="00C07B44">
        <w:rPr>
          <w:rFonts w:cs="Arial"/>
          <w:szCs w:val="22"/>
        </w:rPr>
        <w:t>vary considerably</w:t>
      </w:r>
      <w:r w:rsidR="00DB7398">
        <w:rPr>
          <w:rFonts w:cs="Arial"/>
          <w:szCs w:val="22"/>
        </w:rPr>
        <w:t>,</w:t>
      </w:r>
      <w:r w:rsidR="00C07B44">
        <w:rPr>
          <w:rFonts w:cs="Arial"/>
          <w:szCs w:val="22"/>
        </w:rPr>
        <w:t xml:space="preserve"> and </w:t>
      </w:r>
      <w:r w:rsidR="008C45F2">
        <w:rPr>
          <w:rFonts w:cs="Arial"/>
          <w:szCs w:val="22"/>
        </w:rPr>
        <w:t xml:space="preserve">in many cases </w:t>
      </w:r>
      <w:r>
        <w:rPr>
          <w:rFonts w:cs="Arial"/>
          <w:szCs w:val="22"/>
        </w:rPr>
        <w:t>are not yet clear</w:t>
      </w:r>
      <w:r w:rsidR="008C45F2">
        <w:rPr>
          <w:rFonts w:cs="Arial"/>
          <w:szCs w:val="22"/>
        </w:rPr>
        <w:t xml:space="preserve">. What is known is that in many mining areas, </w:t>
      </w:r>
      <w:r w:rsidR="008C45F2" w:rsidRPr="005F010E">
        <w:rPr>
          <w:rFonts w:cs="Arial"/>
          <w:szCs w:val="22"/>
          <w:highlight w:val="yellow"/>
        </w:rPr>
        <w:t>newer settlements often have very low household sizes due to the high proportion of single-person (male) households comprising migrant or circulatory labour working in nearby mines. This has implications for t</w:t>
      </w:r>
      <w:r w:rsidRPr="005F010E">
        <w:rPr>
          <w:rFonts w:cs="Arial"/>
          <w:szCs w:val="22"/>
          <w:highlight w:val="yellow"/>
        </w:rPr>
        <w:t xml:space="preserve">he </w:t>
      </w:r>
      <w:r w:rsidR="008C45F2" w:rsidRPr="005F010E">
        <w:rPr>
          <w:rFonts w:cs="Arial"/>
          <w:szCs w:val="22"/>
          <w:highlight w:val="yellow"/>
        </w:rPr>
        <w:t xml:space="preserve">upgrading response, as well as for the </w:t>
      </w:r>
      <w:r w:rsidRPr="005F010E">
        <w:rPr>
          <w:rFonts w:cs="Arial"/>
          <w:szCs w:val="22"/>
          <w:highlight w:val="yellow"/>
        </w:rPr>
        <w:t xml:space="preserve">design and </w:t>
      </w:r>
      <w:r w:rsidR="008C45F2" w:rsidRPr="005F010E">
        <w:rPr>
          <w:rFonts w:cs="Arial"/>
          <w:szCs w:val="22"/>
          <w:highlight w:val="yellow"/>
        </w:rPr>
        <w:t xml:space="preserve">development of </w:t>
      </w:r>
      <w:r w:rsidRPr="005F010E">
        <w:rPr>
          <w:rFonts w:cs="Arial"/>
          <w:szCs w:val="22"/>
          <w:highlight w:val="yellow"/>
        </w:rPr>
        <w:t xml:space="preserve">housing </w:t>
      </w:r>
      <w:r w:rsidR="008C45F2" w:rsidRPr="005F010E">
        <w:rPr>
          <w:rFonts w:cs="Arial"/>
          <w:szCs w:val="22"/>
          <w:highlight w:val="yellow"/>
        </w:rPr>
        <w:t xml:space="preserve">itself. </w:t>
      </w:r>
      <w:r w:rsidRPr="005F010E">
        <w:rPr>
          <w:rFonts w:cs="Arial"/>
          <w:szCs w:val="22"/>
          <w:highlight w:val="yellow"/>
        </w:rPr>
        <w:t xml:space="preserve"> </w:t>
      </w:r>
      <w:r w:rsidR="008C45F2" w:rsidRPr="005F010E">
        <w:rPr>
          <w:rFonts w:cs="Arial"/>
          <w:szCs w:val="22"/>
          <w:highlight w:val="yellow"/>
        </w:rPr>
        <w:t>These dynamics require</w:t>
      </w:r>
      <w:r w:rsidRPr="005F010E">
        <w:rPr>
          <w:rFonts w:cs="Arial"/>
          <w:szCs w:val="22"/>
          <w:highlight w:val="yellow"/>
        </w:rPr>
        <w:t xml:space="preserve"> further exploration</w:t>
      </w:r>
      <w:r w:rsidR="00C07B44" w:rsidRPr="005F010E">
        <w:rPr>
          <w:rFonts w:cs="Arial"/>
          <w:szCs w:val="22"/>
          <w:highlight w:val="yellow"/>
        </w:rPr>
        <w:t xml:space="preserve"> on a </w:t>
      </w:r>
      <w:r w:rsidR="008C45F2" w:rsidRPr="005F010E">
        <w:rPr>
          <w:rFonts w:cs="Arial"/>
          <w:szCs w:val="22"/>
          <w:highlight w:val="yellow"/>
        </w:rPr>
        <w:t>settlement-by-settlement</w:t>
      </w:r>
      <w:r w:rsidR="00C07B44" w:rsidRPr="005F010E">
        <w:rPr>
          <w:rFonts w:cs="Arial"/>
          <w:szCs w:val="22"/>
          <w:highlight w:val="yellow"/>
        </w:rPr>
        <w:t xml:space="preserve"> basis</w:t>
      </w:r>
      <w:r w:rsidRPr="005F010E">
        <w:rPr>
          <w:rFonts w:cs="Arial"/>
          <w:szCs w:val="22"/>
          <w:highlight w:val="yellow"/>
        </w:rPr>
        <w:t>.</w:t>
      </w:r>
      <w:r w:rsidR="00C07B44">
        <w:rPr>
          <w:rFonts w:cs="Arial"/>
          <w:szCs w:val="22"/>
        </w:rPr>
        <w:t xml:space="preserve">  </w:t>
      </w:r>
    </w:p>
    <w:p w14:paraId="0C687220" w14:textId="0A15C839" w:rsidR="00CF3F6C" w:rsidRDefault="00CF3F6C" w:rsidP="00C07B44">
      <w:pPr>
        <w:pStyle w:val="Heading3"/>
      </w:pPr>
      <w:r w:rsidRPr="00C07B44">
        <w:t>Household</w:t>
      </w:r>
      <w:r w:rsidR="00EC50C0">
        <w:t xml:space="preserve"> Employment &amp; </w:t>
      </w:r>
      <w:r w:rsidRPr="00C07B44">
        <w:t xml:space="preserve">Incomes </w:t>
      </w:r>
    </w:p>
    <w:p w14:paraId="4338D930" w14:textId="1305D5F7" w:rsidR="00CD090D" w:rsidRDefault="00EC50C0" w:rsidP="00BF0503">
      <w:pPr>
        <w:spacing w:line="360" w:lineRule="auto"/>
        <w:rPr>
          <w:rFonts w:cs="Arial"/>
          <w:szCs w:val="22"/>
        </w:rPr>
      </w:pPr>
      <w:r w:rsidRPr="00BF0503">
        <w:rPr>
          <w:rFonts w:cs="Arial"/>
          <w:szCs w:val="22"/>
        </w:rPr>
        <w:t xml:space="preserve">Depending on the primary reasons why occupants find themselves located in informal settlements, employment levels and types, and incomes of households in informal settlements vary greatly. </w:t>
      </w:r>
      <w:r w:rsidR="00CD090D">
        <w:rPr>
          <w:rFonts w:cs="Arial"/>
          <w:szCs w:val="22"/>
        </w:rPr>
        <w:t xml:space="preserve">Census 2011 indicates an overall unemployment rate of 40% for households in ‘informal residential’ accommodation.  This is 10% higher than the average for South Africa of 30% of all households. Of interest is that the Labour Force Participation Rate is 64% for households in informal accommodation, while the South African average is 51%. The reasons for this require more detailed analysis. </w:t>
      </w:r>
    </w:p>
    <w:p w14:paraId="199F6581" w14:textId="37C4AD0F" w:rsidR="00CD090D" w:rsidRDefault="00CD090D" w:rsidP="00BF0503">
      <w:pPr>
        <w:spacing w:line="360" w:lineRule="auto"/>
        <w:rPr>
          <w:rFonts w:cs="Arial"/>
          <w:szCs w:val="22"/>
        </w:rPr>
      </w:pPr>
      <w:r>
        <w:rPr>
          <w:rFonts w:cs="Arial"/>
          <w:szCs w:val="22"/>
        </w:rPr>
        <w:lastRenderedPageBreak/>
        <w:t xml:space="preserve">Sources of income also vary. Considering households in Census Enumerator Areas categorised as mainly comprising Informal Accommodation, 3% indicated they receive no income, 43% indicated they receive social grants, 79% receive salaries and wages, and 18% other sources of income. </w:t>
      </w:r>
    </w:p>
    <w:p w14:paraId="00AEDB66" w14:textId="728C6D53" w:rsidR="00EC50C0" w:rsidRDefault="00EC50C0" w:rsidP="00BF0503">
      <w:pPr>
        <w:spacing w:line="360" w:lineRule="auto"/>
        <w:rPr>
          <w:rFonts w:cs="Arial"/>
          <w:szCs w:val="22"/>
        </w:rPr>
      </w:pPr>
      <w:r w:rsidRPr="00BF0503">
        <w:rPr>
          <w:rFonts w:cs="Arial"/>
          <w:szCs w:val="22"/>
        </w:rPr>
        <w:t xml:space="preserve">In the survey of residents of six informal settlements in Rustenburg, levels of self-reported unemployment vary from 38% in YizoYizo (and only 41% indicated employment in mining industry) to as low as 9% in Freedom Park (with 95% indicating employment in the mining sector). </w:t>
      </w:r>
      <w:r w:rsidR="00DB7398">
        <w:rPr>
          <w:rFonts w:cs="Arial"/>
          <w:szCs w:val="22"/>
        </w:rPr>
        <w:t xml:space="preserve"> Figure </w:t>
      </w:r>
      <w:r w:rsidR="008E39E7">
        <w:rPr>
          <w:rFonts w:cs="Arial"/>
          <w:szCs w:val="22"/>
        </w:rPr>
        <w:t>5</w:t>
      </w:r>
      <w:r w:rsidR="00DB7398">
        <w:rPr>
          <w:rFonts w:cs="Arial"/>
          <w:szCs w:val="22"/>
        </w:rPr>
        <w:t xml:space="preserve"> below indicates employment </w:t>
      </w:r>
      <w:r w:rsidR="00AE286C">
        <w:rPr>
          <w:rFonts w:cs="Arial"/>
          <w:szCs w:val="22"/>
        </w:rPr>
        <w:t>status</w:t>
      </w:r>
      <w:r w:rsidR="00DB7398">
        <w:rPr>
          <w:rFonts w:cs="Arial"/>
          <w:szCs w:val="22"/>
        </w:rPr>
        <w:t xml:space="preserve"> across the six Rustenburg settlements surveyed for NUSP.</w:t>
      </w:r>
    </w:p>
    <w:p w14:paraId="234AC5EF" w14:textId="77191794" w:rsidR="00DB7398" w:rsidRPr="00BF0503" w:rsidRDefault="0007025C" w:rsidP="00BF0503">
      <w:pPr>
        <w:spacing w:line="360" w:lineRule="auto"/>
        <w:rPr>
          <w:rFonts w:cs="Arial"/>
          <w:szCs w:val="22"/>
        </w:rPr>
      </w:pPr>
      <w:r w:rsidRPr="0007025C">
        <w:rPr>
          <w:noProof/>
          <w:lang w:val="en-US"/>
        </w:rPr>
        <w:drawing>
          <wp:inline distT="0" distB="0" distL="0" distR="0" wp14:anchorId="5F798F4C" wp14:editId="565DE016">
            <wp:extent cx="5943600" cy="3631677"/>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943600" cy="3631677"/>
                    </a:xfrm>
                    <a:prstGeom prst="rect">
                      <a:avLst/>
                    </a:prstGeom>
                    <a:noFill/>
                    <a:ln>
                      <a:noFill/>
                    </a:ln>
                  </pic:spPr>
                </pic:pic>
              </a:graphicData>
            </a:graphic>
          </wp:inline>
        </w:drawing>
      </w:r>
    </w:p>
    <w:p w14:paraId="6A6A8228" w14:textId="00001D29" w:rsidR="0007025C" w:rsidRPr="0007025C" w:rsidRDefault="008E39E7" w:rsidP="00BF0503">
      <w:pPr>
        <w:spacing w:line="360" w:lineRule="auto"/>
        <w:rPr>
          <w:b/>
        </w:rPr>
      </w:pPr>
      <w:bookmarkStart w:id="35" w:name="_Toc270945508"/>
      <w:r w:rsidRPr="008C45F2">
        <w:rPr>
          <w:b/>
        </w:rPr>
        <w:t xml:space="preserve">Figure </w:t>
      </w:r>
      <w:r w:rsidRPr="00220C7D">
        <w:rPr>
          <w:b/>
        </w:rPr>
        <w:fldChar w:fldCharType="begin"/>
      </w:r>
      <w:r w:rsidRPr="00220C7D">
        <w:rPr>
          <w:b/>
        </w:rPr>
        <w:instrText xml:space="preserve"> SEQ Figure \* ARABIC </w:instrText>
      </w:r>
      <w:r w:rsidRPr="00220C7D">
        <w:rPr>
          <w:b/>
        </w:rPr>
        <w:fldChar w:fldCharType="separate"/>
      </w:r>
      <w:r w:rsidR="00E9048A">
        <w:rPr>
          <w:b/>
          <w:noProof/>
        </w:rPr>
        <w:t>5</w:t>
      </w:r>
      <w:r w:rsidRPr="00220C7D">
        <w:rPr>
          <w:b/>
        </w:rPr>
        <w:fldChar w:fldCharType="end"/>
      </w:r>
      <w:r w:rsidR="0007025C" w:rsidRPr="0007025C">
        <w:rPr>
          <w:b/>
        </w:rPr>
        <w:t>: Employment Status by Settlement in Rustenburg (NUSP Survey Data)</w:t>
      </w:r>
      <w:bookmarkEnd w:id="35"/>
    </w:p>
    <w:p w14:paraId="3D2102CB" w14:textId="7ECAA6C4" w:rsidR="00EC50C0" w:rsidRDefault="00EC50C0" w:rsidP="00BF0503">
      <w:pPr>
        <w:spacing w:line="360" w:lineRule="auto"/>
        <w:rPr>
          <w:rFonts w:cs="Arial"/>
          <w:szCs w:val="22"/>
        </w:rPr>
      </w:pPr>
      <w:r w:rsidRPr="007712CF">
        <w:rPr>
          <w:rFonts w:cs="Arial"/>
          <w:szCs w:val="22"/>
          <w:highlight w:val="yellow"/>
        </w:rPr>
        <w:t xml:space="preserve">Incomes show a direct relationship to employment relationships. </w:t>
      </w:r>
      <w:r w:rsidR="00627039" w:rsidRPr="007712CF">
        <w:rPr>
          <w:rFonts w:cs="Arial"/>
          <w:szCs w:val="22"/>
          <w:highlight w:val="yellow"/>
        </w:rPr>
        <w:t>Settlements with high levels of formal employment have concomitant high proportions of households earning more than R3 500 per month. This in turn impacts on housing subsidy eligibility.</w:t>
      </w:r>
      <w:r w:rsidR="00627039" w:rsidRPr="00BF0503">
        <w:rPr>
          <w:rFonts w:cs="Arial"/>
          <w:szCs w:val="22"/>
        </w:rPr>
        <w:t xml:space="preserve">  In the survey of six Rustenburg settlements, the proportion of households not eligible for housing subsidies on income grounds </w:t>
      </w:r>
      <w:r w:rsidR="00286622">
        <w:rPr>
          <w:rFonts w:cs="Arial"/>
          <w:szCs w:val="22"/>
        </w:rPr>
        <w:t xml:space="preserve">alone </w:t>
      </w:r>
      <w:r w:rsidR="00627039" w:rsidRPr="00BF0503">
        <w:rPr>
          <w:rFonts w:cs="Arial"/>
          <w:szCs w:val="22"/>
        </w:rPr>
        <w:t xml:space="preserve">(i.e. earning more than R3 500 per month) varies from 83% in Ikemeleng to 20% in YizoYizo.  </w:t>
      </w:r>
      <w:r w:rsidR="00286622">
        <w:rPr>
          <w:rFonts w:cs="Arial"/>
          <w:szCs w:val="22"/>
        </w:rPr>
        <w:t>Of the 83% of households i</w:t>
      </w:r>
      <w:r w:rsidR="00627039" w:rsidRPr="00BF0503">
        <w:rPr>
          <w:rFonts w:cs="Arial"/>
          <w:szCs w:val="22"/>
        </w:rPr>
        <w:t xml:space="preserve">n Ikemeleng </w:t>
      </w:r>
      <w:r w:rsidR="00286622">
        <w:rPr>
          <w:rFonts w:cs="Arial"/>
          <w:szCs w:val="22"/>
        </w:rPr>
        <w:t>that earn</w:t>
      </w:r>
      <w:r w:rsidR="00627039" w:rsidRPr="00BF0503">
        <w:rPr>
          <w:rFonts w:cs="Arial"/>
          <w:szCs w:val="22"/>
        </w:rPr>
        <w:t xml:space="preserve"> more than R3 500 per month, and </w:t>
      </w:r>
      <w:r w:rsidR="00627039" w:rsidRPr="00BF0503">
        <w:rPr>
          <w:rFonts w:cs="Arial"/>
          <w:szCs w:val="22"/>
        </w:rPr>
        <w:lastRenderedPageBreak/>
        <w:t xml:space="preserve">90% have formal mining sector related employment. However, in YizoYizo, only 20% of households earn more than R3 500 per month, and indicate high unemployment levels (38%). </w:t>
      </w:r>
      <w:r w:rsidRPr="00BF0503">
        <w:rPr>
          <w:rFonts w:cs="Arial"/>
          <w:szCs w:val="22"/>
        </w:rPr>
        <w:t xml:space="preserve"> </w:t>
      </w:r>
    </w:p>
    <w:p w14:paraId="3F6CA397" w14:textId="4083EDDA" w:rsidR="002F3D90" w:rsidRDefault="002F3D90" w:rsidP="00BF0503">
      <w:pPr>
        <w:spacing w:line="360" w:lineRule="auto"/>
        <w:rPr>
          <w:rFonts w:cs="Arial"/>
          <w:szCs w:val="22"/>
        </w:rPr>
      </w:pPr>
      <w:r>
        <w:rPr>
          <w:rFonts w:cs="Arial"/>
          <w:szCs w:val="22"/>
        </w:rPr>
        <w:t>Furthermore, analysis of data from the seven settlements surveyed in Limpopo by the HDA</w:t>
      </w:r>
      <w:r w:rsidR="00576D51">
        <w:rPr>
          <w:rFonts w:cs="Arial"/>
          <w:szCs w:val="22"/>
        </w:rPr>
        <w:t xml:space="preserve"> shows the uneven income distributions between settlements.  For example</w:t>
      </w:r>
      <w:r w:rsidR="002C20B8">
        <w:rPr>
          <w:rFonts w:cs="Arial"/>
          <w:szCs w:val="22"/>
        </w:rPr>
        <w:t xml:space="preserve"> Figure </w:t>
      </w:r>
      <w:r w:rsidR="008E39E7">
        <w:rPr>
          <w:rFonts w:cs="Arial"/>
          <w:szCs w:val="22"/>
        </w:rPr>
        <w:t>6</w:t>
      </w:r>
      <w:r w:rsidR="002C20B8">
        <w:rPr>
          <w:rFonts w:cs="Arial"/>
          <w:szCs w:val="22"/>
        </w:rPr>
        <w:t xml:space="preserve"> shows that </w:t>
      </w:r>
      <w:r w:rsidR="00576D51">
        <w:rPr>
          <w:rFonts w:cs="Arial"/>
          <w:szCs w:val="22"/>
        </w:rPr>
        <w:t>Jacaranda Ext 6 has almost no households earning above R5000 per month, and half of all households earn below R1500 per month, whereas Praktiseer has 22% earning less than R1 500 per month, and 44% earning above R3 500 per month. Four of these settlements have very few households earning no income, while in Mohlakeneng 17% of households indicate no sources of income.</w:t>
      </w:r>
      <w:r w:rsidR="002C20B8">
        <w:rPr>
          <w:rFonts w:cs="Arial"/>
          <w:szCs w:val="22"/>
        </w:rPr>
        <w:t xml:space="preserve"> Case study settlements analysed in Annexure C indicate extreme levels of unemployment and very low incomes in certain settlements, such as Los Angeles in Cape Town and Diepsloot in Johannesburg.</w:t>
      </w:r>
    </w:p>
    <w:p w14:paraId="7D231E2D" w14:textId="7640C294" w:rsidR="00576D51" w:rsidRDefault="00576D51" w:rsidP="00BF0503">
      <w:pPr>
        <w:spacing w:line="360" w:lineRule="auto"/>
        <w:rPr>
          <w:rFonts w:cs="Arial"/>
          <w:szCs w:val="22"/>
        </w:rPr>
      </w:pPr>
      <w:r w:rsidRPr="00576D51">
        <w:rPr>
          <w:noProof/>
          <w:lang w:val="en-US"/>
        </w:rPr>
        <w:drawing>
          <wp:inline distT="0" distB="0" distL="0" distR="0" wp14:anchorId="617A489D" wp14:editId="0CAB4403">
            <wp:extent cx="5943600" cy="363025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943600" cy="3630250"/>
                    </a:xfrm>
                    <a:prstGeom prst="rect">
                      <a:avLst/>
                    </a:prstGeom>
                    <a:noFill/>
                    <a:ln>
                      <a:noFill/>
                    </a:ln>
                  </pic:spPr>
                </pic:pic>
              </a:graphicData>
            </a:graphic>
          </wp:inline>
        </w:drawing>
      </w:r>
    </w:p>
    <w:p w14:paraId="474996C3" w14:textId="28038D35" w:rsidR="00576D51" w:rsidRPr="00576D51" w:rsidRDefault="008E39E7" w:rsidP="00BF0503">
      <w:pPr>
        <w:spacing w:line="360" w:lineRule="auto"/>
        <w:rPr>
          <w:b/>
        </w:rPr>
      </w:pPr>
      <w:bookmarkStart w:id="36" w:name="_Toc270945509"/>
      <w:r w:rsidRPr="008C45F2">
        <w:rPr>
          <w:b/>
        </w:rPr>
        <w:t xml:space="preserve">Figure </w:t>
      </w:r>
      <w:r w:rsidRPr="00220C7D">
        <w:rPr>
          <w:b/>
        </w:rPr>
        <w:fldChar w:fldCharType="begin"/>
      </w:r>
      <w:r w:rsidRPr="00220C7D">
        <w:rPr>
          <w:b/>
        </w:rPr>
        <w:instrText xml:space="preserve"> SEQ Figure \* ARABIC </w:instrText>
      </w:r>
      <w:r w:rsidRPr="00220C7D">
        <w:rPr>
          <w:b/>
        </w:rPr>
        <w:fldChar w:fldCharType="separate"/>
      </w:r>
      <w:r w:rsidR="00E9048A">
        <w:rPr>
          <w:b/>
          <w:noProof/>
        </w:rPr>
        <w:t>6</w:t>
      </w:r>
      <w:r w:rsidRPr="00220C7D">
        <w:rPr>
          <w:b/>
        </w:rPr>
        <w:fldChar w:fldCharType="end"/>
      </w:r>
      <w:r w:rsidR="00576D51" w:rsidRPr="00576D51">
        <w:rPr>
          <w:b/>
        </w:rPr>
        <w:t>: Household Income profile of Seven Limpopo Informal Settlements (HDA Data)</w:t>
      </w:r>
      <w:bookmarkEnd w:id="36"/>
    </w:p>
    <w:p w14:paraId="41C13BF0" w14:textId="2BDFEBFD" w:rsidR="009F18CE" w:rsidRDefault="00CF3F6C" w:rsidP="00C07B44">
      <w:pPr>
        <w:pStyle w:val="Heading3"/>
      </w:pPr>
      <w:r w:rsidRPr="00C07B44">
        <w:t>Hous</w:t>
      </w:r>
      <w:r w:rsidR="00EE4D39" w:rsidRPr="00C07B44">
        <w:t>e</w:t>
      </w:r>
      <w:r w:rsidRPr="00C07B44">
        <w:t>hold Expenditure on housing</w:t>
      </w:r>
    </w:p>
    <w:p w14:paraId="194A3AA6" w14:textId="20B6C884" w:rsidR="00627039" w:rsidRDefault="00627039" w:rsidP="0007025C">
      <w:pPr>
        <w:spacing w:line="360" w:lineRule="auto"/>
        <w:rPr>
          <w:rFonts w:cs="Arial"/>
          <w:szCs w:val="22"/>
        </w:rPr>
      </w:pPr>
      <w:r w:rsidRPr="007712CF">
        <w:rPr>
          <w:rFonts w:cs="Arial"/>
          <w:szCs w:val="22"/>
          <w:highlight w:val="yellow"/>
        </w:rPr>
        <w:t xml:space="preserve">Given the low entry costs into informal settlements, expenditure on housing-related budget items is generally lower than for other households in South Africa.  </w:t>
      </w:r>
      <w:r w:rsidR="00E74714" w:rsidRPr="007712CF">
        <w:rPr>
          <w:rFonts w:cs="Arial"/>
          <w:szCs w:val="22"/>
          <w:highlight w:val="yellow"/>
        </w:rPr>
        <w:t xml:space="preserve">This however also creates a future concern, when formalisation of these settlements requires greater proportion of </w:t>
      </w:r>
      <w:r w:rsidR="00E74714" w:rsidRPr="007712CF">
        <w:rPr>
          <w:rFonts w:cs="Arial"/>
          <w:szCs w:val="22"/>
          <w:highlight w:val="yellow"/>
        </w:rPr>
        <w:lastRenderedPageBreak/>
        <w:t>household budgets to be expended on housing-related costs such as service charges and house development.  In the survey undertaken in eight Rustenburg informal settlements, four of the settlements had over 70% of all household income being used for food costs alone.</w:t>
      </w:r>
      <w:r w:rsidR="00E74714">
        <w:rPr>
          <w:rFonts w:cs="Arial"/>
          <w:szCs w:val="22"/>
        </w:rPr>
        <w:t xml:space="preserve"> </w:t>
      </w:r>
    </w:p>
    <w:p w14:paraId="610F82C2" w14:textId="2B1839B9" w:rsidR="00CF3F6C" w:rsidRDefault="00CF3F6C" w:rsidP="00C07B44">
      <w:pPr>
        <w:pStyle w:val="Heading3"/>
      </w:pPr>
      <w:r w:rsidRPr="00C07B44">
        <w:t>Access to Credit</w:t>
      </w:r>
    </w:p>
    <w:p w14:paraId="3808F3D8" w14:textId="41E3DE21" w:rsidR="0003615B" w:rsidRDefault="0003615B" w:rsidP="003B7FF0">
      <w:pPr>
        <w:spacing w:line="360" w:lineRule="auto"/>
        <w:rPr>
          <w:rFonts w:cs="Arial"/>
          <w:szCs w:val="22"/>
        </w:rPr>
      </w:pPr>
      <w:r>
        <w:rPr>
          <w:rFonts w:cs="Arial"/>
          <w:szCs w:val="22"/>
        </w:rPr>
        <w:t xml:space="preserve">The ability to mobilise credit for housing is an important determinant of house consolidation in informal settlement upgrading programmes. </w:t>
      </w:r>
    </w:p>
    <w:p w14:paraId="21BE71E8" w14:textId="18607490" w:rsidR="00901148" w:rsidRPr="003B7FF0" w:rsidRDefault="0003615B" w:rsidP="00901148">
      <w:pPr>
        <w:spacing w:line="360" w:lineRule="auto"/>
        <w:rPr>
          <w:rFonts w:cs="Arial"/>
          <w:szCs w:val="22"/>
        </w:rPr>
      </w:pPr>
      <w:r>
        <w:rPr>
          <w:rFonts w:cs="Arial"/>
          <w:szCs w:val="22"/>
        </w:rPr>
        <w:t>N</w:t>
      </w:r>
      <w:r w:rsidR="00E01192" w:rsidRPr="003B7FF0">
        <w:rPr>
          <w:rFonts w:cs="Arial"/>
          <w:szCs w:val="22"/>
        </w:rPr>
        <w:t xml:space="preserve">o readily accessible data exists </w:t>
      </w:r>
      <w:r>
        <w:rPr>
          <w:rFonts w:cs="Arial"/>
          <w:szCs w:val="22"/>
        </w:rPr>
        <w:t>regarding</w:t>
      </w:r>
      <w:r w:rsidR="00E01192" w:rsidRPr="003B7FF0">
        <w:rPr>
          <w:rFonts w:cs="Arial"/>
          <w:szCs w:val="22"/>
        </w:rPr>
        <w:t xml:space="preserve"> access </w:t>
      </w:r>
      <w:r>
        <w:rPr>
          <w:rFonts w:cs="Arial"/>
          <w:szCs w:val="22"/>
        </w:rPr>
        <w:t>to, and uses of credit amongst occupants of i</w:t>
      </w:r>
      <w:r w:rsidR="00E01192" w:rsidRPr="003B7FF0">
        <w:rPr>
          <w:rFonts w:cs="Arial"/>
          <w:szCs w:val="22"/>
        </w:rPr>
        <w:t xml:space="preserve">nformal </w:t>
      </w:r>
      <w:r>
        <w:rPr>
          <w:rFonts w:cs="Arial"/>
          <w:szCs w:val="22"/>
        </w:rPr>
        <w:t>settlements</w:t>
      </w:r>
      <w:r w:rsidR="00E01192" w:rsidRPr="003B7FF0">
        <w:rPr>
          <w:rFonts w:cs="Arial"/>
          <w:szCs w:val="22"/>
        </w:rPr>
        <w:t xml:space="preserve"> specifically. However, the</w:t>
      </w:r>
      <w:r w:rsidR="003B7FF0" w:rsidRPr="003B7FF0">
        <w:rPr>
          <w:rFonts w:cs="Arial"/>
          <w:szCs w:val="22"/>
        </w:rPr>
        <w:t xml:space="preserve"> FinScope S</w:t>
      </w:r>
      <w:r w:rsidR="00E01192" w:rsidRPr="003B7FF0">
        <w:rPr>
          <w:rFonts w:cs="Arial"/>
          <w:szCs w:val="22"/>
        </w:rPr>
        <w:t>urvey (201</w:t>
      </w:r>
      <w:r w:rsidR="003B7FF0" w:rsidRPr="003B7FF0">
        <w:rPr>
          <w:rFonts w:cs="Arial"/>
          <w:szCs w:val="22"/>
        </w:rPr>
        <w:t>3</w:t>
      </w:r>
      <w:r w:rsidR="00E01192" w:rsidRPr="003B7FF0">
        <w:rPr>
          <w:rFonts w:cs="Arial"/>
          <w:szCs w:val="22"/>
        </w:rPr>
        <w:t>)</w:t>
      </w:r>
      <w:r w:rsidR="003B7FF0" w:rsidRPr="003B7FF0">
        <w:rPr>
          <w:rFonts w:cs="Arial"/>
          <w:szCs w:val="22"/>
        </w:rPr>
        <w:t xml:space="preserve"> provides some general data that assists to understand financial inclusion amongst lower income households in South Africa.  </w:t>
      </w:r>
      <w:r w:rsidR="00901148">
        <w:rPr>
          <w:rFonts w:cs="Arial"/>
          <w:szCs w:val="22"/>
        </w:rPr>
        <w:t xml:space="preserve">Households have increased </w:t>
      </w:r>
      <w:r>
        <w:rPr>
          <w:rFonts w:cs="Arial"/>
          <w:szCs w:val="22"/>
        </w:rPr>
        <w:t xml:space="preserve">access to banking (which </w:t>
      </w:r>
      <w:r w:rsidR="00901148">
        <w:rPr>
          <w:rFonts w:cs="Arial"/>
          <w:szCs w:val="22"/>
        </w:rPr>
        <w:t>improved</w:t>
      </w:r>
      <w:r>
        <w:rPr>
          <w:rFonts w:cs="Arial"/>
          <w:szCs w:val="22"/>
        </w:rPr>
        <w:t xml:space="preserve"> by 8%</w:t>
      </w:r>
      <w:r w:rsidR="00901148">
        <w:rPr>
          <w:rFonts w:cs="Arial"/>
          <w:szCs w:val="22"/>
        </w:rPr>
        <w:t xml:space="preserve"> from 67% in</w:t>
      </w:r>
      <w:r>
        <w:rPr>
          <w:rFonts w:cs="Arial"/>
          <w:szCs w:val="22"/>
        </w:rPr>
        <w:t xml:space="preserve"> 2012 </w:t>
      </w:r>
      <w:r w:rsidR="00901148">
        <w:rPr>
          <w:rFonts w:cs="Arial"/>
          <w:szCs w:val="22"/>
        </w:rPr>
        <w:t xml:space="preserve">to 75% of households in </w:t>
      </w:r>
      <w:r>
        <w:rPr>
          <w:rFonts w:cs="Arial"/>
          <w:szCs w:val="22"/>
        </w:rPr>
        <w:t>2013)</w:t>
      </w:r>
      <w:r w:rsidR="00901148">
        <w:rPr>
          <w:rFonts w:cs="Arial"/>
          <w:szCs w:val="22"/>
        </w:rPr>
        <w:t>. H</w:t>
      </w:r>
      <w:r w:rsidR="00F13FDC">
        <w:rPr>
          <w:rFonts w:cs="Arial"/>
          <w:szCs w:val="22"/>
        </w:rPr>
        <w:t xml:space="preserve">ousehold </w:t>
      </w:r>
      <w:r w:rsidR="003B7FF0" w:rsidRPr="003B7FF0">
        <w:rPr>
          <w:rFonts w:cs="Arial"/>
          <w:szCs w:val="22"/>
        </w:rPr>
        <w:t xml:space="preserve">savings are increasing, but little of household savings seem to be directly allocated to housing, with most being used for education, funerals and retirement planning.  </w:t>
      </w:r>
      <w:r w:rsidR="00901148" w:rsidRPr="003B7FF0">
        <w:rPr>
          <w:rFonts w:cs="Arial"/>
          <w:szCs w:val="22"/>
        </w:rPr>
        <w:t xml:space="preserve">Amongst households earning below R3 500 per month, </w:t>
      </w:r>
      <w:r w:rsidR="00901148">
        <w:rPr>
          <w:rFonts w:cs="Arial"/>
          <w:szCs w:val="22"/>
        </w:rPr>
        <w:t xml:space="preserve">around </w:t>
      </w:r>
      <w:r w:rsidR="00901148" w:rsidRPr="003B7FF0">
        <w:rPr>
          <w:rFonts w:cs="Arial"/>
          <w:szCs w:val="22"/>
        </w:rPr>
        <w:t xml:space="preserve">half have some form of credit, </w:t>
      </w:r>
      <w:r w:rsidR="00901148">
        <w:rPr>
          <w:rFonts w:cs="Arial"/>
          <w:szCs w:val="22"/>
        </w:rPr>
        <w:t xml:space="preserve">whether borrowings from family, informal credit or credit from formal financial institutions. Even </w:t>
      </w:r>
      <w:r w:rsidR="00901148" w:rsidRPr="003B7FF0">
        <w:rPr>
          <w:rFonts w:cs="Arial"/>
          <w:szCs w:val="22"/>
        </w:rPr>
        <w:t xml:space="preserve">amongst households with no declared income, 20% </w:t>
      </w:r>
      <w:r w:rsidR="00901148">
        <w:rPr>
          <w:rFonts w:cs="Arial"/>
          <w:szCs w:val="22"/>
        </w:rPr>
        <w:t>indicate having</w:t>
      </w:r>
      <w:r w:rsidR="00901148" w:rsidRPr="003B7FF0">
        <w:rPr>
          <w:rFonts w:cs="Arial"/>
          <w:szCs w:val="22"/>
        </w:rPr>
        <w:t xml:space="preserve"> some form of </w:t>
      </w:r>
      <w:r w:rsidR="00901148">
        <w:rPr>
          <w:rFonts w:cs="Arial"/>
          <w:szCs w:val="22"/>
        </w:rPr>
        <w:t>loan</w:t>
      </w:r>
      <w:r w:rsidR="00901148" w:rsidRPr="003B7FF0">
        <w:rPr>
          <w:rFonts w:cs="Arial"/>
          <w:szCs w:val="22"/>
        </w:rPr>
        <w:t xml:space="preserve">.  The most common forms of credit are </w:t>
      </w:r>
      <w:r w:rsidR="00901148">
        <w:rPr>
          <w:rFonts w:cs="Arial"/>
          <w:szCs w:val="22"/>
        </w:rPr>
        <w:t xml:space="preserve">shown, per income category, in Figure </w:t>
      </w:r>
      <w:r w:rsidR="008E39E7">
        <w:rPr>
          <w:rFonts w:cs="Arial"/>
          <w:szCs w:val="22"/>
        </w:rPr>
        <w:t>7</w:t>
      </w:r>
      <w:r w:rsidR="00901148">
        <w:rPr>
          <w:rFonts w:cs="Arial"/>
          <w:szCs w:val="22"/>
        </w:rPr>
        <w:t xml:space="preserve"> below.  Also</w:t>
      </w:r>
      <w:r w:rsidR="00901148" w:rsidRPr="003B7FF0">
        <w:rPr>
          <w:rFonts w:cs="Arial"/>
          <w:szCs w:val="22"/>
        </w:rPr>
        <w:t>, an estimated 4.2 million lower income households are affiliated to Stokvels, and a proportion of this revolving credit is used for housing.</w:t>
      </w:r>
    </w:p>
    <w:p w14:paraId="5E464642" w14:textId="61F7B3B6" w:rsidR="003B7FF0" w:rsidRDefault="003B7FF0" w:rsidP="003D69E1">
      <w:r w:rsidRPr="003B7FF0">
        <w:rPr>
          <w:noProof/>
          <w:lang w:val="en-US"/>
        </w:rPr>
        <w:drawing>
          <wp:inline distT="0" distB="0" distL="0" distR="0" wp14:anchorId="37B07BD8" wp14:editId="52CB9D34">
            <wp:extent cx="6015567" cy="2578100"/>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015567" cy="2578100"/>
                    </a:xfrm>
                    <a:prstGeom prst="rect">
                      <a:avLst/>
                    </a:prstGeom>
                    <a:noFill/>
                    <a:ln>
                      <a:noFill/>
                    </a:ln>
                  </pic:spPr>
                </pic:pic>
              </a:graphicData>
            </a:graphic>
          </wp:inline>
        </w:drawing>
      </w:r>
    </w:p>
    <w:p w14:paraId="150732F1" w14:textId="1F4215A8" w:rsidR="003B7FF0" w:rsidRPr="00576D51" w:rsidRDefault="008E39E7" w:rsidP="003B7FF0">
      <w:pPr>
        <w:spacing w:line="360" w:lineRule="auto"/>
        <w:rPr>
          <w:b/>
        </w:rPr>
      </w:pPr>
      <w:bookmarkStart w:id="37" w:name="_Toc270945510"/>
      <w:r w:rsidRPr="008C45F2">
        <w:rPr>
          <w:b/>
        </w:rPr>
        <w:t xml:space="preserve">Figure </w:t>
      </w:r>
      <w:r w:rsidRPr="00220C7D">
        <w:rPr>
          <w:b/>
        </w:rPr>
        <w:fldChar w:fldCharType="begin"/>
      </w:r>
      <w:r w:rsidRPr="00220C7D">
        <w:rPr>
          <w:b/>
        </w:rPr>
        <w:instrText xml:space="preserve"> SEQ Figure \* ARABIC </w:instrText>
      </w:r>
      <w:r w:rsidRPr="00220C7D">
        <w:rPr>
          <w:b/>
        </w:rPr>
        <w:fldChar w:fldCharType="separate"/>
      </w:r>
      <w:r w:rsidR="00E9048A">
        <w:rPr>
          <w:b/>
          <w:noProof/>
        </w:rPr>
        <w:t>7</w:t>
      </w:r>
      <w:r w:rsidRPr="00220C7D">
        <w:rPr>
          <w:b/>
        </w:rPr>
        <w:fldChar w:fldCharType="end"/>
      </w:r>
      <w:r w:rsidR="003B7FF0" w:rsidRPr="00576D51">
        <w:rPr>
          <w:b/>
        </w:rPr>
        <w:t>: Household Income profile of Seven Limpopo Informal Settlements (HDA Data)</w:t>
      </w:r>
      <w:bookmarkEnd w:id="37"/>
    </w:p>
    <w:p w14:paraId="6578825E" w14:textId="10C74510" w:rsidR="00901148" w:rsidRDefault="00901148" w:rsidP="00901148">
      <w:pPr>
        <w:spacing w:line="360" w:lineRule="auto"/>
        <w:rPr>
          <w:rFonts w:cs="Arial"/>
          <w:szCs w:val="22"/>
        </w:rPr>
      </w:pPr>
      <w:r w:rsidRPr="007712CF">
        <w:rPr>
          <w:rFonts w:cs="Arial"/>
          <w:szCs w:val="22"/>
          <w:highlight w:val="yellow"/>
        </w:rPr>
        <w:lastRenderedPageBreak/>
        <w:t>In general, South Africa’s low-income households are increasingly able to access formal banking systems, and are increasingly accessing formal and informal credit. This in turn has positive outcomes such as ability to invest in developmental requirements such as housing and education.</w:t>
      </w:r>
      <w:r>
        <w:rPr>
          <w:rFonts w:cs="Arial"/>
          <w:szCs w:val="22"/>
        </w:rPr>
        <w:t xml:space="preserve">  FinScope indicates that 36% of people with unsecured loans </w:t>
      </w:r>
      <w:r w:rsidR="00977744">
        <w:rPr>
          <w:rFonts w:cs="Arial"/>
          <w:szCs w:val="22"/>
        </w:rPr>
        <w:t xml:space="preserve">took out a loan in the last 12 months for </w:t>
      </w:r>
      <w:r>
        <w:rPr>
          <w:rFonts w:cs="Arial"/>
          <w:szCs w:val="22"/>
        </w:rPr>
        <w:t xml:space="preserve">house building or </w:t>
      </w:r>
      <w:r w:rsidR="00977744">
        <w:rPr>
          <w:rFonts w:cs="Arial"/>
          <w:szCs w:val="22"/>
        </w:rPr>
        <w:t xml:space="preserve">house </w:t>
      </w:r>
      <w:r>
        <w:rPr>
          <w:rFonts w:cs="Arial"/>
          <w:szCs w:val="22"/>
        </w:rPr>
        <w:t>renovating.  Unfortunately, the proportion of households with developmental loans (for education and housing) did not grow from 4% between 2012 and 2013, while unsecured loans doubled from 3% to 6%. While most credit is not applied to housing specifically, these trends indicate that for households who are not over-indebted and have disposable income to repay credit, this is quite easily accessed from formal and informal sources. The impact of obtaining formal title recognition and addresses through UISP programmes will further stimulate the ability of households to access financial services and loans, making it important that such programmes assist households to identify the potential uses of credit for improving accommodation.</w:t>
      </w:r>
    </w:p>
    <w:p w14:paraId="6609F00A" w14:textId="1C9A211B" w:rsidR="003B7FF0" w:rsidRPr="003B7FF0" w:rsidRDefault="00901148" w:rsidP="00374A93">
      <w:pPr>
        <w:spacing w:line="360" w:lineRule="auto"/>
      </w:pPr>
      <w:r w:rsidRPr="007712CF">
        <w:rPr>
          <w:rFonts w:cs="Arial"/>
          <w:szCs w:val="22"/>
          <w:highlight w:val="yellow"/>
        </w:rPr>
        <w:t>However, with formal access to banking comes increased potential for over-exposure to debt. South Africa remains a highly indebted society, and at the time of writing there are strong indications of a looming crisis in unsecured lending, starting with the failure of African Bank.</w:t>
      </w:r>
      <w:r>
        <w:rPr>
          <w:rFonts w:cs="Arial"/>
          <w:szCs w:val="22"/>
        </w:rPr>
        <w:t xml:space="preserve">  </w:t>
      </w:r>
      <w:r w:rsidR="00977744">
        <w:rPr>
          <w:rFonts w:cs="Arial"/>
          <w:szCs w:val="22"/>
        </w:rPr>
        <w:t xml:space="preserve">FinScope indicates that 12.5-million people in South Africa face financial difficulties, many due to over-indebtedness. </w:t>
      </w:r>
      <w:r>
        <w:rPr>
          <w:rFonts w:cs="Arial"/>
          <w:szCs w:val="22"/>
        </w:rPr>
        <w:t>Competition</w:t>
      </w:r>
      <w:r w:rsidR="00374A93">
        <w:rPr>
          <w:rFonts w:cs="Arial"/>
          <w:szCs w:val="22"/>
        </w:rPr>
        <w:t xml:space="preserve"> amongst lenders</w:t>
      </w:r>
      <w:r>
        <w:rPr>
          <w:rFonts w:cs="Arial"/>
          <w:szCs w:val="22"/>
        </w:rPr>
        <w:t xml:space="preserve">, loose credit management procedures and </w:t>
      </w:r>
      <w:r w:rsidR="00374A93">
        <w:rPr>
          <w:rFonts w:cs="Arial"/>
          <w:szCs w:val="22"/>
        </w:rPr>
        <w:t>high levels of default on debt continue to create questions on how to best and most responsibly open access to credit, and specifically how to encourage responsible use of credit for housing purposes.</w:t>
      </w:r>
    </w:p>
    <w:p w14:paraId="02D6F42C" w14:textId="2DC2B786" w:rsidR="003D69E1" w:rsidRDefault="003D69E1" w:rsidP="003D69E1">
      <w:pPr>
        <w:pStyle w:val="Heading3"/>
      </w:pPr>
      <w:r>
        <w:t>Subsidy Eligibility</w:t>
      </w:r>
    </w:p>
    <w:p w14:paraId="489C42FD" w14:textId="3C1571EB" w:rsidR="003D69E1" w:rsidRDefault="003D69E1" w:rsidP="00AE286C">
      <w:pPr>
        <w:spacing w:line="360" w:lineRule="auto"/>
        <w:rPr>
          <w:rFonts w:cs="Arial"/>
          <w:szCs w:val="22"/>
        </w:rPr>
      </w:pPr>
      <w:r w:rsidRPr="00AE286C">
        <w:rPr>
          <w:rFonts w:cs="Arial"/>
          <w:szCs w:val="22"/>
        </w:rPr>
        <w:t xml:space="preserve">Given the wide variation in demographic composition in informal settlements, subsidy eligibility varies equally as widely.  </w:t>
      </w:r>
      <w:r w:rsidR="00AE286C" w:rsidRPr="00AE286C">
        <w:rPr>
          <w:rFonts w:cs="Arial"/>
          <w:szCs w:val="22"/>
        </w:rPr>
        <w:t xml:space="preserve">The HDA study of seven Limpopo settlements illustrates the substantial variations in subsidy eligibility amongst informal settlement dwellers.  Figure </w:t>
      </w:r>
      <w:r w:rsidR="008E39E7">
        <w:rPr>
          <w:rFonts w:cs="Arial"/>
          <w:szCs w:val="22"/>
        </w:rPr>
        <w:t>8</w:t>
      </w:r>
      <w:r w:rsidR="00AE286C" w:rsidRPr="00AE286C">
        <w:rPr>
          <w:rFonts w:cs="Arial"/>
          <w:szCs w:val="22"/>
        </w:rPr>
        <w:t xml:space="preserve"> below </w:t>
      </w:r>
      <w:r w:rsidR="00AE286C">
        <w:rPr>
          <w:rFonts w:cs="Arial"/>
          <w:szCs w:val="22"/>
        </w:rPr>
        <w:t>considers the primary subsidy eligibility criteria, and the proportion of informal settlement households that qualify per criterion, and then across all criteria.</w:t>
      </w:r>
      <w:r w:rsidR="00061D5C">
        <w:rPr>
          <w:rFonts w:cs="Arial"/>
          <w:szCs w:val="22"/>
        </w:rPr>
        <w:t xml:space="preserve"> This Figure illustrates that, taking all eligibility criteria combined, the proportion of all households in an informal settlement that are eligible for subsidy housing varies from as high as 78% (Jacaranda Ext 6) to as low as 28% (Praktiseer Ext 2, Tubatse A and Smash Block).  Of major concern, in this sample of six settlements, three had overall household eligibility levels of below 30% of households, and an additional three settlements were under 55%.</w:t>
      </w:r>
    </w:p>
    <w:p w14:paraId="566FD3E5" w14:textId="55122F7B" w:rsidR="00AE286C" w:rsidRPr="00AE286C" w:rsidRDefault="00AE286C" w:rsidP="00AE286C">
      <w:pPr>
        <w:spacing w:line="360" w:lineRule="auto"/>
        <w:rPr>
          <w:rFonts w:cs="Arial"/>
          <w:szCs w:val="22"/>
        </w:rPr>
      </w:pPr>
      <w:r>
        <w:rPr>
          <w:rFonts w:cs="Arial"/>
          <w:szCs w:val="22"/>
        </w:rPr>
        <w:lastRenderedPageBreak/>
        <w:t>It must be noted here, however, that UISP eligibility criteria for households to participate in upgrading processes related to Phases one, two and three (planning, tenure and access to engineering services) are more lenient than those for other HSDG top structure subsidy programmes. This issue is discussed later in the report in detail.</w:t>
      </w:r>
    </w:p>
    <w:p w14:paraId="7479E1C3" w14:textId="799FD598" w:rsidR="003D69E1" w:rsidRPr="003D69E1" w:rsidRDefault="00AE286C" w:rsidP="003D69E1">
      <w:r w:rsidRPr="00AE286C">
        <w:rPr>
          <w:noProof/>
          <w:lang w:val="en-US"/>
        </w:rPr>
        <w:drawing>
          <wp:inline distT="0" distB="0" distL="0" distR="0" wp14:anchorId="769E0E05" wp14:editId="07E5EC89">
            <wp:extent cx="5943600" cy="3980744"/>
            <wp:effectExtent l="0" t="0" r="0" b="7620"/>
            <wp:docPr id="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943600" cy="3980744"/>
                    </a:xfrm>
                    <a:prstGeom prst="rect">
                      <a:avLst/>
                    </a:prstGeom>
                    <a:noFill/>
                    <a:ln>
                      <a:noFill/>
                    </a:ln>
                  </pic:spPr>
                </pic:pic>
              </a:graphicData>
            </a:graphic>
          </wp:inline>
        </w:drawing>
      </w:r>
    </w:p>
    <w:p w14:paraId="0963BABA" w14:textId="740C0498" w:rsidR="009F18CE" w:rsidRPr="00AE286C" w:rsidRDefault="008E39E7" w:rsidP="00AE286C">
      <w:pPr>
        <w:spacing w:line="360" w:lineRule="auto"/>
        <w:rPr>
          <w:b/>
        </w:rPr>
      </w:pPr>
      <w:bookmarkStart w:id="38" w:name="_Toc270945511"/>
      <w:r w:rsidRPr="008C45F2">
        <w:rPr>
          <w:b/>
        </w:rPr>
        <w:t xml:space="preserve">Figure </w:t>
      </w:r>
      <w:r w:rsidRPr="00220C7D">
        <w:rPr>
          <w:b/>
        </w:rPr>
        <w:fldChar w:fldCharType="begin"/>
      </w:r>
      <w:r w:rsidRPr="00220C7D">
        <w:rPr>
          <w:b/>
        </w:rPr>
        <w:instrText xml:space="preserve"> SEQ Figure \* ARABIC </w:instrText>
      </w:r>
      <w:r w:rsidRPr="00220C7D">
        <w:rPr>
          <w:b/>
        </w:rPr>
        <w:fldChar w:fldCharType="separate"/>
      </w:r>
      <w:r w:rsidR="00E9048A">
        <w:rPr>
          <w:b/>
          <w:noProof/>
        </w:rPr>
        <w:t>8</w:t>
      </w:r>
      <w:r w:rsidRPr="00220C7D">
        <w:rPr>
          <w:b/>
        </w:rPr>
        <w:fldChar w:fldCharType="end"/>
      </w:r>
      <w:r w:rsidR="00AE286C" w:rsidRPr="00AE286C">
        <w:rPr>
          <w:b/>
        </w:rPr>
        <w:t>: Subsidy Eligibility of Households in Six Limpopo Informal Settlements (HDA Analysis)</w:t>
      </w:r>
      <w:bookmarkEnd w:id="38"/>
    </w:p>
    <w:p w14:paraId="0F7BC1C6" w14:textId="77777777" w:rsidR="002A0C94" w:rsidRPr="001D590D" w:rsidRDefault="002A0C94" w:rsidP="00540DD7">
      <w:pPr>
        <w:pStyle w:val="Heading2"/>
      </w:pPr>
      <w:bookmarkStart w:id="39" w:name="_Toc270946016"/>
      <w:r w:rsidRPr="007274A0">
        <w:t>Evolution</w:t>
      </w:r>
      <w:r w:rsidRPr="001D590D">
        <w:t xml:space="preserve"> of Human Settlements Strategy in South Africa</w:t>
      </w:r>
      <w:bookmarkEnd w:id="28"/>
      <w:bookmarkEnd w:id="29"/>
      <w:bookmarkEnd w:id="31"/>
      <w:bookmarkEnd w:id="39"/>
      <w:r w:rsidRPr="001D590D">
        <w:t xml:space="preserve"> </w:t>
      </w:r>
    </w:p>
    <w:p w14:paraId="19C5851A" w14:textId="56A9FE3F" w:rsidR="002A0C94" w:rsidRPr="00B86077" w:rsidRDefault="002A0C94" w:rsidP="00727BFC">
      <w:pPr>
        <w:pStyle w:val="Heading3"/>
      </w:pPr>
      <w:bookmarkStart w:id="40" w:name="_Toc261617565"/>
      <w:bookmarkStart w:id="41" w:name="_Toc262067781"/>
      <w:bookmarkStart w:id="42" w:name="_Toc262068107"/>
      <w:r w:rsidRPr="00B86077">
        <w:t>Pre-Democracy Programmes</w:t>
      </w:r>
      <w:bookmarkEnd w:id="40"/>
      <w:bookmarkEnd w:id="41"/>
      <w:bookmarkEnd w:id="42"/>
    </w:p>
    <w:p w14:paraId="498FE473" w14:textId="306E2FF3" w:rsidR="002A0C94" w:rsidRDefault="00FE1D31" w:rsidP="00F26D47">
      <w:pPr>
        <w:spacing w:line="360" w:lineRule="auto"/>
        <w:rPr>
          <w:rFonts w:cs="Arial"/>
          <w:szCs w:val="22"/>
        </w:rPr>
      </w:pPr>
      <w:r>
        <w:rPr>
          <w:rFonts w:cs="Arial"/>
          <w:szCs w:val="22"/>
        </w:rPr>
        <w:t>In the decade</w:t>
      </w:r>
      <w:r w:rsidR="00F26D47">
        <w:rPr>
          <w:rFonts w:cs="Arial"/>
          <w:szCs w:val="22"/>
        </w:rPr>
        <w:t>s</w:t>
      </w:r>
      <w:r>
        <w:rPr>
          <w:rFonts w:cs="Arial"/>
          <w:szCs w:val="22"/>
        </w:rPr>
        <w:t xml:space="preserve"> prior to the establishment of democracy in 1994</w:t>
      </w:r>
      <w:r w:rsidR="00F26D47">
        <w:rPr>
          <w:rFonts w:cs="Arial"/>
          <w:szCs w:val="22"/>
        </w:rPr>
        <w:t>,</w:t>
      </w:r>
      <w:r>
        <w:rPr>
          <w:rFonts w:cs="Arial"/>
          <w:szCs w:val="22"/>
        </w:rPr>
        <w:t xml:space="preserve"> settlement </w:t>
      </w:r>
      <w:r w:rsidR="00EC45B0">
        <w:rPr>
          <w:rFonts w:cs="Arial"/>
          <w:szCs w:val="22"/>
        </w:rPr>
        <w:t xml:space="preserve">development </w:t>
      </w:r>
      <w:r w:rsidR="00332789">
        <w:rPr>
          <w:rFonts w:cs="Arial"/>
          <w:szCs w:val="22"/>
        </w:rPr>
        <w:t xml:space="preserve">in SA </w:t>
      </w:r>
      <w:r w:rsidR="002E5753">
        <w:rPr>
          <w:rFonts w:cs="Arial"/>
          <w:szCs w:val="22"/>
        </w:rPr>
        <w:t>was implemented o</w:t>
      </w:r>
      <w:r w:rsidR="00EC45B0">
        <w:rPr>
          <w:rFonts w:cs="Arial"/>
          <w:szCs w:val="22"/>
        </w:rPr>
        <w:t xml:space="preserve">n a racially differentiated basis through </w:t>
      </w:r>
      <w:r w:rsidR="002A0C94" w:rsidRPr="001D590D">
        <w:rPr>
          <w:rFonts w:cs="Arial"/>
          <w:szCs w:val="22"/>
        </w:rPr>
        <w:t>racially divided institutions</w:t>
      </w:r>
      <w:r w:rsidR="00EC45B0">
        <w:rPr>
          <w:rFonts w:cs="Arial"/>
          <w:szCs w:val="22"/>
        </w:rPr>
        <w:t xml:space="preserve"> and the </w:t>
      </w:r>
      <w:r w:rsidR="0048042D">
        <w:rPr>
          <w:rFonts w:cs="Arial"/>
          <w:szCs w:val="22"/>
        </w:rPr>
        <w:t xml:space="preserve">various </w:t>
      </w:r>
      <w:r w:rsidR="00EC45B0">
        <w:rPr>
          <w:rFonts w:cs="Arial"/>
          <w:szCs w:val="22"/>
        </w:rPr>
        <w:t>Bantustan</w:t>
      </w:r>
      <w:r w:rsidR="0048042D">
        <w:rPr>
          <w:rFonts w:cs="Arial"/>
          <w:szCs w:val="22"/>
        </w:rPr>
        <w:t xml:space="preserve"> administrations.</w:t>
      </w:r>
      <w:r w:rsidR="002A0C94" w:rsidRPr="001D590D">
        <w:rPr>
          <w:rFonts w:cs="Arial"/>
          <w:szCs w:val="22"/>
        </w:rPr>
        <w:t xml:space="preserve"> </w:t>
      </w:r>
      <w:r w:rsidR="00EC45B0">
        <w:rPr>
          <w:rFonts w:cs="Arial"/>
          <w:szCs w:val="22"/>
        </w:rPr>
        <w:t>There were</w:t>
      </w:r>
      <w:r w:rsidR="0048042D">
        <w:rPr>
          <w:rFonts w:cs="Arial"/>
          <w:szCs w:val="22"/>
        </w:rPr>
        <w:t>,</w:t>
      </w:r>
      <w:r w:rsidR="00EC45B0">
        <w:rPr>
          <w:rFonts w:cs="Arial"/>
          <w:szCs w:val="22"/>
        </w:rPr>
        <w:t xml:space="preserve"> for example</w:t>
      </w:r>
      <w:r w:rsidR="0048042D">
        <w:rPr>
          <w:rFonts w:cs="Arial"/>
          <w:szCs w:val="22"/>
        </w:rPr>
        <w:t>,</w:t>
      </w:r>
      <w:r w:rsidR="00EC45B0">
        <w:rPr>
          <w:rFonts w:cs="Arial"/>
          <w:szCs w:val="22"/>
        </w:rPr>
        <w:t xml:space="preserve"> </w:t>
      </w:r>
      <w:r w:rsidR="002A0C94" w:rsidRPr="001D590D">
        <w:rPr>
          <w:rFonts w:cs="Arial"/>
          <w:szCs w:val="22"/>
        </w:rPr>
        <w:t>11 Departments of</w:t>
      </w:r>
      <w:r w:rsidR="00EC45B0">
        <w:rPr>
          <w:rFonts w:cs="Arial"/>
          <w:szCs w:val="22"/>
        </w:rPr>
        <w:t xml:space="preserve"> </w:t>
      </w:r>
      <w:r w:rsidR="00F26D47">
        <w:rPr>
          <w:rFonts w:cs="Arial"/>
          <w:szCs w:val="22"/>
        </w:rPr>
        <w:t>Housing</w:t>
      </w:r>
      <w:r w:rsidR="00EC45B0">
        <w:rPr>
          <w:rFonts w:cs="Arial"/>
          <w:szCs w:val="22"/>
        </w:rPr>
        <w:t xml:space="preserve">. </w:t>
      </w:r>
    </w:p>
    <w:p w14:paraId="4CE213B9" w14:textId="1840CC97" w:rsidR="00F26D47" w:rsidRDefault="00EC45B0" w:rsidP="00F26D47">
      <w:pPr>
        <w:spacing w:line="360" w:lineRule="auto"/>
        <w:rPr>
          <w:rFonts w:cs="Arial"/>
          <w:szCs w:val="22"/>
        </w:rPr>
      </w:pPr>
      <w:r>
        <w:rPr>
          <w:rFonts w:cs="Arial"/>
          <w:szCs w:val="22"/>
        </w:rPr>
        <w:t xml:space="preserve">In the late </w:t>
      </w:r>
      <w:r w:rsidR="00F26D47">
        <w:rPr>
          <w:rFonts w:cs="Arial"/>
          <w:szCs w:val="22"/>
        </w:rPr>
        <w:t>19</w:t>
      </w:r>
      <w:r>
        <w:rPr>
          <w:rFonts w:cs="Arial"/>
          <w:szCs w:val="22"/>
        </w:rPr>
        <w:t xml:space="preserve">80’s and early </w:t>
      </w:r>
      <w:r w:rsidR="00F26D47">
        <w:rPr>
          <w:rFonts w:cs="Arial"/>
          <w:szCs w:val="22"/>
        </w:rPr>
        <w:t>19</w:t>
      </w:r>
      <w:r>
        <w:rPr>
          <w:rFonts w:cs="Arial"/>
          <w:szCs w:val="22"/>
        </w:rPr>
        <w:t>90’s a</w:t>
      </w:r>
      <w:r w:rsidR="00703106">
        <w:rPr>
          <w:rFonts w:cs="Arial"/>
          <w:szCs w:val="22"/>
        </w:rPr>
        <w:t>n</w:t>
      </w:r>
      <w:r>
        <w:rPr>
          <w:rFonts w:cs="Arial"/>
          <w:szCs w:val="22"/>
        </w:rPr>
        <w:t xml:space="preserve"> </w:t>
      </w:r>
      <w:r w:rsidR="002E5753">
        <w:rPr>
          <w:rFonts w:cs="Arial"/>
          <w:szCs w:val="22"/>
        </w:rPr>
        <w:t>N</w:t>
      </w:r>
      <w:r w:rsidR="00703106">
        <w:rPr>
          <w:rFonts w:cs="Arial"/>
          <w:szCs w:val="22"/>
        </w:rPr>
        <w:t>P</w:t>
      </w:r>
      <w:r w:rsidR="002E5753">
        <w:rPr>
          <w:rFonts w:cs="Arial"/>
          <w:szCs w:val="22"/>
        </w:rPr>
        <w:t>O,</w:t>
      </w:r>
      <w:r>
        <w:rPr>
          <w:rFonts w:cs="Arial"/>
          <w:szCs w:val="22"/>
        </w:rPr>
        <w:t xml:space="preserve"> </w:t>
      </w:r>
      <w:r w:rsidR="00F26D47">
        <w:rPr>
          <w:rFonts w:cs="Arial"/>
          <w:szCs w:val="22"/>
        </w:rPr>
        <w:t xml:space="preserve">the </w:t>
      </w:r>
      <w:r>
        <w:rPr>
          <w:rFonts w:cs="Arial"/>
          <w:szCs w:val="22"/>
        </w:rPr>
        <w:t>Urban Foundation</w:t>
      </w:r>
      <w:r w:rsidR="00BD1707">
        <w:rPr>
          <w:rFonts w:cs="Arial"/>
          <w:szCs w:val="22"/>
        </w:rPr>
        <w:t>,</w:t>
      </w:r>
      <w:r>
        <w:rPr>
          <w:rFonts w:cs="Arial"/>
          <w:szCs w:val="22"/>
        </w:rPr>
        <w:t xml:space="preserve"> implemented a number of </w:t>
      </w:r>
      <w:r w:rsidR="00B83557" w:rsidRPr="000E343E">
        <w:rPr>
          <w:rFonts w:cs="Arial"/>
          <w:b/>
          <w:szCs w:val="22"/>
        </w:rPr>
        <w:t xml:space="preserve">pilot </w:t>
      </w:r>
      <w:r w:rsidRPr="000E343E">
        <w:rPr>
          <w:rFonts w:cs="Arial"/>
          <w:b/>
          <w:szCs w:val="22"/>
        </w:rPr>
        <w:t>site and service and in</w:t>
      </w:r>
      <w:r w:rsidR="00170819" w:rsidRPr="000E343E">
        <w:rPr>
          <w:rFonts w:cs="Arial"/>
          <w:b/>
          <w:szCs w:val="22"/>
        </w:rPr>
        <w:t>-</w:t>
      </w:r>
      <w:r w:rsidRPr="000E343E">
        <w:rPr>
          <w:rFonts w:cs="Arial"/>
          <w:b/>
          <w:szCs w:val="22"/>
        </w:rPr>
        <w:t>situ settlement upgrading projects</w:t>
      </w:r>
      <w:r>
        <w:rPr>
          <w:rFonts w:cs="Arial"/>
          <w:szCs w:val="22"/>
        </w:rPr>
        <w:t xml:space="preserve"> </w:t>
      </w:r>
      <w:r w:rsidR="00F26D47">
        <w:rPr>
          <w:rFonts w:cs="Arial"/>
          <w:szCs w:val="22"/>
        </w:rPr>
        <w:t>across SA,</w:t>
      </w:r>
      <w:r w:rsidR="009F18CE">
        <w:rPr>
          <w:rFonts w:cs="Arial"/>
          <w:szCs w:val="22"/>
        </w:rPr>
        <w:t xml:space="preserve"> </w:t>
      </w:r>
      <w:r>
        <w:rPr>
          <w:rFonts w:cs="Arial"/>
          <w:szCs w:val="22"/>
        </w:rPr>
        <w:t>most notably</w:t>
      </w:r>
      <w:r w:rsidR="00332789">
        <w:rPr>
          <w:rFonts w:cs="Arial"/>
          <w:szCs w:val="22"/>
        </w:rPr>
        <w:t xml:space="preserve"> New T</w:t>
      </w:r>
      <w:r w:rsidR="002E5753">
        <w:rPr>
          <w:rFonts w:cs="Arial"/>
          <w:szCs w:val="22"/>
        </w:rPr>
        <w:t xml:space="preserve">own and </w:t>
      </w:r>
      <w:r>
        <w:rPr>
          <w:rFonts w:cs="Arial"/>
          <w:szCs w:val="22"/>
        </w:rPr>
        <w:t>Besters Camp (Durban) and Soweto By the Sea (in Port Elizabeth).</w:t>
      </w:r>
    </w:p>
    <w:p w14:paraId="08864128" w14:textId="37C66187" w:rsidR="002A0C94" w:rsidRDefault="001869B6" w:rsidP="00F26D47">
      <w:pPr>
        <w:spacing w:line="360" w:lineRule="auto"/>
        <w:rPr>
          <w:rFonts w:cs="Arial"/>
          <w:szCs w:val="22"/>
        </w:rPr>
      </w:pPr>
      <w:r>
        <w:rPr>
          <w:rFonts w:cs="Arial"/>
          <w:szCs w:val="22"/>
        </w:rPr>
        <w:lastRenderedPageBreak/>
        <w:t xml:space="preserve">In the late </w:t>
      </w:r>
      <w:r w:rsidR="00F26D47">
        <w:rPr>
          <w:rFonts w:cs="Arial"/>
          <w:szCs w:val="22"/>
        </w:rPr>
        <w:t>19</w:t>
      </w:r>
      <w:r>
        <w:rPr>
          <w:rFonts w:cs="Arial"/>
          <w:szCs w:val="22"/>
        </w:rPr>
        <w:t xml:space="preserve">90’s a new </w:t>
      </w:r>
      <w:r w:rsidR="00703106">
        <w:rPr>
          <w:rFonts w:cs="Arial"/>
          <w:szCs w:val="22"/>
        </w:rPr>
        <w:t xml:space="preserve">R1-billion </w:t>
      </w:r>
      <w:r>
        <w:rPr>
          <w:rFonts w:cs="Arial"/>
          <w:szCs w:val="22"/>
        </w:rPr>
        <w:t>housing funding instrument was created through a quasi-autonomous agency</w:t>
      </w:r>
      <w:r w:rsidR="00332789">
        <w:rPr>
          <w:rFonts w:cs="Arial"/>
          <w:szCs w:val="22"/>
        </w:rPr>
        <w:t>,</w:t>
      </w:r>
      <w:r>
        <w:rPr>
          <w:rFonts w:cs="Arial"/>
          <w:szCs w:val="22"/>
        </w:rPr>
        <w:t xml:space="preserve"> the Independent Development Trust </w:t>
      </w:r>
      <w:r w:rsidR="00BF30EB">
        <w:rPr>
          <w:rFonts w:cs="Arial"/>
          <w:szCs w:val="22"/>
        </w:rPr>
        <w:t xml:space="preserve">(IDT) </w:t>
      </w:r>
      <w:r>
        <w:rPr>
          <w:rFonts w:cs="Arial"/>
          <w:szCs w:val="22"/>
        </w:rPr>
        <w:t>and</w:t>
      </w:r>
      <w:r w:rsidR="00B83557">
        <w:rPr>
          <w:rFonts w:cs="Arial"/>
          <w:szCs w:val="22"/>
        </w:rPr>
        <w:t>, drawing from the Urban Foundation’s experience, a capital subsidy</w:t>
      </w:r>
      <w:r w:rsidR="00703106">
        <w:rPr>
          <w:rFonts w:cs="Arial"/>
          <w:szCs w:val="22"/>
        </w:rPr>
        <w:t>-</w:t>
      </w:r>
      <w:r w:rsidR="00B83557">
        <w:rPr>
          <w:rFonts w:cs="Arial"/>
          <w:szCs w:val="22"/>
        </w:rPr>
        <w:t>based site servicing funding programme</w:t>
      </w:r>
      <w:r w:rsidR="00703106">
        <w:rPr>
          <w:rFonts w:cs="Arial"/>
          <w:szCs w:val="22"/>
        </w:rPr>
        <w:t xml:space="preserve"> </w:t>
      </w:r>
      <w:r w:rsidR="00B83557">
        <w:rPr>
          <w:rFonts w:cs="Arial"/>
          <w:szCs w:val="22"/>
        </w:rPr>
        <w:t xml:space="preserve">was initiated. </w:t>
      </w:r>
      <w:r w:rsidR="002E5753">
        <w:rPr>
          <w:rFonts w:cs="Arial"/>
          <w:szCs w:val="22"/>
        </w:rPr>
        <w:t xml:space="preserve">The </w:t>
      </w:r>
      <w:r w:rsidR="002E5753" w:rsidRPr="000E343E">
        <w:rPr>
          <w:rFonts w:cs="Arial"/>
          <w:b/>
          <w:szCs w:val="22"/>
        </w:rPr>
        <w:t>IDT capital subsidies</w:t>
      </w:r>
      <w:r w:rsidR="002E5753">
        <w:rPr>
          <w:rFonts w:cs="Arial"/>
          <w:szCs w:val="22"/>
        </w:rPr>
        <w:t xml:space="preserve"> could be accessed by a range of entities and a</w:t>
      </w:r>
      <w:r w:rsidR="00B83557">
        <w:rPr>
          <w:rFonts w:cs="Arial"/>
          <w:szCs w:val="22"/>
        </w:rPr>
        <w:t xml:space="preserve"> large number of site and service and (to a much lesser degree in situ upgrading projects) were implemented </w:t>
      </w:r>
      <w:r w:rsidR="002E5753">
        <w:rPr>
          <w:rFonts w:cs="Arial"/>
          <w:szCs w:val="22"/>
        </w:rPr>
        <w:t xml:space="preserve">across the </w:t>
      </w:r>
      <w:r w:rsidR="00B83557">
        <w:rPr>
          <w:rFonts w:cs="Arial"/>
          <w:szCs w:val="22"/>
        </w:rPr>
        <w:t xml:space="preserve">country using </w:t>
      </w:r>
      <w:r w:rsidR="002E5753">
        <w:rPr>
          <w:rFonts w:cs="Arial"/>
          <w:szCs w:val="22"/>
        </w:rPr>
        <w:t xml:space="preserve">the IDT’s </w:t>
      </w:r>
      <w:r w:rsidR="00B83557">
        <w:rPr>
          <w:rFonts w:cs="Arial"/>
          <w:szCs w:val="22"/>
        </w:rPr>
        <w:t>capital subsid</w:t>
      </w:r>
      <w:r w:rsidR="002E5753">
        <w:rPr>
          <w:rFonts w:cs="Arial"/>
          <w:szCs w:val="22"/>
        </w:rPr>
        <w:t>ies. Th</w:t>
      </w:r>
      <w:r w:rsidR="00B83557">
        <w:rPr>
          <w:rFonts w:cs="Arial"/>
          <w:szCs w:val="22"/>
        </w:rPr>
        <w:t xml:space="preserve">e positive and negative experiences generated </w:t>
      </w:r>
      <w:r w:rsidR="00BF30EB">
        <w:rPr>
          <w:rFonts w:cs="Arial"/>
          <w:szCs w:val="22"/>
        </w:rPr>
        <w:t xml:space="preserve">from these pilots </w:t>
      </w:r>
      <w:r w:rsidR="002E5753">
        <w:rPr>
          <w:rFonts w:cs="Arial"/>
          <w:szCs w:val="22"/>
        </w:rPr>
        <w:t xml:space="preserve">had </w:t>
      </w:r>
      <w:r w:rsidR="00BF30EB">
        <w:rPr>
          <w:rFonts w:cs="Arial"/>
          <w:szCs w:val="22"/>
        </w:rPr>
        <w:t xml:space="preserve">a </w:t>
      </w:r>
      <w:r w:rsidR="002E5753">
        <w:rPr>
          <w:rFonts w:cs="Arial"/>
          <w:szCs w:val="22"/>
        </w:rPr>
        <w:t>substantial influence</w:t>
      </w:r>
      <w:r w:rsidR="00B83557">
        <w:rPr>
          <w:rFonts w:cs="Arial"/>
          <w:szCs w:val="22"/>
        </w:rPr>
        <w:t xml:space="preserve"> on the form </w:t>
      </w:r>
      <w:r w:rsidR="00BF30EB">
        <w:rPr>
          <w:rFonts w:cs="Arial"/>
          <w:szCs w:val="22"/>
        </w:rPr>
        <w:t xml:space="preserve">that the </w:t>
      </w:r>
      <w:r w:rsidR="002E5753">
        <w:rPr>
          <w:rFonts w:cs="Arial"/>
          <w:szCs w:val="22"/>
        </w:rPr>
        <w:t>post 19</w:t>
      </w:r>
      <w:r w:rsidR="00B83557">
        <w:rPr>
          <w:rFonts w:cs="Arial"/>
          <w:szCs w:val="22"/>
        </w:rPr>
        <w:t>94 housing policy took.</w:t>
      </w:r>
    </w:p>
    <w:p w14:paraId="217E4E69" w14:textId="77777777" w:rsidR="002A0C94" w:rsidRPr="001D590D" w:rsidRDefault="002A0C94" w:rsidP="00727BFC">
      <w:pPr>
        <w:pStyle w:val="Heading3"/>
      </w:pPr>
      <w:bookmarkStart w:id="43" w:name="_Toc261617566"/>
      <w:bookmarkStart w:id="44" w:name="_Toc262067782"/>
      <w:bookmarkStart w:id="45" w:name="_Toc262068108"/>
      <w:r w:rsidRPr="001D590D">
        <w:t>Reconstruction and Development Programme</w:t>
      </w:r>
      <w:bookmarkEnd w:id="43"/>
      <w:bookmarkEnd w:id="44"/>
      <w:bookmarkEnd w:id="45"/>
    </w:p>
    <w:p w14:paraId="0592D270" w14:textId="7C106F04" w:rsidR="002A0C94" w:rsidRPr="001D590D" w:rsidRDefault="00BF30EB" w:rsidP="00BF30EB">
      <w:pPr>
        <w:spacing w:line="360" w:lineRule="auto"/>
        <w:rPr>
          <w:rFonts w:cs="Arial"/>
          <w:szCs w:val="22"/>
        </w:rPr>
      </w:pPr>
      <w:r>
        <w:rPr>
          <w:rFonts w:cs="Arial"/>
          <w:szCs w:val="22"/>
        </w:rPr>
        <w:t>In t</w:t>
      </w:r>
      <w:r w:rsidR="002A0C94" w:rsidRPr="001D590D">
        <w:rPr>
          <w:rFonts w:cs="Arial"/>
          <w:szCs w:val="22"/>
        </w:rPr>
        <w:t xml:space="preserve">he first ten years after democracy, the focus was on </w:t>
      </w:r>
      <w:r>
        <w:rPr>
          <w:rFonts w:cs="Arial"/>
          <w:szCs w:val="22"/>
        </w:rPr>
        <w:t xml:space="preserve">the </w:t>
      </w:r>
      <w:r w:rsidR="002A0C94" w:rsidRPr="001D590D">
        <w:rPr>
          <w:rFonts w:cs="Arial"/>
          <w:szCs w:val="22"/>
        </w:rPr>
        <w:t>delivery</w:t>
      </w:r>
      <w:r>
        <w:rPr>
          <w:rFonts w:cs="Arial"/>
          <w:szCs w:val="22"/>
        </w:rPr>
        <w:t xml:space="preserve"> of</w:t>
      </w:r>
      <w:r w:rsidR="002A0C94" w:rsidRPr="001D590D">
        <w:rPr>
          <w:rFonts w:cs="Arial"/>
          <w:szCs w:val="22"/>
        </w:rPr>
        <w:t xml:space="preserve"> the one million houses promised in the </w:t>
      </w:r>
      <w:r w:rsidR="002A0C94" w:rsidRPr="001D590D">
        <w:rPr>
          <w:rFonts w:cs="Arial"/>
          <w:b/>
          <w:szCs w:val="22"/>
        </w:rPr>
        <w:t>Reconstruction and Development Programme</w:t>
      </w:r>
      <w:r>
        <w:rPr>
          <w:rFonts w:cs="Arial"/>
          <w:b/>
          <w:szCs w:val="22"/>
        </w:rPr>
        <w:t xml:space="preserve"> (RDP)</w:t>
      </w:r>
      <w:r w:rsidR="002A0C94" w:rsidRPr="001D590D">
        <w:rPr>
          <w:rFonts w:cs="Arial"/>
          <w:szCs w:val="22"/>
        </w:rPr>
        <w:t xml:space="preserve">. The </w:t>
      </w:r>
      <w:r>
        <w:rPr>
          <w:rFonts w:cs="Arial"/>
          <w:szCs w:val="22"/>
        </w:rPr>
        <w:t>emphasis</w:t>
      </w:r>
      <w:r w:rsidRPr="001D590D">
        <w:rPr>
          <w:rFonts w:cs="Arial"/>
          <w:szCs w:val="22"/>
        </w:rPr>
        <w:t xml:space="preserve"> </w:t>
      </w:r>
      <w:r w:rsidR="002A0C94" w:rsidRPr="001D590D">
        <w:rPr>
          <w:rFonts w:cs="Arial"/>
          <w:szCs w:val="22"/>
        </w:rPr>
        <w:t xml:space="preserve">of this period was on the </w:t>
      </w:r>
      <w:r>
        <w:rPr>
          <w:rFonts w:cs="Arial"/>
          <w:szCs w:val="22"/>
        </w:rPr>
        <w:t xml:space="preserve">delivery of high </w:t>
      </w:r>
      <w:r w:rsidR="002A0C94" w:rsidRPr="001D590D">
        <w:rPr>
          <w:rFonts w:cs="Arial"/>
          <w:szCs w:val="22"/>
        </w:rPr>
        <w:t>numbers</w:t>
      </w:r>
      <w:r>
        <w:rPr>
          <w:rFonts w:cs="Arial"/>
          <w:szCs w:val="22"/>
        </w:rPr>
        <w:t xml:space="preserve"> of units</w:t>
      </w:r>
      <w:r w:rsidR="002A0C94" w:rsidRPr="001D590D">
        <w:rPr>
          <w:rFonts w:cs="Arial"/>
          <w:szCs w:val="22"/>
        </w:rPr>
        <w:t>, and in hindsight, many shortcomings of this approach to housing provision were overlooked. These include a growing recognition that rates of housing delivery achievable under the budgetary limitations would not meet housing backlogs, a lack of focus on the quality of construction, and continued concern around the perpetuation of apartheid spatial patterns in the location of new settlements on the urban periphery.</w:t>
      </w:r>
    </w:p>
    <w:p w14:paraId="6C9FC051" w14:textId="77777777" w:rsidR="002A0C94" w:rsidRPr="001D590D" w:rsidRDefault="002A0C94" w:rsidP="00727BFC">
      <w:pPr>
        <w:pStyle w:val="Heading3"/>
      </w:pPr>
      <w:bookmarkStart w:id="46" w:name="_Toc261617567"/>
      <w:bookmarkStart w:id="47" w:name="_Toc262067783"/>
      <w:bookmarkStart w:id="48" w:name="_Toc262068109"/>
      <w:r w:rsidRPr="001D590D">
        <w:t>Breaking New Ground Strategy</w:t>
      </w:r>
      <w:bookmarkEnd w:id="46"/>
      <w:bookmarkEnd w:id="47"/>
      <w:bookmarkEnd w:id="48"/>
      <w:r w:rsidRPr="001D590D">
        <w:t xml:space="preserve"> </w:t>
      </w:r>
    </w:p>
    <w:p w14:paraId="2675E261" w14:textId="00153B90" w:rsidR="002A0C94" w:rsidRPr="001D590D" w:rsidRDefault="002A0C94" w:rsidP="00BF30EB">
      <w:pPr>
        <w:spacing w:line="360" w:lineRule="auto"/>
        <w:rPr>
          <w:rFonts w:cs="Arial"/>
          <w:szCs w:val="22"/>
        </w:rPr>
      </w:pPr>
      <w:r w:rsidRPr="001D590D">
        <w:rPr>
          <w:rFonts w:cs="Arial"/>
          <w:szCs w:val="22"/>
        </w:rPr>
        <w:t xml:space="preserve">A period of national policy introspection resulted in the publication of </w:t>
      </w:r>
      <w:r w:rsidRPr="001D590D">
        <w:rPr>
          <w:rFonts w:cs="Arial"/>
          <w:b/>
          <w:szCs w:val="22"/>
        </w:rPr>
        <w:t>‘Breaking New Ground</w:t>
      </w:r>
      <w:r w:rsidR="00BF30EB">
        <w:rPr>
          <w:rFonts w:cs="Arial"/>
          <w:b/>
          <w:szCs w:val="22"/>
        </w:rPr>
        <w:t>: a comprehensive plan for housing delivery</w:t>
      </w:r>
      <w:r w:rsidRPr="001D590D">
        <w:rPr>
          <w:rFonts w:cs="Arial"/>
          <w:b/>
          <w:szCs w:val="22"/>
        </w:rPr>
        <w:t>’</w:t>
      </w:r>
      <w:r w:rsidRPr="001D590D">
        <w:rPr>
          <w:rFonts w:cs="Arial"/>
          <w:szCs w:val="22"/>
        </w:rPr>
        <w:t xml:space="preserve"> in </w:t>
      </w:r>
      <w:r w:rsidR="002E5753" w:rsidRPr="002E5753">
        <w:rPr>
          <w:rFonts w:cs="Arial"/>
          <w:szCs w:val="22"/>
        </w:rPr>
        <w:t>2004</w:t>
      </w:r>
      <w:r w:rsidRPr="002E5753">
        <w:rPr>
          <w:rFonts w:cs="Arial"/>
          <w:szCs w:val="22"/>
        </w:rPr>
        <w:t>.</w:t>
      </w:r>
      <w:r w:rsidRPr="001D590D">
        <w:rPr>
          <w:rFonts w:cs="Arial"/>
          <w:szCs w:val="22"/>
        </w:rPr>
        <w:t xml:space="preserve"> This strategy intended to overcome the shortcomings in housing provision since 1994</w:t>
      </w:r>
      <w:r w:rsidR="00BF30EB">
        <w:rPr>
          <w:rFonts w:cs="Arial"/>
          <w:szCs w:val="22"/>
        </w:rPr>
        <w:t xml:space="preserve"> and address many of the critiques that had been offered around the quantitative focus on housing delivery</w:t>
      </w:r>
      <w:r w:rsidRPr="001D590D">
        <w:rPr>
          <w:rFonts w:cs="Arial"/>
          <w:szCs w:val="22"/>
        </w:rPr>
        <w:t xml:space="preserve">. Two </w:t>
      </w:r>
      <w:r w:rsidR="00BF30EB">
        <w:rPr>
          <w:rFonts w:cs="Arial"/>
          <w:szCs w:val="22"/>
        </w:rPr>
        <w:t xml:space="preserve">of the </w:t>
      </w:r>
      <w:r w:rsidRPr="001D590D">
        <w:rPr>
          <w:rFonts w:cs="Arial"/>
          <w:szCs w:val="22"/>
        </w:rPr>
        <w:t xml:space="preserve">major changes to </w:t>
      </w:r>
      <w:r w:rsidR="00BF30EB">
        <w:rPr>
          <w:rFonts w:cs="Arial"/>
          <w:szCs w:val="22"/>
        </w:rPr>
        <w:t xml:space="preserve">housing </w:t>
      </w:r>
      <w:r w:rsidRPr="001D590D">
        <w:rPr>
          <w:rFonts w:cs="Arial"/>
          <w:szCs w:val="22"/>
        </w:rPr>
        <w:t>strategy were the introduction of the concept of ‘sustainable human settlement</w:t>
      </w:r>
      <w:r w:rsidR="00BF30EB">
        <w:rPr>
          <w:rFonts w:cs="Arial"/>
          <w:szCs w:val="22"/>
        </w:rPr>
        <w:t>s</w:t>
      </w:r>
      <w:r w:rsidRPr="001D590D">
        <w:rPr>
          <w:rFonts w:cs="Arial"/>
          <w:szCs w:val="22"/>
        </w:rPr>
        <w:t>’, including a name change from the Department of Housing to the Department of Human Settlements</w:t>
      </w:r>
      <w:r w:rsidR="00241D3F">
        <w:rPr>
          <w:rFonts w:cs="Arial"/>
          <w:szCs w:val="22"/>
        </w:rPr>
        <w:t xml:space="preserve"> (NDHS)</w:t>
      </w:r>
      <w:r w:rsidR="000E343E">
        <w:rPr>
          <w:rFonts w:cs="Arial"/>
          <w:szCs w:val="22"/>
        </w:rPr>
        <w:t>,</w:t>
      </w:r>
      <w:r w:rsidRPr="001D590D">
        <w:rPr>
          <w:rFonts w:cs="Arial"/>
          <w:szCs w:val="22"/>
        </w:rPr>
        <w:t xml:space="preserve"> and the recognition of the need to ‘</w:t>
      </w:r>
      <w:r w:rsidRPr="001D590D">
        <w:rPr>
          <w:rFonts w:cs="Arial"/>
          <w:i/>
          <w:szCs w:val="22"/>
        </w:rPr>
        <w:t>engage with informality’</w:t>
      </w:r>
      <w:r w:rsidRPr="001D590D">
        <w:rPr>
          <w:rFonts w:cs="Arial"/>
          <w:szCs w:val="22"/>
        </w:rPr>
        <w:t xml:space="preserve"> in the human settlements process. Specifically, this implied that </w:t>
      </w:r>
      <w:r w:rsidR="00BF30EB">
        <w:rPr>
          <w:rFonts w:cs="Arial"/>
          <w:szCs w:val="22"/>
        </w:rPr>
        <w:t xml:space="preserve">the new </w:t>
      </w:r>
      <w:r w:rsidRPr="001D590D">
        <w:rPr>
          <w:rFonts w:cs="Arial"/>
          <w:szCs w:val="22"/>
        </w:rPr>
        <w:t xml:space="preserve">strategy needed to </w:t>
      </w:r>
      <w:r w:rsidR="008B47BF">
        <w:rPr>
          <w:rFonts w:cs="Arial"/>
          <w:szCs w:val="22"/>
        </w:rPr>
        <w:t>recogniz</w:t>
      </w:r>
      <w:r w:rsidRPr="001D590D">
        <w:rPr>
          <w:rFonts w:cs="Arial"/>
          <w:szCs w:val="22"/>
        </w:rPr>
        <w:t xml:space="preserve">e and target households in the worst housing conditions, namely informal settlements and backyard rooms </w:t>
      </w:r>
      <w:r w:rsidRPr="001D590D">
        <w:rPr>
          <w:rFonts w:cs="Arial"/>
          <w:szCs w:val="22"/>
        </w:rPr>
        <w:lastRenderedPageBreak/>
        <w:t xml:space="preserve">and shacks </w:t>
      </w:r>
      <w:r w:rsidR="00BF30EB">
        <w:rPr>
          <w:rFonts w:cs="Arial"/>
          <w:szCs w:val="22"/>
        </w:rPr>
        <w:t>but combined with the</w:t>
      </w:r>
      <w:r w:rsidRPr="001D590D">
        <w:rPr>
          <w:rFonts w:cs="Arial"/>
          <w:szCs w:val="22"/>
        </w:rPr>
        <w:t xml:space="preserve"> recognition that in many cases informal settlements are relatively well located</w:t>
      </w:r>
      <w:r w:rsidRPr="001D590D">
        <w:rPr>
          <w:rStyle w:val="FootnoteReference"/>
          <w:rFonts w:cs="Arial"/>
          <w:szCs w:val="22"/>
        </w:rPr>
        <w:footnoteReference w:id="4"/>
      </w:r>
      <w:r w:rsidRPr="001D590D">
        <w:rPr>
          <w:rFonts w:cs="Arial"/>
          <w:szCs w:val="22"/>
        </w:rPr>
        <w:t xml:space="preserve">.  </w:t>
      </w:r>
    </w:p>
    <w:p w14:paraId="5CBE5E34" w14:textId="77777777" w:rsidR="002A0C94" w:rsidRPr="001D590D" w:rsidRDefault="002A0C94" w:rsidP="00727BFC">
      <w:pPr>
        <w:pStyle w:val="Heading3"/>
      </w:pPr>
      <w:bookmarkStart w:id="49" w:name="_Toc261617568"/>
      <w:bookmarkStart w:id="50" w:name="_Toc262067784"/>
      <w:bookmarkStart w:id="51" w:name="_Toc262068110"/>
      <w:r w:rsidRPr="001D590D">
        <w:t>Introduction of Upgrading of Informal Settlements Programme</w:t>
      </w:r>
      <w:bookmarkEnd w:id="49"/>
      <w:bookmarkEnd w:id="50"/>
      <w:bookmarkEnd w:id="51"/>
      <w:r w:rsidRPr="001D590D">
        <w:t xml:space="preserve"> </w:t>
      </w:r>
    </w:p>
    <w:p w14:paraId="7BBC45E5" w14:textId="694D1622" w:rsidR="005F279C" w:rsidRDefault="002A0C94" w:rsidP="00BF30EB">
      <w:pPr>
        <w:spacing w:line="360" w:lineRule="auto"/>
        <w:rPr>
          <w:rFonts w:cs="Arial"/>
          <w:szCs w:val="22"/>
        </w:rPr>
      </w:pPr>
      <w:r w:rsidRPr="001D590D">
        <w:rPr>
          <w:rFonts w:cs="Arial"/>
          <w:szCs w:val="22"/>
        </w:rPr>
        <w:t xml:space="preserve">Notwithstanding the new BNG strategy, the growth of informal settlements and households living in backyard accommodation continued to </w:t>
      </w:r>
      <w:r w:rsidR="005F279C">
        <w:rPr>
          <w:rFonts w:cs="Arial"/>
          <w:szCs w:val="22"/>
        </w:rPr>
        <w:t>match</w:t>
      </w:r>
      <w:r w:rsidRPr="001D590D">
        <w:rPr>
          <w:rFonts w:cs="Arial"/>
          <w:szCs w:val="22"/>
        </w:rPr>
        <w:t xml:space="preserve"> </w:t>
      </w:r>
      <w:r w:rsidR="00E01C9B">
        <w:rPr>
          <w:rFonts w:cs="Arial"/>
          <w:szCs w:val="22"/>
        </w:rPr>
        <w:t>subsidized</w:t>
      </w:r>
      <w:r w:rsidRPr="001D590D">
        <w:rPr>
          <w:rFonts w:cs="Arial"/>
          <w:szCs w:val="22"/>
        </w:rPr>
        <w:t xml:space="preserve"> h</w:t>
      </w:r>
      <w:r w:rsidR="005F279C">
        <w:rPr>
          <w:rFonts w:cs="Arial"/>
          <w:szCs w:val="22"/>
        </w:rPr>
        <w:t xml:space="preserve">ousing delivery. In addition, </w:t>
      </w:r>
      <w:r w:rsidRPr="001D590D">
        <w:rPr>
          <w:rFonts w:cs="Arial"/>
          <w:szCs w:val="22"/>
        </w:rPr>
        <w:t xml:space="preserve">little changed with respect to the upgrading of informal settlements </w:t>
      </w:r>
      <w:r w:rsidR="005F279C">
        <w:rPr>
          <w:rFonts w:cs="Arial"/>
          <w:szCs w:val="22"/>
        </w:rPr>
        <w:t>during the first y</w:t>
      </w:r>
      <w:r w:rsidRPr="001D590D">
        <w:rPr>
          <w:rFonts w:cs="Arial"/>
          <w:szCs w:val="22"/>
        </w:rPr>
        <w:t xml:space="preserve">ears </w:t>
      </w:r>
      <w:r w:rsidR="005F279C">
        <w:rPr>
          <w:rFonts w:cs="Arial"/>
          <w:szCs w:val="22"/>
        </w:rPr>
        <w:t xml:space="preserve">of </w:t>
      </w:r>
      <w:r w:rsidRPr="001D590D">
        <w:rPr>
          <w:rFonts w:cs="Arial"/>
          <w:szCs w:val="22"/>
        </w:rPr>
        <w:t xml:space="preserve">BNG’s implementation. </w:t>
      </w:r>
      <w:r w:rsidR="005F279C">
        <w:rPr>
          <w:rFonts w:cs="Arial"/>
          <w:szCs w:val="22"/>
        </w:rPr>
        <w:t>In 2006 the NDH</w:t>
      </w:r>
      <w:r w:rsidR="00241D3F">
        <w:rPr>
          <w:rFonts w:cs="Arial"/>
          <w:szCs w:val="22"/>
        </w:rPr>
        <w:t>S</w:t>
      </w:r>
      <w:r w:rsidR="005F279C">
        <w:rPr>
          <w:rFonts w:cs="Arial"/>
          <w:szCs w:val="22"/>
        </w:rPr>
        <w:t xml:space="preserve"> </w:t>
      </w:r>
      <w:r w:rsidR="00DC5889">
        <w:rPr>
          <w:rFonts w:cs="Arial"/>
          <w:szCs w:val="22"/>
        </w:rPr>
        <w:t xml:space="preserve">launched a set </w:t>
      </w:r>
      <w:r w:rsidR="00332789">
        <w:rPr>
          <w:rFonts w:cs="Arial"/>
          <w:szCs w:val="22"/>
        </w:rPr>
        <w:t>of pilot</w:t>
      </w:r>
      <w:r w:rsidR="00DC5889">
        <w:rPr>
          <w:rFonts w:cs="Arial"/>
          <w:szCs w:val="22"/>
        </w:rPr>
        <w:t xml:space="preserve"> projects across the country to test the new approach to settlement upgrading</w:t>
      </w:r>
      <w:r w:rsidR="00703106">
        <w:rPr>
          <w:rFonts w:cs="Arial"/>
          <w:szCs w:val="22"/>
        </w:rPr>
        <w:t xml:space="preserve"> (</w:t>
      </w:r>
      <w:r w:rsidR="00DC5889">
        <w:rPr>
          <w:rFonts w:cs="Arial"/>
          <w:szCs w:val="22"/>
        </w:rPr>
        <w:t>NUSP</w:t>
      </w:r>
      <w:r w:rsidR="00703106">
        <w:rPr>
          <w:rFonts w:cs="Arial"/>
          <w:szCs w:val="22"/>
        </w:rPr>
        <w:t>, 2009</w:t>
      </w:r>
      <w:r w:rsidR="00DC5889">
        <w:rPr>
          <w:rFonts w:cs="Arial"/>
          <w:szCs w:val="22"/>
        </w:rPr>
        <w:t xml:space="preserve"> p1</w:t>
      </w:r>
      <w:r w:rsidR="00703106">
        <w:rPr>
          <w:rFonts w:cs="Arial"/>
          <w:szCs w:val="22"/>
        </w:rPr>
        <w:t>)</w:t>
      </w:r>
      <w:r w:rsidR="00DC5889">
        <w:rPr>
          <w:rFonts w:cs="Arial"/>
          <w:szCs w:val="22"/>
        </w:rPr>
        <w:t xml:space="preserve"> </w:t>
      </w:r>
    </w:p>
    <w:p w14:paraId="03EEF64E" w14:textId="4D5706F8" w:rsidR="002A0C94" w:rsidRDefault="002A0C94" w:rsidP="00BF30EB">
      <w:pPr>
        <w:spacing w:line="360" w:lineRule="auto"/>
        <w:rPr>
          <w:rFonts w:cs="Arial"/>
          <w:szCs w:val="22"/>
        </w:rPr>
      </w:pPr>
      <w:r w:rsidRPr="001D590D">
        <w:rPr>
          <w:rFonts w:cs="Arial"/>
          <w:szCs w:val="22"/>
        </w:rPr>
        <w:t xml:space="preserve"> While a new housing subsidy programme (</w:t>
      </w:r>
      <w:r w:rsidRPr="001D590D">
        <w:rPr>
          <w:rFonts w:cs="Arial"/>
          <w:b/>
          <w:szCs w:val="22"/>
        </w:rPr>
        <w:t>’Upgrading of Informal Settlements Programme</w:t>
      </w:r>
      <w:r w:rsidR="00241D3F">
        <w:rPr>
          <w:rFonts w:cs="Arial"/>
          <w:b/>
          <w:szCs w:val="22"/>
        </w:rPr>
        <w:t xml:space="preserve"> - UISP</w:t>
      </w:r>
      <w:r w:rsidRPr="001D590D">
        <w:rPr>
          <w:rFonts w:cs="Arial"/>
          <w:b/>
          <w:szCs w:val="22"/>
        </w:rPr>
        <w:t>’</w:t>
      </w:r>
      <w:r w:rsidRPr="001D590D">
        <w:rPr>
          <w:rFonts w:cs="Arial"/>
          <w:szCs w:val="22"/>
        </w:rPr>
        <w:t xml:space="preserve">) was included as Part Three of the National Housing Code in </w:t>
      </w:r>
      <w:r w:rsidRPr="001A73E5">
        <w:rPr>
          <w:rFonts w:cs="Arial"/>
          <w:szCs w:val="22"/>
        </w:rPr>
        <w:t>20</w:t>
      </w:r>
      <w:r w:rsidR="001A73E5" w:rsidRPr="001A73E5">
        <w:rPr>
          <w:rFonts w:cs="Arial"/>
          <w:szCs w:val="22"/>
        </w:rPr>
        <w:t>09</w:t>
      </w:r>
      <w:r w:rsidRPr="001A73E5">
        <w:rPr>
          <w:rFonts w:cs="Arial"/>
          <w:szCs w:val="22"/>
        </w:rPr>
        <w:t>,</w:t>
      </w:r>
      <w:r w:rsidRPr="001D590D">
        <w:rPr>
          <w:rFonts w:cs="Arial"/>
          <w:szCs w:val="22"/>
        </w:rPr>
        <w:t xml:space="preserve"> few provinces actively embraced and applied this in their human settlements strategies </w:t>
      </w:r>
      <w:r w:rsidR="005F279C">
        <w:rPr>
          <w:rFonts w:cs="Arial"/>
          <w:szCs w:val="22"/>
        </w:rPr>
        <w:t>(NUSP</w:t>
      </w:r>
      <w:r w:rsidR="00703106">
        <w:rPr>
          <w:rFonts w:cs="Arial"/>
          <w:szCs w:val="22"/>
        </w:rPr>
        <w:t>,</w:t>
      </w:r>
      <w:r w:rsidR="005F279C">
        <w:rPr>
          <w:rFonts w:cs="Arial"/>
          <w:szCs w:val="22"/>
        </w:rPr>
        <w:t xml:space="preserve"> 2009</w:t>
      </w:r>
      <w:r w:rsidRPr="001D590D">
        <w:rPr>
          <w:rFonts w:cs="Arial"/>
          <w:szCs w:val="22"/>
        </w:rPr>
        <w:t xml:space="preserve"> </w:t>
      </w:r>
      <w:r w:rsidR="0047610A">
        <w:rPr>
          <w:rFonts w:cs="Arial"/>
          <w:szCs w:val="22"/>
        </w:rPr>
        <w:t>Ibid.</w:t>
      </w:r>
      <w:r w:rsidR="00703106">
        <w:rPr>
          <w:rFonts w:cs="Arial"/>
          <w:szCs w:val="22"/>
        </w:rPr>
        <w:t>)</w:t>
      </w:r>
      <w:r w:rsidR="00DC5889">
        <w:rPr>
          <w:rFonts w:cs="Arial"/>
          <w:szCs w:val="22"/>
        </w:rPr>
        <w:t xml:space="preserve"> </w:t>
      </w:r>
    </w:p>
    <w:p w14:paraId="1E083979" w14:textId="5491DDE0" w:rsidR="00DC5889" w:rsidRPr="00DC5889" w:rsidRDefault="00DC5889" w:rsidP="00BF30EB">
      <w:pPr>
        <w:spacing w:line="360" w:lineRule="auto"/>
        <w:rPr>
          <w:rFonts w:cs="Arial"/>
          <w:szCs w:val="22"/>
        </w:rPr>
      </w:pPr>
      <w:r w:rsidRPr="00DC5889">
        <w:rPr>
          <w:rFonts w:cs="Arial"/>
          <w:szCs w:val="22"/>
        </w:rPr>
        <w:t xml:space="preserve">In </w:t>
      </w:r>
      <w:r w:rsidR="00703106">
        <w:rPr>
          <w:rFonts w:cs="Arial"/>
          <w:szCs w:val="22"/>
        </w:rPr>
        <w:t>2010</w:t>
      </w:r>
      <w:r w:rsidRPr="00DC5889">
        <w:rPr>
          <w:rFonts w:cs="Arial"/>
          <w:szCs w:val="22"/>
        </w:rPr>
        <w:t xml:space="preserve"> </w:t>
      </w:r>
      <w:r w:rsidR="00241D3F">
        <w:rPr>
          <w:rFonts w:cs="Arial"/>
          <w:szCs w:val="22"/>
        </w:rPr>
        <w:t>t</w:t>
      </w:r>
      <w:r w:rsidR="00241D3F" w:rsidRPr="00DC5889">
        <w:rPr>
          <w:rFonts w:cs="Arial"/>
          <w:szCs w:val="22"/>
        </w:rPr>
        <w:t xml:space="preserve">he </w:t>
      </w:r>
      <w:r w:rsidRPr="00DC5889">
        <w:rPr>
          <w:rFonts w:cs="Arial"/>
          <w:szCs w:val="22"/>
        </w:rPr>
        <w:t xml:space="preserve">National Upgrading Support Programme (NUSP), </w:t>
      </w:r>
      <w:r>
        <w:rPr>
          <w:rFonts w:cs="Arial"/>
          <w:szCs w:val="22"/>
        </w:rPr>
        <w:t xml:space="preserve">was initiated as a partnership between the Cities Alliance and the </w:t>
      </w:r>
      <w:r w:rsidR="00241D3F">
        <w:rPr>
          <w:rFonts w:cs="Arial"/>
          <w:szCs w:val="22"/>
        </w:rPr>
        <w:t>NDHS</w:t>
      </w:r>
      <w:r w:rsidRPr="00DC5889">
        <w:rPr>
          <w:rFonts w:cs="Arial"/>
          <w:szCs w:val="22"/>
        </w:rPr>
        <w:t xml:space="preserve"> to develop </w:t>
      </w:r>
      <w:r w:rsidR="00176C7A">
        <w:rPr>
          <w:rFonts w:cs="Arial"/>
          <w:szCs w:val="22"/>
        </w:rPr>
        <w:t xml:space="preserve">and </w:t>
      </w:r>
      <w:r w:rsidR="00176C7A" w:rsidRPr="00DC5889">
        <w:rPr>
          <w:rFonts w:cs="Arial"/>
          <w:szCs w:val="22"/>
        </w:rPr>
        <w:t>strengthen</w:t>
      </w:r>
      <w:r w:rsidRPr="00DC5889">
        <w:rPr>
          <w:rFonts w:cs="Arial"/>
          <w:szCs w:val="22"/>
        </w:rPr>
        <w:t xml:space="preserve"> the nationwide approach to informal settlement upgrading.</w:t>
      </w:r>
    </w:p>
    <w:p w14:paraId="2502C66B" w14:textId="77777777" w:rsidR="004D0712" w:rsidRPr="001D590D" w:rsidRDefault="004D0712" w:rsidP="004D0712">
      <w:pPr>
        <w:pStyle w:val="Heading3"/>
      </w:pPr>
      <w:bookmarkStart w:id="52" w:name="_Toc261617571"/>
      <w:bookmarkStart w:id="53" w:name="_Toc262067786"/>
      <w:bookmarkStart w:id="54" w:name="_Toc262068112"/>
      <w:bookmarkStart w:id="55" w:name="_Toc261617570"/>
      <w:bookmarkStart w:id="56" w:name="_Toc262067785"/>
      <w:bookmarkStart w:id="57" w:name="_Toc262068111"/>
      <w:r w:rsidRPr="001D590D">
        <w:t>Outcome 8 Delivery Agreements</w:t>
      </w:r>
      <w:bookmarkEnd w:id="52"/>
      <w:bookmarkEnd w:id="53"/>
      <w:bookmarkEnd w:id="54"/>
    </w:p>
    <w:p w14:paraId="7682BA61" w14:textId="77777777" w:rsidR="004D0712" w:rsidRDefault="004D0712" w:rsidP="004D0712">
      <w:pPr>
        <w:spacing w:line="360" w:lineRule="auto"/>
        <w:rPr>
          <w:rFonts w:cs="Arial"/>
          <w:szCs w:val="22"/>
        </w:rPr>
      </w:pPr>
      <w:r w:rsidRPr="001D590D">
        <w:rPr>
          <w:rFonts w:cs="Arial"/>
          <w:szCs w:val="22"/>
        </w:rPr>
        <w:t xml:space="preserve">It was only </w:t>
      </w:r>
      <w:r>
        <w:rPr>
          <w:rFonts w:cs="Arial"/>
          <w:szCs w:val="22"/>
        </w:rPr>
        <w:t xml:space="preserve">in 2009 </w:t>
      </w:r>
      <w:r w:rsidRPr="001D590D">
        <w:rPr>
          <w:rFonts w:cs="Arial"/>
          <w:szCs w:val="22"/>
        </w:rPr>
        <w:t>during the development of the Outcomes process for government, and the formulation of the Delivery Agreement between the President and the Minister of Human Settlements in ‘</w:t>
      </w:r>
      <w:r w:rsidRPr="001D590D">
        <w:rPr>
          <w:rFonts w:cs="Arial"/>
          <w:b/>
          <w:szCs w:val="22"/>
        </w:rPr>
        <w:t>Outcome 8: Sustainable Human Settlements and Improved Quality of Household Life’</w:t>
      </w:r>
      <w:r w:rsidRPr="001D590D">
        <w:rPr>
          <w:rStyle w:val="FootnoteReference"/>
          <w:rFonts w:cs="Arial"/>
          <w:b/>
          <w:szCs w:val="22"/>
        </w:rPr>
        <w:footnoteReference w:id="5"/>
      </w:r>
      <w:r w:rsidRPr="001D590D">
        <w:rPr>
          <w:rFonts w:cs="Arial"/>
          <w:szCs w:val="22"/>
        </w:rPr>
        <w:t xml:space="preserve"> that informal settlements were fully </w:t>
      </w:r>
      <w:r>
        <w:rPr>
          <w:rFonts w:cs="Arial"/>
          <w:szCs w:val="22"/>
        </w:rPr>
        <w:t>recogniz</w:t>
      </w:r>
      <w:r w:rsidRPr="001D590D">
        <w:rPr>
          <w:rFonts w:cs="Arial"/>
          <w:szCs w:val="22"/>
        </w:rPr>
        <w:t xml:space="preserve">ed and mainstreamed into South Africa’s human settlements delivery strategy. </w:t>
      </w:r>
      <w:r>
        <w:rPr>
          <w:rFonts w:cs="Arial"/>
          <w:szCs w:val="22"/>
        </w:rPr>
        <w:t>Very quickly</w:t>
      </w:r>
      <w:r w:rsidRPr="001D590D">
        <w:rPr>
          <w:rFonts w:cs="Arial"/>
          <w:szCs w:val="22"/>
        </w:rPr>
        <w:t xml:space="preserve">, national and provincial human settlements targets were </w:t>
      </w:r>
      <w:r>
        <w:rPr>
          <w:rFonts w:cs="Arial"/>
          <w:szCs w:val="22"/>
        </w:rPr>
        <w:t>re-</w:t>
      </w:r>
      <w:r w:rsidRPr="001D590D">
        <w:rPr>
          <w:rFonts w:cs="Arial"/>
          <w:szCs w:val="22"/>
        </w:rPr>
        <w:t xml:space="preserve">focused on the target of </w:t>
      </w:r>
      <w:r w:rsidRPr="001D590D">
        <w:rPr>
          <w:rFonts w:cs="Arial"/>
          <w:i/>
          <w:iCs/>
          <w:szCs w:val="22"/>
        </w:rPr>
        <w:t xml:space="preserve">’400 000 households provided with upgraded services (in situ or Greenfield) and security of </w:t>
      </w:r>
      <w:r w:rsidRPr="00250EA9">
        <w:rPr>
          <w:rFonts w:cs="Arial"/>
          <w:i/>
          <w:iCs/>
          <w:szCs w:val="22"/>
        </w:rPr>
        <w:t>tenure’</w:t>
      </w:r>
      <w:r w:rsidRPr="001D590D">
        <w:rPr>
          <w:rFonts w:cs="Arial"/>
          <w:iCs/>
          <w:szCs w:val="22"/>
        </w:rPr>
        <w:t xml:space="preserve"> to be achieved between April 2010 to February 2014</w:t>
      </w:r>
      <w:r w:rsidRPr="001D590D">
        <w:rPr>
          <w:rFonts w:cs="Arial"/>
          <w:szCs w:val="22"/>
        </w:rPr>
        <w:t xml:space="preserve">. This focus on upgrading of informal circumstances finally commenced the </w:t>
      </w:r>
      <w:r>
        <w:rPr>
          <w:rFonts w:cs="Arial"/>
          <w:szCs w:val="22"/>
        </w:rPr>
        <w:t xml:space="preserve">new </w:t>
      </w:r>
      <w:r w:rsidRPr="001D590D">
        <w:rPr>
          <w:rFonts w:cs="Arial"/>
          <w:szCs w:val="22"/>
        </w:rPr>
        <w:t xml:space="preserve">focus of state housing machinery towards upgrading well-located informal settlements, and indicated a significant departure from the delivery of full houses. </w:t>
      </w:r>
    </w:p>
    <w:p w14:paraId="499AC001" w14:textId="77777777" w:rsidR="000E343E" w:rsidRPr="001D590D" w:rsidRDefault="000E343E" w:rsidP="004D0712">
      <w:pPr>
        <w:spacing w:line="360" w:lineRule="auto"/>
        <w:rPr>
          <w:rFonts w:cs="Arial"/>
          <w:szCs w:val="22"/>
        </w:rPr>
      </w:pPr>
    </w:p>
    <w:p w14:paraId="0DF069F0" w14:textId="77777777" w:rsidR="002A0C94" w:rsidRDefault="002A0C94" w:rsidP="00727BFC">
      <w:pPr>
        <w:pStyle w:val="Heading3"/>
      </w:pPr>
      <w:r w:rsidRPr="001D590D">
        <w:lastRenderedPageBreak/>
        <w:t>Upgrading Support from NUSP and Housing Development Agency</w:t>
      </w:r>
      <w:bookmarkEnd w:id="55"/>
      <w:bookmarkEnd w:id="56"/>
      <w:bookmarkEnd w:id="57"/>
    </w:p>
    <w:p w14:paraId="5B1CC206" w14:textId="7AF9C1FF" w:rsidR="002A0C94" w:rsidRPr="00915CC1" w:rsidRDefault="002A0C94" w:rsidP="00241D3F">
      <w:pPr>
        <w:spacing w:line="360" w:lineRule="auto"/>
        <w:rPr>
          <w:rFonts w:cs="Arial"/>
          <w:b/>
          <w:szCs w:val="22"/>
          <w:highlight w:val="yellow"/>
        </w:rPr>
      </w:pPr>
      <w:r w:rsidRPr="00915CC1">
        <w:rPr>
          <w:rFonts w:cs="Arial"/>
          <w:szCs w:val="22"/>
          <w:highlight w:val="yellow"/>
        </w:rPr>
        <w:t>Two support agencies have been tasked to assist the NDHS with the implementation of informal settlements</w:t>
      </w:r>
      <w:r w:rsidRPr="00915CC1">
        <w:rPr>
          <w:rFonts w:cs="Arial"/>
          <w:b/>
          <w:szCs w:val="22"/>
          <w:highlight w:val="yellow"/>
        </w:rPr>
        <w:t xml:space="preserve"> </w:t>
      </w:r>
      <w:r w:rsidRPr="00915CC1">
        <w:rPr>
          <w:rFonts w:cs="Arial"/>
          <w:szCs w:val="22"/>
          <w:highlight w:val="yellow"/>
        </w:rPr>
        <w:t>upgrading</w:t>
      </w:r>
      <w:r w:rsidR="00241D3F" w:rsidRPr="00915CC1">
        <w:rPr>
          <w:rFonts w:cs="Arial"/>
          <w:b/>
          <w:szCs w:val="22"/>
          <w:highlight w:val="yellow"/>
        </w:rPr>
        <w:t xml:space="preserve">: </w:t>
      </w:r>
      <w:r w:rsidR="00241D3F" w:rsidRPr="00915CC1">
        <w:rPr>
          <w:rFonts w:cs="Arial"/>
          <w:szCs w:val="22"/>
          <w:highlight w:val="yellow"/>
        </w:rPr>
        <w:t>the National Upgrading Support Programme (NUSP) and the Housing Development Agency (HDA).</w:t>
      </w:r>
    </w:p>
    <w:p w14:paraId="008AD341" w14:textId="0894C318" w:rsidR="002A0C94" w:rsidRPr="001D590D" w:rsidRDefault="002A0C94" w:rsidP="00241D3F">
      <w:pPr>
        <w:spacing w:line="360" w:lineRule="auto"/>
        <w:rPr>
          <w:rFonts w:cs="Arial"/>
          <w:szCs w:val="22"/>
        </w:rPr>
      </w:pPr>
      <w:r w:rsidRPr="00915CC1">
        <w:rPr>
          <w:rFonts w:cs="Arial"/>
          <w:szCs w:val="22"/>
          <w:highlight w:val="yellow"/>
        </w:rPr>
        <w:t xml:space="preserve">The </w:t>
      </w:r>
      <w:r w:rsidRPr="00915CC1">
        <w:rPr>
          <w:rFonts w:cs="Arial"/>
          <w:b/>
          <w:szCs w:val="22"/>
          <w:highlight w:val="yellow"/>
        </w:rPr>
        <w:t>National Upgrading Support Programme (NUSP)</w:t>
      </w:r>
      <w:r w:rsidRPr="00915CC1">
        <w:rPr>
          <w:rFonts w:cs="Arial"/>
          <w:szCs w:val="22"/>
          <w:highlight w:val="yellow"/>
        </w:rPr>
        <w:t xml:space="preserve"> was established </w:t>
      </w:r>
      <w:r w:rsidR="00703106" w:rsidRPr="00915CC1">
        <w:rPr>
          <w:rFonts w:cs="Arial"/>
          <w:szCs w:val="22"/>
          <w:highlight w:val="yellow"/>
        </w:rPr>
        <w:t>in 2010</w:t>
      </w:r>
      <w:r w:rsidRPr="00915CC1">
        <w:rPr>
          <w:rFonts w:cs="Arial"/>
          <w:szCs w:val="22"/>
          <w:highlight w:val="yellow"/>
        </w:rPr>
        <w:t xml:space="preserve"> to provide technical support and assistance to </w:t>
      </w:r>
      <w:r w:rsidR="00241D3F" w:rsidRPr="00915CC1">
        <w:rPr>
          <w:rFonts w:cs="Arial"/>
          <w:szCs w:val="22"/>
          <w:highlight w:val="yellow"/>
        </w:rPr>
        <w:t>m</w:t>
      </w:r>
      <w:r w:rsidRPr="00915CC1">
        <w:rPr>
          <w:rFonts w:cs="Arial"/>
          <w:szCs w:val="22"/>
          <w:highlight w:val="yellow"/>
        </w:rPr>
        <w:t xml:space="preserve">unicipalities implementing upgrading programmes.  NUSP’s core mandate is to support the NDHS with the implementation of the UISP, with the objective of ultimately upgrading all informal settlements in South Africa. Municipalities operate as developers for informal settlement upgrading, and the NUSP provides policy, technical and limited financial support to </w:t>
      </w:r>
      <w:r w:rsidR="00241D3F" w:rsidRPr="00915CC1">
        <w:rPr>
          <w:rFonts w:cs="Arial"/>
          <w:szCs w:val="22"/>
          <w:highlight w:val="yellow"/>
        </w:rPr>
        <w:t>municipalities</w:t>
      </w:r>
      <w:r w:rsidRPr="00915CC1">
        <w:rPr>
          <w:rFonts w:cs="Arial"/>
          <w:szCs w:val="22"/>
          <w:highlight w:val="yellow"/>
        </w:rPr>
        <w:t>, in partnership with provincial human settlements departments.</w:t>
      </w:r>
      <w:r w:rsidRPr="001D590D">
        <w:rPr>
          <w:rFonts w:cs="Arial"/>
          <w:szCs w:val="22"/>
        </w:rPr>
        <w:t xml:space="preserve"> </w:t>
      </w:r>
    </w:p>
    <w:p w14:paraId="1E510134" w14:textId="740CEF4A" w:rsidR="002A0C94" w:rsidRPr="001D590D" w:rsidRDefault="002A0C94" w:rsidP="00241D3F">
      <w:pPr>
        <w:spacing w:line="360" w:lineRule="auto"/>
        <w:rPr>
          <w:rFonts w:cs="Arial"/>
          <w:szCs w:val="22"/>
        </w:rPr>
      </w:pPr>
      <w:r w:rsidRPr="001D590D">
        <w:rPr>
          <w:rFonts w:cs="Arial"/>
          <w:szCs w:val="22"/>
        </w:rPr>
        <w:t>Initially, NUSP’s mandate was to operat</w:t>
      </w:r>
      <w:r w:rsidR="00241D3F">
        <w:rPr>
          <w:rFonts w:cs="Arial"/>
          <w:szCs w:val="22"/>
        </w:rPr>
        <w:t>e and support</w:t>
      </w:r>
      <w:r w:rsidRPr="001D590D">
        <w:rPr>
          <w:rFonts w:cs="Arial"/>
          <w:szCs w:val="22"/>
        </w:rPr>
        <w:t xml:space="preserve"> 48 </w:t>
      </w:r>
      <w:r w:rsidR="00241D3F">
        <w:rPr>
          <w:rFonts w:cs="Arial"/>
          <w:szCs w:val="22"/>
        </w:rPr>
        <w:t>m</w:t>
      </w:r>
      <w:r w:rsidR="00241D3F" w:rsidRPr="001D590D">
        <w:rPr>
          <w:rFonts w:cs="Arial"/>
          <w:szCs w:val="22"/>
        </w:rPr>
        <w:t>unicipalities</w:t>
      </w:r>
      <w:r w:rsidRPr="001D590D">
        <w:rPr>
          <w:rFonts w:cs="Arial"/>
          <w:szCs w:val="22"/>
        </w:rPr>
        <w:t xml:space="preserve">, which included 600 informal settlements. By 2014, this had increased to 51 </w:t>
      </w:r>
      <w:r w:rsidR="00241D3F">
        <w:rPr>
          <w:rFonts w:cs="Arial"/>
          <w:szCs w:val="22"/>
        </w:rPr>
        <w:t>m</w:t>
      </w:r>
      <w:r w:rsidR="00241D3F" w:rsidRPr="001D590D">
        <w:rPr>
          <w:rFonts w:cs="Arial"/>
          <w:szCs w:val="22"/>
        </w:rPr>
        <w:t>unicipalities</w:t>
      </w:r>
      <w:r w:rsidRPr="001D590D">
        <w:rPr>
          <w:rFonts w:cs="Arial"/>
          <w:szCs w:val="22"/>
        </w:rPr>
        <w:t xml:space="preserve">, with over 700 informal settlements.  Initially, NUSP’s core focus </w:t>
      </w:r>
      <w:r w:rsidR="00241D3F">
        <w:rPr>
          <w:rFonts w:cs="Arial"/>
          <w:szCs w:val="22"/>
        </w:rPr>
        <w:t>was</w:t>
      </w:r>
      <w:r w:rsidRPr="001D590D">
        <w:rPr>
          <w:rFonts w:cs="Arial"/>
          <w:szCs w:val="22"/>
        </w:rPr>
        <w:t xml:space="preserve"> on engaging with and formalising relationships with </w:t>
      </w:r>
      <w:r w:rsidR="00241D3F">
        <w:rPr>
          <w:rFonts w:cs="Arial"/>
          <w:szCs w:val="22"/>
        </w:rPr>
        <w:t>m</w:t>
      </w:r>
      <w:r w:rsidR="00241D3F" w:rsidRPr="001D590D">
        <w:rPr>
          <w:rFonts w:cs="Arial"/>
          <w:szCs w:val="22"/>
        </w:rPr>
        <w:t>unicipalities</w:t>
      </w:r>
      <w:r w:rsidRPr="001D590D">
        <w:rPr>
          <w:rFonts w:cs="Arial"/>
          <w:szCs w:val="22"/>
        </w:rPr>
        <w:t>, identifying and profiling informal settlements in order to prioritise them for upgrading, and assisting with the development of Settlement Upgrading Plans) to guide the implementation of upgrading programmes.</w:t>
      </w:r>
    </w:p>
    <w:p w14:paraId="59F2F027" w14:textId="602AF984" w:rsidR="002A0C94" w:rsidRPr="001D590D" w:rsidRDefault="00241D3F" w:rsidP="00241D3F">
      <w:pPr>
        <w:spacing w:line="360" w:lineRule="auto"/>
        <w:rPr>
          <w:rFonts w:cs="Arial"/>
          <w:szCs w:val="22"/>
        </w:rPr>
      </w:pPr>
      <w:r w:rsidRPr="00915CC1">
        <w:rPr>
          <w:rFonts w:cs="Arial"/>
          <w:szCs w:val="22"/>
          <w:highlight w:val="yellow"/>
        </w:rPr>
        <w:t>The second support agency to be established was t</w:t>
      </w:r>
      <w:r w:rsidR="002A0C94" w:rsidRPr="00915CC1">
        <w:rPr>
          <w:rFonts w:cs="Arial"/>
          <w:szCs w:val="22"/>
          <w:highlight w:val="yellow"/>
        </w:rPr>
        <w:t xml:space="preserve">he </w:t>
      </w:r>
      <w:r w:rsidR="002A0C94" w:rsidRPr="00915CC1">
        <w:rPr>
          <w:rFonts w:cs="Arial"/>
          <w:b/>
          <w:szCs w:val="22"/>
          <w:highlight w:val="yellow"/>
        </w:rPr>
        <w:t>Housing Development Agency (HDA)</w:t>
      </w:r>
      <w:r w:rsidRPr="00915CC1">
        <w:rPr>
          <w:rFonts w:cs="Arial"/>
          <w:b/>
          <w:szCs w:val="22"/>
          <w:highlight w:val="yellow"/>
        </w:rPr>
        <w:t xml:space="preserve">, </w:t>
      </w:r>
      <w:r w:rsidRPr="00915CC1">
        <w:rPr>
          <w:rFonts w:cs="Arial"/>
          <w:szCs w:val="22"/>
          <w:highlight w:val="yellow"/>
        </w:rPr>
        <w:t>which</w:t>
      </w:r>
      <w:r w:rsidR="002A0C94" w:rsidRPr="00915CC1">
        <w:rPr>
          <w:rFonts w:cs="Arial"/>
          <w:szCs w:val="22"/>
          <w:highlight w:val="yellow"/>
        </w:rPr>
        <w:t xml:space="preserve"> also offers support to the upgrading of informal settlements.  This includes assistance with profiling of informal settlements on behalf of </w:t>
      </w:r>
      <w:r w:rsidRPr="00915CC1">
        <w:rPr>
          <w:rFonts w:cs="Arial"/>
          <w:szCs w:val="22"/>
          <w:highlight w:val="yellow"/>
        </w:rPr>
        <w:t>municipalities</w:t>
      </w:r>
      <w:r w:rsidR="002A0C94" w:rsidRPr="00915CC1">
        <w:rPr>
          <w:rFonts w:cs="Arial"/>
          <w:szCs w:val="22"/>
          <w:highlight w:val="yellow"/>
        </w:rPr>
        <w:t>, assisting with the purchase of land on which informal settlements are located, as well as identifying and procuring land for other housing development.</w:t>
      </w:r>
      <w:r w:rsidR="002A0C94" w:rsidRPr="001D590D">
        <w:rPr>
          <w:rFonts w:cs="Arial"/>
          <w:szCs w:val="22"/>
        </w:rPr>
        <w:t xml:space="preserve"> </w:t>
      </w:r>
    </w:p>
    <w:p w14:paraId="4386429C" w14:textId="77777777" w:rsidR="002A0C94" w:rsidRPr="001D590D" w:rsidRDefault="002A0C94" w:rsidP="00727BFC">
      <w:pPr>
        <w:pStyle w:val="Heading3"/>
      </w:pPr>
      <w:bookmarkStart w:id="58" w:name="_Toc261617572"/>
      <w:bookmarkStart w:id="59" w:name="_Toc262067787"/>
      <w:bookmarkStart w:id="60" w:name="_Toc262068113"/>
      <w:r w:rsidRPr="001D590D">
        <w:t>National Development Plan</w:t>
      </w:r>
      <w:bookmarkEnd w:id="58"/>
      <w:bookmarkEnd w:id="59"/>
      <w:bookmarkEnd w:id="60"/>
    </w:p>
    <w:p w14:paraId="5226AEA6" w14:textId="50C4C526" w:rsidR="00A914EF" w:rsidRPr="00A914EF" w:rsidRDefault="002A0C94" w:rsidP="0088632F">
      <w:pPr>
        <w:spacing w:line="360" w:lineRule="auto"/>
        <w:rPr>
          <w:rFonts w:cs="Arial"/>
          <w:szCs w:val="22"/>
        </w:rPr>
      </w:pPr>
      <w:r w:rsidRPr="001D590D">
        <w:rPr>
          <w:rFonts w:cs="Arial"/>
          <w:szCs w:val="22"/>
        </w:rPr>
        <w:t xml:space="preserve">Around this time, the </w:t>
      </w:r>
      <w:r w:rsidRPr="001D590D">
        <w:rPr>
          <w:rFonts w:cs="Arial"/>
          <w:b/>
          <w:szCs w:val="22"/>
        </w:rPr>
        <w:t>National Development Plan</w:t>
      </w:r>
      <w:r w:rsidRPr="001D590D">
        <w:rPr>
          <w:rFonts w:cs="Arial"/>
          <w:szCs w:val="22"/>
        </w:rPr>
        <w:t xml:space="preserve"> </w:t>
      </w:r>
      <w:r w:rsidR="0088632F">
        <w:rPr>
          <w:rFonts w:cs="Arial"/>
          <w:szCs w:val="22"/>
        </w:rPr>
        <w:t xml:space="preserve">(NDP) </w:t>
      </w:r>
      <w:r w:rsidRPr="001D590D">
        <w:rPr>
          <w:rFonts w:cs="Arial"/>
          <w:szCs w:val="22"/>
        </w:rPr>
        <w:t xml:space="preserve">was being finalised. </w:t>
      </w:r>
      <w:r w:rsidR="006E1BE2">
        <w:rPr>
          <w:rFonts w:cs="Arial"/>
          <w:szCs w:val="22"/>
        </w:rPr>
        <w:t xml:space="preserve">Chapter 8 of </w:t>
      </w:r>
      <w:r w:rsidR="005201F1">
        <w:rPr>
          <w:rFonts w:cs="Arial"/>
          <w:szCs w:val="22"/>
        </w:rPr>
        <w:t>the 2013</w:t>
      </w:r>
      <w:r w:rsidR="00917A63">
        <w:rPr>
          <w:rFonts w:cs="Arial"/>
          <w:szCs w:val="22"/>
        </w:rPr>
        <w:t xml:space="preserve"> National Development Plan </w:t>
      </w:r>
      <w:r w:rsidR="006E1BE2">
        <w:rPr>
          <w:rFonts w:cs="Arial"/>
          <w:szCs w:val="22"/>
        </w:rPr>
        <w:t xml:space="preserve">acknowledges </w:t>
      </w:r>
      <w:r w:rsidR="0088632F">
        <w:rPr>
          <w:rFonts w:cs="Arial"/>
          <w:i/>
          <w:szCs w:val="22"/>
        </w:rPr>
        <w:t>‘</w:t>
      </w:r>
      <w:r w:rsidR="00A914EF" w:rsidRPr="007E2E7D">
        <w:rPr>
          <w:rFonts w:cs="Arial"/>
          <w:i/>
          <w:szCs w:val="22"/>
        </w:rPr>
        <w:t>the positive direction that human settlement policy has taken since the introduction of Breaking New Ground and believes that the full implementation of outcome eight will make a major contribution to housing deliver</w:t>
      </w:r>
      <w:r w:rsidR="00917A63" w:rsidRPr="007E2E7D">
        <w:rPr>
          <w:rFonts w:cs="Arial"/>
          <w:i/>
          <w:szCs w:val="22"/>
        </w:rPr>
        <w:t>y.</w:t>
      </w:r>
      <w:r w:rsidR="0088632F">
        <w:rPr>
          <w:rFonts w:cs="Arial"/>
          <w:i/>
          <w:szCs w:val="22"/>
        </w:rPr>
        <w:t>’</w:t>
      </w:r>
      <w:r w:rsidR="006E1BE2">
        <w:rPr>
          <w:rFonts w:cs="Arial"/>
          <w:szCs w:val="22"/>
        </w:rPr>
        <w:t xml:space="preserve"> </w:t>
      </w:r>
      <w:r w:rsidR="005364F1">
        <w:rPr>
          <w:rFonts w:cs="Arial"/>
          <w:szCs w:val="22"/>
        </w:rPr>
        <w:t xml:space="preserve">However the NDP </w:t>
      </w:r>
      <w:r w:rsidR="0088632F">
        <w:rPr>
          <w:rFonts w:cs="Arial"/>
          <w:szCs w:val="22"/>
        </w:rPr>
        <w:t xml:space="preserve">noted </w:t>
      </w:r>
      <w:r w:rsidR="005364F1">
        <w:rPr>
          <w:rFonts w:cs="Arial"/>
          <w:szCs w:val="22"/>
        </w:rPr>
        <w:t>that s</w:t>
      </w:r>
      <w:r w:rsidR="006E1BE2">
        <w:rPr>
          <w:rFonts w:cs="Arial"/>
          <w:szCs w:val="22"/>
        </w:rPr>
        <w:t xml:space="preserve">ome of the challenges requiring special attention if </w:t>
      </w:r>
      <w:r w:rsidR="0088632F">
        <w:rPr>
          <w:rFonts w:cs="Arial"/>
          <w:szCs w:val="22"/>
        </w:rPr>
        <w:t>‘</w:t>
      </w:r>
      <w:r w:rsidR="000E343E">
        <w:rPr>
          <w:rFonts w:cs="Arial"/>
          <w:szCs w:val="22"/>
        </w:rPr>
        <w:t>..</w:t>
      </w:r>
      <w:r w:rsidR="00A914EF" w:rsidRPr="00250EA9">
        <w:rPr>
          <w:rFonts w:cs="Arial"/>
          <w:i/>
          <w:szCs w:val="22"/>
        </w:rPr>
        <w:t>the delivery of housing is</w:t>
      </w:r>
      <w:r w:rsidR="005364F1" w:rsidRPr="00250EA9">
        <w:rPr>
          <w:rFonts w:cs="Arial"/>
          <w:i/>
          <w:szCs w:val="22"/>
        </w:rPr>
        <w:t xml:space="preserve"> </w:t>
      </w:r>
      <w:r w:rsidR="00A914EF" w:rsidRPr="00250EA9">
        <w:rPr>
          <w:rFonts w:cs="Arial"/>
          <w:i/>
          <w:szCs w:val="22"/>
        </w:rPr>
        <w:t>to be used to restructure towns and cities and to strengthen the li</w:t>
      </w:r>
      <w:r w:rsidR="006E1BE2" w:rsidRPr="00250EA9">
        <w:rPr>
          <w:rFonts w:cs="Arial"/>
          <w:i/>
          <w:szCs w:val="22"/>
        </w:rPr>
        <w:t>velihood prospects of residents</w:t>
      </w:r>
      <w:r w:rsidR="0088632F">
        <w:rPr>
          <w:rFonts w:cs="Arial"/>
          <w:szCs w:val="22"/>
        </w:rPr>
        <w:t>’</w:t>
      </w:r>
      <w:r w:rsidR="006E1BE2">
        <w:rPr>
          <w:rFonts w:cs="Arial"/>
          <w:szCs w:val="22"/>
        </w:rPr>
        <w:t xml:space="preserve"> </w:t>
      </w:r>
      <w:r w:rsidR="0088632F">
        <w:rPr>
          <w:rFonts w:cs="Arial"/>
          <w:szCs w:val="22"/>
        </w:rPr>
        <w:t>were</w:t>
      </w:r>
      <w:r w:rsidR="005364F1">
        <w:rPr>
          <w:rFonts w:cs="Arial"/>
          <w:szCs w:val="22"/>
        </w:rPr>
        <w:t xml:space="preserve">: </w:t>
      </w:r>
      <w:r w:rsidR="006E1BE2">
        <w:rPr>
          <w:rFonts w:cs="Arial"/>
          <w:szCs w:val="22"/>
        </w:rPr>
        <w:t xml:space="preserve"> </w:t>
      </w:r>
    </w:p>
    <w:p w14:paraId="443085BB" w14:textId="061CA39E" w:rsidR="00A914EF" w:rsidRPr="007E2E7D" w:rsidRDefault="005201F1" w:rsidP="0055634E">
      <w:pPr>
        <w:pStyle w:val="ListParagraph"/>
        <w:numPr>
          <w:ilvl w:val="0"/>
          <w:numId w:val="28"/>
        </w:numPr>
        <w:ind w:left="990"/>
        <w:rPr>
          <w:rFonts w:cs="Arial"/>
          <w:i/>
        </w:rPr>
      </w:pPr>
      <w:r w:rsidRPr="007E2E7D">
        <w:rPr>
          <w:rFonts w:cs="Arial"/>
          <w:i/>
        </w:rPr>
        <w:lastRenderedPageBreak/>
        <w:t>“</w:t>
      </w:r>
      <w:r w:rsidR="00A914EF" w:rsidRPr="007E2E7D">
        <w:rPr>
          <w:rFonts w:cs="Arial"/>
          <w:i/>
        </w:rPr>
        <w:t xml:space="preserve">Private investment into housing at the lower end of the market is very slow, although there is evidence of effort and resources for </w:t>
      </w:r>
      <w:r w:rsidRPr="007E2E7D">
        <w:rPr>
          <w:rFonts w:cs="Arial"/>
          <w:i/>
        </w:rPr>
        <w:t>beneficiary residents</w:t>
      </w:r>
      <w:r w:rsidR="00A914EF" w:rsidRPr="007E2E7D">
        <w:rPr>
          <w:rFonts w:cs="Arial"/>
          <w:i/>
        </w:rPr>
        <w:t xml:space="preserve"> in transforming their </w:t>
      </w:r>
      <w:r w:rsidRPr="007E2E7D">
        <w:rPr>
          <w:rFonts w:cs="Arial"/>
          <w:i/>
        </w:rPr>
        <w:t>homes.</w:t>
      </w:r>
    </w:p>
    <w:p w14:paraId="0F2B2813" w14:textId="5FA114AD" w:rsidR="00A914EF" w:rsidRPr="007E2E7D" w:rsidRDefault="00A914EF" w:rsidP="0055634E">
      <w:pPr>
        <w:pStyle w:val="ListParagraph"/>
        <w:numPr>
          <w:ilvl w:val="0"/>
          <w:numId w:val="28"/>
        </w:numPr>
        <w:ind w:left="990"/>
        <w:rPr>
          <w:rFonts w:cs="Arial"/>
          <w:i/>
        </w:rPr>
      </w:pPr>
      <w:r w:rsidRPr="007E2E7D">
        <w:rPr>
          <w:rFonts w:cs="Arial"/>
          <w:i/>
        </w:rPr>
        <w:t xml:space="preserve">There is a growing gap market as many households with an income above the threshold for receiving a </w:t>
      </w:r>
      <w:r w:rsidR="00E01C9B">
        <w:rPr>
          <w:rFonts w:cs="Arial"/>
          <w:i/>
        </w:rPr>
        <w:t>subsidized</w:t>
      </w:r>
      <w:r w:rsidRPr="007E2E7D">
        <w:rPr>
          <w:rFonts w:cs="Arial"/>
          <w:i/>
        </w:rPr>
        <w:t xml:space="preserve"> house have neither access to a private bond nor adequate government </w:t>
      </w:r>
      <w:r w:rsidR="006E1BE2" w:rsidRPr="007E2E7D">
        <w:rPr>
          <w:rFonts w:cs="Arial"/>
          <w:i/>
        </w:rPr>
        <w:t>support.</w:t>
      </w:r>
    </w:p>
    <w:p w14:paraId="5A9FC1DA" w14:textId="77777777" w:rsidR="00A914EF" w:rsidRPr="007E2E7D" w:rsidRDefault="00A914EF" w:rsidP="0055634E">
      <w:pPr>
        <w:pStyle w:val="ListParagraph"/>
        <w:numPr>
          <w:ilvl w:val="0"/>
          <w:numId w:val="28"/>
        </w:numPr>
        <w:ind w:left="990"/>
        <w:rPr>
          <w:rFonts w:cs="Arial"/>
          <w:i/>
        </w:rPr>
      </w:pPr>
      <w:r w:rsidRPr="007E2E7D">
        <w:rPr>
          <w:rFonts w:cs="Arial"/>
          <w:i/>
        </w:rPr>
        <w:t>Inadequate attention is paid to rental accommodation across income bands. There is not enough incentive for public and private investors to invest in rental housing.</w:t>
      </w:r>
    </w:p>
    <w:p w14:paraId="5D628975" w14:textId="37D6207F" w:rsidR="00A914EF" w:rsidRDefault="00A914EF" w:rsidP="0055634E">
      <w:pPr>
        <w:pStyle w:val="ListParagraph"/>
        <w:numPr>
          <w:ilvl w:val="0"/>
          <w:numId w:val="28"/>
        </w:numPr>
        <w:ind w:left="990"/>
        <w:rPr>
          <w:rFonts w:cs="Arial"/>
        </w:rPr>
      </w:pPr>
      <w:r w:rsidRPr="007E2E7D">
        <w:rPr>
          <w:rFonts w:cs="Arial"/>
          <w:i/>
        </w:rPr>
        <w:t xml:space="preserve">The government lacks operational capacity </w:t>
      </w:r>
      <w:r w:rsidR="006E1BE2" w:rsidRPr="007E2E7D">
        <w:rPr>
          <w:rFonts w:cs="Arial"/>
          <w:i/>
        </w:rPr>
        <w:t>to manage</w:t>
      </w:r>
      <w:r w:rsidRPr="007E2E7D">
        <w:rPr>
          <w:rFonts w:cs="Arial"/>
          <w:i/>
        </w:rPr>
        <w:t xml:space="preserve"> rental stock.</w:t>
      </w:r>
      <w:r w:rsidR="005201F1" w:rsidRPr="007E2E7D">
        <w:rPr>
          <w:rFonts w:cs="Arial"/>
          <w:i/>
        </w:rPr>
        <w:t>”</w:t>
      </w:r>
      <w:r w:rsidR="005201F1">
        <w:rPr>
          <w:rFonts w:cs="Arial"/>
        </w:rPr>
        <w:t xml:space="preserve"> </w:t>
      </w:r>
      <w:r w:rsidR="007E2E7D">
        <w:rPr>
          <w:rFonts w:cs="Arial"/>
        </w:rPr>
        <w:t>(</w:t>
      </w:r>
      <w:r w:rsidR="005201F1">
        <w:rPr>
          <w:rFonts w:cs="Arial"/>
        </w:rPr>
        <w:t>NDP</w:t>
      </w:r>
      <w:r w:rsidR="007E2E7D">
        <w:rPr>
          <w:rFonts w:cs="Arial"/>
        </w:rPr>
        <w:t>,</w:t>
      </w:r>
      <w:r w:rsidR="005201F1">
        <w:rPr>
          <w:rFonts w:cs="Arial"/>
        </w:rPr>
        <w:t xml:space="preserve"> 2013 p289</w:t>
      </w:r>
      <w:r w:rsidR="007E2E7D">
        <w:rPr>
          <w:rFonts w:cs="Arial"/>
        </w:rPr>
        <w:t>)</w:t>
      </w:r>
    </w:p>
    <w:p w14:paraId="630B8CFD" w14:textId="3AC5921A" w:rsidR="005201F1" w:rsidRPr="005728A4" w:rsidRDefault="005728A4" w:rsidP="0088632F">
      <w:pPr>
        <w:spacing w:line="360" w:lineRule="auto"/>
        <w:rPr>
          <w:rFonts w:cs="Arial"/>
          <w:szCs w:val="22"/>
        </w:rPr>
      </w:pPr>
      <w:r>
        <w:rPr>
          <w:rFonts w:cs="Arial"/>
          <w:szCs w:val="22"/>
        </w:rPr>
        <w:t xml:space="preserve">The NDP </w:t>
      </w:r>
      <w:r w:rsidR="0088632F">
        <w:rPr>
          <w:rFonts w:cs="Arial"/>
          <w:szCs w:val="22"/>
        </w:rPr>
        <w:t xml:space="preserve">further noted </w:t>
      </w:r>
      <w:r>
        <w:rPr>
          <w:rFonts w:cs="Arial"/>
          <w:szCs w:val="22"/>
        </w:rPr>
        <w:t xml:space="preserve">that </w:t>
      </w:r>
      <w:r w:rsidRPr="007E2E7D">
        <w:rPr>
          <w:rFonts w:cs="Arial"/>
          <w:i/>
          <w:szCs w:val="22"/>
        </w:rPr>
        <w:t>“</w:t>
      </w:r>
      <w:r w:rsidR="000E343E">
        <w:rPr>
          <w:rFonts w:cs="Arial"/>
          <w:i/>
          <w:szCs w:val="22"/>
        </w:rPr>
        <w:t>…</w:t>
      </w:r>
      <w:r w:rsidRPr="007E2E7D">
        <w:rPr>
          <w:rFonts w:cs="Arial"/>
          <w:i/>
          <w:szCs w:val="22"/>
        </w:rPr>
        <w:t>d</w:t>
      </w:r>
      <w:r w:rsidR="005201F1" w:rsidRPr="007E2E7D">
        <w:rPr>
          <w:rFonts w:cs="Arial"/>
          <w:i/>
          <w:szCs w:val="22"/>
        </w:rPr>
        <w:t>espite improvements, the existing housing subsidy system continues to fund top structures</w:t>
      </w:r>
      <w:r w:rsidRPr="007E2E7D">
        <w:rPr>
          <w:rFonts w:cs="Arial"/>
          <w:i/>
          <w:szCs w:val="22"/>
        </w:rPr>
        <w:t xml:space="preserve"> </w:t>
      </w:r>
      <w:r w:rsidR="005201F1" w:rsidRPr="007E2E7D">
        <w:rPr>
          <w:rFonts w:cs="Arial"/>
          <w:i/>
          <w:szCs w:val="22"/>
        </w:rPr>
        <w:t>(houses) rath</w:t>
      </w:r>
      <w:r w:rsidRPr="007E2E7D">
        <w:rPr>
          <w:rFonts w:cs="Arial"/>
          <w:i/>
          <w:szCs w:val="22"/>
        </w:rPr>
        <w:t xml:space="preserve">er than producing quality public </w:t>
      </w:r>
      <w:r w:rsidR="005201F1" w:rsidRPr="007E2E7D">
        <w:rPr>
          <w:rFonts w:cs="Arial"/>
          <w:i/>
          <w:szCs w:val="22"/>
        </w:rPr>
        <w:t>spaces</w:t>
      </w:r>
      <w:r w:rsidR="005364F1" w:rsidRPr="007E2E7D">
        <w:rPr>
          <w:rFonts w:cs="Arial"/>
          <w:i/>
          <w:szCs w:val="22"/>
        </w:rPr>
        <w:t xml:space="preserve"> and infrastructure in the area’</w:t>
      </w:r>
      <w:r w:rsidR="005364F1">
        <w:rPr>
          <w:rFonts w:cs="Arial"/>
          <w:szCs w:val="22"/>
        </w:rPr>
        <w:t xml:space="preserve"> and that </w:t>
      </w:r>
      <w:r w:rsidR="005364F1" w:rsidRPr="007E2E7D">
        <w:rPr>
          <w:rFonts w:cs="Arial"/>
          <w:i/>
          <w:szCs w:val="22"/>
        </w:rPr>
        <w:t>“</w:t>
      </w:r>
      <w:r w:rsidR="005201F1" w:rsidRPr="007E2E7D">
        <w:rPr>
          <w:rFonts w:cs="Arial"/>
          <w:i/>
          <w:szCs w:val="22"/>
        </w:rPr>
        <w:t>The National Upgrading Support Programme,</w:t>
      </w:r>
      <w:r w:rsidRPr="007E2E7D">
        <w:rPr>
          <w:rFonts w:cs="Arial"/>
          <w:i/>
          <w:szCs w:val="22"/>
        </w:rPr>
        <w:t xml:space="preserve"> </w:t>
      </w:r>
      <w:r w:rsidR="005201F1" w:rsidRPr="007E2E7D">
        <w:rPr>
          <w:rFonts w:cs="Arial"/>
          <w:i/>
          <w:szCs w:val="22"/>
        </w:rPr>
        <w:t>which aims to upgrade informal settlements,</w:t>
      </w:r>
      <w:r w:rsidRPr="007E2E7D">
        <w:rPr>
          <w:rFonts w:cs="Arial"/>
          <w:i/>
          <w:szCs w:val="22"/>
        </w:rPr>
        <w:t xml:space="preserve"> </w:t>
      </w:r>
      <w:r w:rsidR="005201F1" w:rsidRPr="007E2E7D">
        <w:rPr>
          <w:rFonts w:cs="Arial"/>
          <w:i/>
          <w:szCs w:val="22"/>
        </w:rPr>
        <w:t xml:space="preserve">has made slow progress due to rigid </w:t>
      </w:r>
      <w:r w:rsidR="00176C7A" w:rsidRPr="007E2E7D">
        <w:rPr>
          <w:rFonts w:cs="Arial"/>
          <w:i/>
          <w:szCs w:val="22"/>
        </w:rPr>
        <w:t>local regulations</w:t>
      </w:r>
      <w:r w:rsidR="005201F1" w:rsidRPr="007E2E7D">
        <w:rPr>
          <w:rFonts w:cs="Arial"/>
          <w:i/>
          <w:szCs w:val="22"/>
        </w:rPr>
        <w:t>, ambivalent attitudes towards</w:t>
      </w:r>
      <w:r w:rsidRPr="007E2E7D">
        <w:rPr>
          <w:rFonts w:cs="Arial"/>
          <w:i/>
          <w:szCs w:val="22"/>
        </w:rPr>
        <w:t xml:space="preserve"> </w:t>
      </w:r>
      <w:r w:rsidR="005201F1" w:rsidRPr="007E2E7D">
        <w:rPr>
          <w:rFonts w:cs="Arial"/>
          <w:i/>
          <w:szCs w:val="22"/>
        </w:rPr>
        <w:t>informal settlements in parts of government,</w:t>
      </w:r>
      <w:r w:rsidRPr="007E2E7D">
        <w:rPr>
          <w:rFonts w:cs="Arial"/>
          <w:i/>
          <w:szCs w:val="22"/>
        </w:rPr>
        <w:t xml:space="preserve"> </w:t>
      </w:r>
      <w:r w:rsidR="005201F1" w:rsidRPr="007E2E7D">
        <w:rPr>
          <w:rFonts w:cs="Arial"/>
          <w:i/>
          <w:szCs w:val="22"/>
        </w:rPr>
        <w:t xml:space="preserve">and a </w:t>
      </w:r>
      <w:r w:rsidRPr="007E2E7D">
        <w:rPr>
          <w:rFonts w:cs="Arial"/>
          <w:i/>
          <w:szCs w:val="22"/>
        </w:rPr>
        <w:t xml:space="preserve">lack of capacity to upgrade such </w:t>
      </w:r>
      <w:r w:rsidR="005201F1" w:rsidRPr="007E2E7D">
        <w:rPr>
          <w:rFonts w:cs="Arial"/>
          <w:i/>
          <w:szCs w:val="22"/>
        </w:rPr>
        <w:t>settlements</w:t>
      </w:r>
      <w:r w:rsidRPr="007E2E7D">
        <w:rPr>
          <w:rFonts w:cs="Arial"/>
          <w:i/>
          <w:szCs w:val="22"/>
        </w:rPr>
        <w:t>.”</w:t>
      </w:r>
      <w:r>
        <w:rPr>
          <w:rFonts w:cs="Arial"/>
          <w:szCs w:val="22"/>
        </w:rPr>
        <w:t xml:space="preserve"> </w:t>
      </w:r>
      <w:r w:rsidR="00E5029C">
        <w:rPr>
          <w:rFonts w:cs="Arial"/>
          <w:szCs w:val="22"/>
        </w:rPr>
        <w:t>(</w:t>
      </w:r>
      <w:r w:rsidR="0047610A">
        <w:rPr>
          <w:rFonts w:cs="Arial"/>
          <w:szCs w:val="22"/>
        </w:rPr>
        <w:t>ibid.</w:t>
      </w:r>
      <w:r w:rsidR="007E2E7D">
        <w:rPr>
          <w:rFonts w:cs="Arial"/>
          <w:szCs w:val="22"/>
        </w:rPr>
        <w:t xml:space="preserve">, </w:t>
      </w:r>
      <w:r w:rsidR="00E5029C">
        <w:rPr>
          <w:rFonts w:cs="Arial"/>
          <w:szCs w:val="22"/>
        </w:rPr>
        <w:t>p2</w:t>
      </w:r>
      <w:r w:rsidRPr="005728A4">
        <w:rPr>
          <w:rFonts w:cs="Arial"/>
          <w:szCs w:val="22"/>
        </w:rPr>
        <w:t>70</w:t>
      </w:r>
      <w:r w:rsidR="00E5029C">
        <w:rPr>
          <w:rFonts w:cs="Arial"/>
          <w:szCs w:val="22"/>
        </w:rPr>
        <w:t>)</w:t>
      </w:r>
      <w:r w:rsidR="005201F1" w:rsidRPr="005728A4">
        <w:rPr>
          <w:rFonts w:cs="Arial"/>
          <w:szCs w:val="22"/>
        </w:rPr>
        <w:t>.</w:t>
      </w:r>
    </w:p>
    <w:p w14:paraId="7576ED9B" w14:textId="77A42ED8" w:rsidR="00A914EF" w:rsidRPr="00915CC1" w:rsidRDefault="006E1BE2" w:rsidP="0088632F">
      <w:pPr>
        <w:spacing w:line="360" w:lineRule="auto"/>
        <w:rPr>
          <w:rFonts w:cs="Arial"/>
          <w:szCs w:val="22"/>
          <w:highlight w:val="yellow"/>
        </w:rPr>
      </w:pPr>
      <w:r w:rsidRPr="00915CC1">
        <w:rPr>
          <w:rFonts w:cs="Arial"/>
          <w:szCs w:val="22"/>
          <w:highlight w:val="yellow"/>
        </w:rPr>
        <w:t>The NDP implementation imperatives</w:t>
      </w:r>
      <w:r w:rsidR="0088632F" w:rsidRPr="00915CC1">
        <w:rPr>
          <w:rFonts w:cs="Arial"/>
          <w:szCs w:val="22"/>
          <w:highlight w:val="yellow"/>
        </w:rPr>
        <w:t xml:space="preserve"> </w:t>
      </w:r>
      <w:r w:rsidRPr="00915CC1">
        <w:rPr>
          <w:rFonts w:cs="Arial"/>
          <w:szCs w:val="22"/>
          <w:highlight w:val="yellow"/>
        </w:rPr>
        <w:t xml:space="preserve">in respect of SA human settlement </w:t>
      </w:r>
      <w:r w:rsidR="00666EA1" w:rsidRPr="00915CC1">
        <w:rPr>
          <w:rFonts w:cs="Arial"/>
          <w:szCs w:val="22"/>
          <w:highlight w:val="yellow"/>
        </w:rPr>
        <w:t>delivery</w:t>
      </w:r>
      <w:r w:rsidRPr="00915CC1">
        <w:rPr>
          <w:rFonts w:cs="Arial"/>
          <w:szCs w:val="22"/>
          <w:highlight w:val="yellow"/>
        </w:rPr>
        <w:t xml:space="preserve"> are</w:t>
      </w:r>
      <w:r w:rsidR="005364F1" w:rsidRPr="00915CC1">
        <w:rPr>
          <w:rFonts w:cs="Arial"/>
          <w:szCs w:val="22"/>
          <w:highlight w:val="yellow"/>
        </w:rPr>
        <w:t>:</w:t>
      </w:r>
    </w:p>
    <w:p w14:paraId="13251EB0" w14:textId="6762C524" w:rsidR="00A914EF" w:rsidRPr="00915CC1" w:rsidRDefault="00A914EF" w:rsidP="0055634E">
      <w:pPr>
        <w:pStyle w:val="ListParagraph"/>
        <w:numPr>
          <w:ilvl w:val="0"/>
          <w:numId w:val="48"/>
        </w:numPr>
        <w:spacing w:after="0"/>
        <w:rPr>
          <w:rFonts w:cs="Arial"/>
          <w:highlight w:val="yellow"/>
        </w:rPr>
      </w:pPr>
      <w:r w:rsidRPr="00915CC1">
        <w:rPr>
          <w:rFonts w:cs="Arial"/>
          <w:highlight w:val="yellow"/>
        </w:rPr>
        <w:t>Progressively shifting state support from only</w:t>
      </w:r>
      <w:r w:rsidR="00917A63" w:rsidRPr="00915CC1">
        <w:rPr>
          <w:rFonts w:cs="Arial"/>
          <w:highlight w:val="yellow"/>
        </w:rPr>
        <w:t xml:space="preserve"> </w:t>
      </w:r>
      <w:r w:rsidRPr="00915CC1">
        <w:rPr>
          <w:rFonts w:cs="Arial"/>
          <w:highlight w:val="yellow"/>
        </w:rPr>
        <w:t>providing top structures to investing in public</w:t>
      </w:r>
      <w:r w:rsidR="001B6D28" w:rsidRPr="00915CC1">
        <w:rPr>
          <w:rFonts w:cs="Arial"/>
          <w:highlight w:val="yellow"/>
        </w:rPr>
        <w:t xml:space="preserve"> </w:t>
      </w:r>
      <w:r w:rsidRPr="00915CC1">
        <w:rPr>
          <w:rFonts w:cs="Arial"/>
          <w:highlight w:val="yellow"/>
        </w:rPr>
        <w:t>space and public infrastructure.</w:t>
      </w:r>
    </w:p>
    <w:p w14:paraId="6AFD579D" w14:textId="58B67220" w:rsidR="00A914EF" w:rsidRPr="00915CC1" w:rsidRDefault="00A914EF" w:rsidP="0055634E">
      <w:pPr>
        <w:pStyle w:val="ListParagraph"/>
        <w:numPr>
          <w:ilvl w:val="0"/>
          <w:numId w:val="48"/>
        </w:numPr>
        <w:spacing w:after="0"/>
        <w:rPr>
          <w:rFonts w:cs="Arial"/>
          <w:highlight w:val="yellow"/>
        </w:rPr>
      </w:pPr>
      <w:r w:rsidRPr="00915CC1">
        <w:rPr>
          <w:rFonts w:cs="Arial"/>
          <w:highlight w:val="yellow"/>
        </w:rPr>
        <w:t>Leveraging private</w:t>
      </w:r>
      <w:r w:rsidR="000E343E" w:rsidRPr="00915CC1">
        <w:rPr>
          <w:rFonts w:cs="Arial"/>
          <w:highlight w:val="yellow"/>
        </w:rPr>
        <w:t xml:space="preserve"> </w:t>
      </w:r>
      <w:r w:rsidRPr="00915CC1">
        <w:rPr>
          <w:rFonts w:cs="Arial"/>
          <w:highlight w:val="yellow"/>
        </w:rPr>
        <w:t>sector funding into</w:t>
      </w:r>
      <w:r w:rsidR="00917A63" w:rsidRPr="00915CC1">
        <w:rPr>
          <w:rFonts w:cs="Arial"/>
          <w:highlight w:val="yellow"/>
        </w:rPr>
        <w:t xml:space="preserve"> </w:t>
      </w:r>
      <w:r w:rsidRPr="00915CC1">
        <w:rPr>
          <w:rFonts w:cs="Arial"/>
          <w:highlight w:val="yellow"/>
        </w:rPr>
        <w:t>providing increased levels of finance to the</w:t>
      </w:r>
      <w:r w:rsidR="00917A63" w:rsidRPr="00915CC1">
        <w:rPr>
          <w:rFonts w:cs="Arial"/>
          <w:highlight w:val="yellow"/>
        </w:rPr>
        <w:t xml:space="preserve"> </w:t>
      </w:r>
      <w:r w:rsidRPr="00915CC1">
        <w:rPr>
          <w:rFonts w:cs="Arial"/>
          <w:highlight w:val="yellow"/>
        </w:rPr>
        <w:t>lower end of the market and ensure that this</w:t>
      </w:r>
      <w:r w:rsidR="00917A63" w:rsidRPr="00915CC1">
        <w:rPr>
          <w:rFonts w:cs="Arial"/>
          <w:highlight w:val="yellow"/>
        </w:rPr>
        <w:t xml:space="preserve"> </w:t>
      </w:r>
      <w:r w:rsidRPr="00915CC1">
        <w:rPr>
          <w:rFonts w:cs="Arial"/>
          <w:highlight w:val="yellow"/>
        </w:rPr>
        <w:t>investment is also directed to well-located</w:t>
      </w:r>
      <w:r w:rsidR="00917A63" w:rsidRPr="00915CC1">
        <w:rPr>
          <w:rFonts w:cs="Arial"/>
          <w:highlight w:val="yellow"/>
        </w:rPr>
        <w:t xml:space="preserve"> </w:t>
      </w:r>
      <w:r w:rsidRPr="00915CC1">
        <w:rPr>
          <w:rFonts w:cs="Arial"/>
          <w:highlight w:val="yellow"/>
        </w:rPr>
        <w:t>areas.</w:t>
      </w:r>
    </w:p>
    <w:p w14:paraId="7BA9E18B" w14:textId="2115063E" w:rsidR="00917A63" w:rsidRPr="00915CC1" w:rsidRDefault="00E01C9B" w:rsidP="0055634E">
      <w:pPr>
        <w:pStyle w:val="ListParagraph"/>
        <w:numPr>
          <w:ilvl w:val="0"/>
          <w:numId w:val="48"/>
        </w:numPr>
        <w:spacing w:after="0"/>
        <w:rPr>
          <w:rFonts w:cs="Arial"/>
          <w:highlight w:val="yellow"/>
        </w:rPr>
      </w:pPr>
      <w:r w:rsidRPr="00915CC1">
        <w:rPr>
          <w:rFonts w:cs="Arial"/>
          <w:highlight w:val="yellow"/>
        </w:rPr>
        <w:t>Recognize</w:t>
      </w:r>
      <w:r w:rsidR="00917A63" w:rsidRPr="00915CC1">
        <w:rPr>
          <w:rFonts w:cs="Arial"/>
          <w:highlight w:val="yellow"/>
        </w:rPr>
        <w:t xml:space="preserve"> the role played by informal settlements and enhance the existing national programme for upgrading informal settlements by developing a range of tailored responses, including:</w:t>
      </w:r>
    </w:p>
    <w:p w14:paraId="5D4BBE80" w14:textId="62FB0F29" w:rsidR="00917A63" w:rsidRPr="00915CC1" w:rsidRDefault="00917A63" w:rsidP="0055634E">
      <w:pPr>
        <w:pStyle w:val="ListParagraph"/>
        <w:numPr>
          <w:ilvl w:val="1"/>
          <w:numId w:val="48"/>
        </w:numPr>
        <w:spacing w:after="0"/>
        <w:rPr>
          <w:rFonts w:cs="Arial"/>
          <w:highlight w:val="yellow"/>
        </w:rPr>
      </w:pPr>
      <w:r w:rsidRPr="00915CC1">
        <w:rPr>
          <w:rFonts w:cs="Arial"/>
          <w:highlight w:val="yellow"/>
        </w:rPr>
        <w:t>Rapid assessment and appraisal of all informal</w:t>
      </w:r>
      <w:r w:rsidR="005364F1" w:rsidRPr="00915CC1">
        <w:rPr>
          <w:rFonts w:cs="Arial"/>
          <w:highlight w:val="yellow"/>
        </w:rPr>
        <w:t xml:space="preserve"> </w:t>
      </w:r>
      <w:r w:rsidRPr="00915CC1">
        <w:rPr>
          <w:rFonts w:cs="Arial"/>
          <w:highlight w:val="yellow"/>
        </w:rPr>
        <w:t>settlements</w:t>
      </w:r>
      <w:r w:rsidR="00E5029C" w:rsidRPr="00915CC1">
        <w:rPr>
          <w:rFonts w:cs="Arial"/>
          <w:highlight w:val="yellow"/>
        </w:rPr>
        <w:t>’</w:t>
      </w:r>
    </w:p>
    <w:p w14:paraId="36B4FD4E" w14:textId="3E9D3358" w:rsidR="00917A63" w:rsidRPr="00915CC1" w:rsidRDefault="00917A63" w:rsidP="0055634E">
      <w:pPr>
        <w:pStyle w:val="ListParagraph"/>
        <w:numPr>
          <w:ilvl w:val="1"/>
          <w:numId w:val="48"/>
        </w:numPr>
        <w:spacing w:after="0"/>
        <w:rPr>
          <w:rFonts w:cs="Arial"/>
          <w:highlight w:val="yellow"/>
        </w:rPr>
      </w:pPr>
      <w:r w:rsidRPr="00915CC1">
        <w:rPr>
          <w:rFonts w:cs="Arial"/>
          <w:highlight w:val="yellow"/>
        </w:rPr>
        <w:t xml:space="preserve">Mechanisms to </w:t>
      </w:r>
      <w:r w:rsidR="008B47BF" w:rsidRPr="00915CC1">
        <w:rPr>
          <w:rFonts w:cs="Arial"/>
          <w:highlight w:val="yellow"/>
        </w:rPr>
        <w:t>recogniz</w:t>
      </w:r>
      <w:r w:rsidRPr="00915CC1">
        <w:rPr>
          <w:rFonts w:cs="Arial"/>
          <w:highlight w:val="yellow"/>
        </w:rPr>
        <w:t>e rights of residence</w:t>
      </w:r>
      <w:r w:rsidR="005364F1" w:rsidRPr="00915CC1">
        <w:rPr>
          <w:rFonts w:cs="Arial"/>
          <w:highlight w:val="yellow"/>
        </w:rPr>
        <w:t xml:space="preserve"> </w:t>
      </w:r>
      <w:r w:rsidRPr="00915CC1">
        <w:rPr>
          <w:rFonts w:cs="Arial"/>
          <w:highlight w:val="yellow"/>
        </w:rPr>
        <w:t>and allow for incremental upgrade of tenure</w:t>
      </w:r>
      <w:r w:rsidR="006E1BE2" w:rsidRPr="00915CC1">
        <w:rPr>
          <w:rFonts w:cs="Arial"/>
          <w:highlight w:val="yellow"/>
        </w:rPr>
        <w:t xml:space="preserve"> </w:t>
      </w:r>
      <w:r w:rsidRPr="00915CC1">
        <w:rPr>
          <w:rFonts w:cs="Arial"/>
          <w:highlight w:val="yellow"/>
        </w:rPr>
        <w:t>rights</w:t>
      </w:r>
      <w:r w:rsidR="00E5029C" w:rsidRPr="00915CC1">
        <w:rPr>
          <w:rFonts w:cs="Arial"/>
          <w:highlight w:val="yellow"/>
        </w:rPr>
        <w:t>’</w:t>
      </w:r>
    </w:p>
    <w:p w14:paraId="67A19016" w14:textId="4AE3E716" w:rsidR="00917A63" w:rsidRPr="00915CC1" w:rsidRDefault="00917A63" w:rsidP="0055634E">
      <w:pPr>
        <w:pStyle w:val="ListParagraph"/>
        <w:numPr>
          <w:ilvl w:val="1"/>
          <w:numId w:val="48"/>
        </w:numPr>
        <w:spacing w:after="0"/>
        <w:rPr>
          <w:rFonts w:cs="Arial"/>
          <w:highlight w:val="yellow"/>
        </w:rPr>
      </w:pPr>
      <w:r w:rsidRPr="00915CC1">
        <w:rPr>
          <w:rFonts w:cs="Arial"/>
          <w:highlight w:val="yellow"/>
        </w:rPr>
        <w:t>Minimum health and safety standards which</w:t>
      </w:r>
      <w:r w:rsidR="006E1BE2" w:rsidRPr="00915CC1">
        <w:rPr>
          <w:rFonts w:cs="Arial"/>
          <w:highlight w:val="yellow"/>
        </w:rPr>
        <w:t xml:space="preserve"> </w:t>
      </w:r>
      <w:r w:rsidRPr="00915CC1">
        <w:rPr>
          <w:rFonts w:cs="Arial"/>
          <w:highlight w:val="yellow"/>
        </w:rPr>
        <w:t>would be progressively upgraded as</w:t>
      </w:r>
      <w:r w:rsidR="006E1BE2" w:rsidRPr="00915CC1">
        <w:rPr>
          <w:rFonts w:cs="Arial"/>
          <w:highlight w:val="yellow"/>
        </w:rPr>
        <w:t xml:space="preserve"> </w:t>
      </w:r>
      <w:r w:rsidRPr="00915CC1">
        <w:rPr>
          <w:rFonts w:cs="Arial"/>
          <w:highlight w:val="yellow"/>
        </w:rPr>
        <w:t>regularised informal settlements are brought</w:t>
      </w:r>
      <w:r w:rsidR="006E1BE2" w:rsidRPr="00915CC1">
        <w:rPr>
          <w:rFonts w:cs="Arial"/>
          <w:highlight w:val="yellow"/>
        </w:rPr>
        <w:t xml:space="preserve"> </w:t>
      </w:r>
      <w:r w:rsidRPr="00915CC1">
        <w:rPr>
          <w:rFonts w:cs="Arial"/>
          <w:highlight w:val="yellow"/>
        </w:rPr>
        <w:t>into the mainstream urban fabric</w:t>
      </w:r>
      <w:r w:rsidR="00E5029C" w:rsidRPr="00915CC1">
        <w:rPr>
          <w:rFonts w:cs="Arial"/>
          <w:highlight w:val="yellow"/>
        </w:rPr>
        <w:t>’</w:t>
      </w:r>
    </w:p>
    <w:p w14:paraId="642281D9" w14:textId="074790BE" w:rsidR="00917A63" w:rsidRPr="00915CC1" w:rsidRDefault="00917A63" w:rsidP="0055634E">
      <w:pPr>
        <w:pStyle w:val="ListParagraph"/>
        <w:numPr>
          <w:ilvl w:val="1"/>
          <w:numId w:val="48"/>
        </w:numPr>
        <w:spacing w:after="0"/>
        <w:rPr>
          <w:rFonts w:cs="Arial"/>
          <w:highlight w:val="yellow"/>
        </w:rPr>
      </w:pPr>
      <w:r w:rsidRPr="00915CC1">
        <w:rPr>
          <w:rFonts w:cs="Arial"/>
          <w:highlight w:val="yellow"/>
        </w:rPr>
        <w:lastRenderedPageBreak/>
        <w:t>Funding arrangements and programmes that</w:t>
      </w:r>
      <w:r w:rsidR="006E1BE2" w:rsidRPr="00915CC1">
        <w:rPr>
          <w:rFonts w:cs="Arial"/>
          <w:highlight w:val="yellow"/>
        </w:rPr>
        <w:t xml:space="preserve"> </w:t>
      </w:r>
      <w:r w:rsidRPr="00915CC1">
        <w:rPr>
          <w:rFonts w:cs="Arial"/>
          <w:highlight w:val="yellow"/>
        </w:rPr>
        <w:t>would channel resources into community</w:t>
      </w:r>
      <w:r w:rsidR="006E1BE2" w:rsidRPr="00915CC1">
        <w:rPr>
          <w:rFonts w:cs="Arial"/>
          <w:highlight w:val="yellow"/>
        </w:rPr>
        <w:t xml:space="preserve"> </w:t>
      </w:r>
      <w:r w:rsidRPr="00915CC1">
        <w:rPr>
          <w:rFonts w:cs="Arial"/>
          <w:highlight w:val="yellow"/>
        </w:rPr>
        <w:t>facilities, public infrastructure and public</w:t>
      </w:r>
      <w:r w:rsidR="006E1BE2" w:rsidRPr="00915CC1">
        <w:rPr>
          <w:rFonts w:cs="Arial"/>
          <w:highlight w:val="yellow"/>
        </w:rPr>
        <w:t xml:space="preserve"> </w:t>
      </w:r>
      <w:r w:rsidRPr="00915CC1">
        <w:rPr>
          <w:rFonts w:cs="Arial"/>
          <w:highlight w:val="yellow"/>
        </w:rPr>
        <w:t>spaces, and not just into housing</w:t>
      </w:r>
      <w:r w:rsidR="00E5029C" w:rsidRPr="00915CC1">
        <w:rPr>
          <w:rFonts w:cs="Arial"/>
          <w:highlight w:val="yellow"/>
        </w:rPr>
        <w:t>’</w:t>
      </w:r>
    </w:p>
    <w:p w14:paraId="6970C5EF" w14:textId="2FC78100" w:rsidR="00917A63" w:rsidRPr="005728A4" w:rsidRDefault="00917A63" w:rsidP="0055634E">
      <w:pPr>
        <w:pStyle w:val="ListParagraph"/>
        <w:numPr>
          <w:ilvl w:val="1"/>
          <w:numId w:val="48"/>
        </w:numPr>
        <w:spacing w:after="0"/>
        <w:rPr>
          <w:rFonts w:cs="Arial"/>
        </w:rPr>
      </w:pPr>
      <w:r w:rsidRPr="00915CC1">
        <w:rPr>
          <w:rFonts w:cs="Arial"/>
          <w:highlight w:val="yellow"/>
        </w:rPr>
        <w:t>Dedicated capacity at local level for informal</w:t>
      </w:r>
      <w:r w:rsidR="006E1BE2" w:rsidRPr="00915CC1">
        <w:rPr>
          <w:rFonts w:cs="Arial"/>
          <w:highlight w:val="yellow"/>
        </w:rPr>
        <w:t xml:space="preserve"> </w:t>
      </w:r>
      <w:r w:rsidR="005201F1" w:rsidRPr="00915CC1">
        <w:rPr>
          <w:rFonts w:cs="Arial"/>
          <w:highlight w:val="yellow"/>
        </w:rPr>
        <w:t>settlement upgrading.”</w:t>
      </w:r>
      <w:r w:rsidR="005201F1" w:rsidRPr="00E5029C">
        <w:rPr>
          <w:rFonts w:cs="Arial"/>
        </w:rPr>
        <w:t xml:space="preserve"> </w:t>
      </w:r>
      <w:r w:rsidR="00E5029C">
        <w:rPr>
          <w:rFonts w:cs="Arial"/>
        </w:rPr>
        <w:t>(</w:t>
      </w:r>
      <w:r w:rsidR="0047610A">
        <w:rPr>
          <w:rFonts w:cs="Arial"/>
        </w:rPr>
        <w:t>Ibid.</w:t>
      </w:r>
      <w:r w:rsidR="005201F1" w:rsidRPr="00E5029C">
        <w:rPr>
          <w:rFonts w:cs="Arial"/>
        </w:rPr>
        <w:t xml:space="preserve"> p289</w:t>
      </w:r>
      <w:r w:rsidR="00E5029C">
        <w:rPr>
          <w:rFonts w:cs="Arial"/>
        </w:rPr>
        <w:t>)</w:t>
      </w:r>
    </w:p>
    <w:p w14:paraId="6A45287D" w14:textId="77777777" w:rsidR="000E343E" w:rsidRDefault="000E343E" w:rsidP="0088632F">
      <w:pPr>
        <w:spacing w:line="360" w:lineRule="auto"/>
        <w:rPr>
          <w:rFonts w:cs="Arial"/>
          <w:szCs w:val="22"/>
        </w:rPr>
      </w:pPr>
    </w:p>
    <w:p w14:paraId="226C4ED0" w14:textId="60534DD6" w:rsidR="005728A4" w:rsidRPr="005728A4" w:rsidRDefault="005728A4" w:rsidP="0088632F">
      <w:pPr>
        <w:spacing w:line="360" w:lineRule="auto"/>
        <w:rPr>
          <w:rFonts w:cs="Arial"/>
          <w:szCs w:val="22"/>
        </w:rPr>
      </w:pPr>
      <w:r w:rsidRPr="00A964FD">
        <w:rPr>
          <w:rFonts w:cs="Arial"/>
          <w:szCs w:val="22"/>
          <w:highlight w:val="yellow"/>
        </w:rPr>
        <w:t xml:space="preserve">Of particular relevance to this research </w:t>
      </w:r>
      <w:r w:rsidR="0088632F" w:rsidRPr="00A964FD">
        <w:rPr>
          <w:rFonts w:cs="Arial"/>
          <w:szCs w:val="22"/>
          <w:highlight w:val="yellow"/>
        </w:rPr>
        <w:t xml:space="preserve">is </w:t>
      </w:r>
      <w:r w:rsidRPr="00A964FD">
        <w:rPr>
          <w:rFonts w:cs="Arial"/>
          <w:szCs w:val="22"/>
          <w:highlight w:val="yellow"/>
        </w:rPr>
        <w:t xml:space="preserve">the NDP </w:t>
      </w:r>
      <w:r w:rsidR="0088632F" w:rsidRPr="00A964FD">
        <w:rPr>
          <w:rFonts w:cs="Arial"/>
          <w:szCs w:val="22"/>
          <w:highlight w:val="yellow"/>
        </w:rPr>
        <w:t xml:space="preserve">observation </w:t>
      </w:r>
      <w:r w:rsidRPr="00A964FD">
        <w:rPr>
          <w:rFonts w:cs="Arial"/>
          <w:szCs w:val="22"/>
          <w:highlight w:val="yellow"/>
        </w:rPr>
        <w:t xml:space="preserve">that </w:t>
      </w:r>
      <w:r w:rsidR="0088632F" w:rsidRPr="00A964FD">
        <w:rPr>
          <w:rFonts w:cs="Arial"/>
          <w:szCs w:val="22"/>
          <w:highlight w:val="yellow"/>
        </w:rPr>
        <w:t>‘</w:t>
      </w:r>
      <w:r w:rsidR="005364F1" w:rsidRPr="00A964FD">
        <w:rPr>
          <w:rFonts w:cs="Arial"/>
          <w:i/>
          <w:szCs w:val="22"/>
          <w:highlight w:val="yellow"/>
        </w:rPr>
        <w:t>L</w:t>
      </w:r>
      <w:r w:rsidRPr="00A964FD">
        <w:rPr>
          <w:rFonts w:cs="Arial"/>
          <w:i/>
          <w:szCs w:val="22"/>
          <w:highlight w:val="yellow"/>
        </w:rPr>
        <w:t>arge amounts of money have been spent on the housing sector but major problems remain. The system of state-provided housing has benefited many poor households but may have undermined the incentive for people to upgrade their own housing circumstances and may have increased a dependency on the state for the supply of private goods. A national discussion is required on the future funding of housing in South Africa, and on the respective roles of the state, the private sector and individual households in providing housing and creating integrated and sustainable human settlements</w:t>
      </w:r>
      <w:r w:rsidRPr="00A964FD">
        <w:rPr>
          <w:rFonts w:cs="Arial"/>
          <w:szCs w:val="22"/>
          <w:highlight w:val="yellow"/>
        </w:rPr>
        <w:t>.</w:t>
      </w:r>
      <w:r w:rsidR="0088632F" w:rsidRPr="00A964FD">
        <w:rPr>
          <w:rFonts w:cs="Arial"/>
          <w:szCs w:val="22"/>
          <w:highlight w:val="yellow"/>
        </w:rPr>
        <w:t>’</w:t>
      </w:r>
      <w:r>
        <w:rPr>
          <w:rFonts w:cs="Arial"/>
          <w:szCs w:val="22"/>
        </w:rPr>
        <w:t xml:space="preserve"> </w:t>
      </w:r>
      <w:r w:rsidR="008323F7">
        <w:rPr>
          <w:rFonts w:cs="Arial"/>
          <w:szCs w:val="22"/>
        </w:rPr>
        <w:t>(</w:t>
      </w:r>
      <w:r w:rsidR="0047610A">
        <w:rPr>
          <w:rFonts w:cs="Arial"/>
          <w:szCs w:val="22"/>
        </w:rPr>
        <w:t>Ibid.</w:t>
      </w:r>
      <w:r>
        <w:rPr>
          <w:rFonts w:cs="Arial"/>
          <w:szCs w:val="22"/>
        </w:rPr>
        <w:t xml:space="preserve"> p 270</w:t>
      </w:r>
      <w:r w:rsidR="008323F7">
        <w:rPr>
          <w:rFonts w:cs="Arial"/>
          <w:szCs w:val="22"/>
        </w:rPr>
        <w:t>)</w:t>
      </w:r>
      <w:r>
        <w:rPr>
          <w:rFonts w:cs="Arial"/>
          <w:szCs w:val="22"/>
        </w:rPr>
        <w:t xml:space="preserve"> </w:t>
      </w:r>
    </w:p>
    <w:p w14:paraId="019613BA" w14:textId="2B977F3A" w:rsidR="002A0C94" w:rsidRPr="001D590D" w:rsidRDefault="002A0C94" w:rsidP="00727BFC">
      <w:pPr>
        <w:pStyle w:val="Heading3"/>
      </w:pPr>
      <w:bookmarkStart w:id="61" w:name="_Toc261617573"/>
      <w:bookmarkStart w:id="62" w:name="_Toc262067788"/>
      <w:bookmarkStart w:id="63" w:name="_Toc262068114"/>
      <w:r w:rsidRPr="005728A4">
        <w:t xml:space="preserve">Finance and Fiscal Commission </w:t>
      </w:r>
      <w:r w:rsidR="002E7F1E">
        <w:t>R</w:t>
      </w:r>
      <w:r w:rsidRPr="005728A4">
        <w:t xml:space="preserve">eport </w:t>
      </w:r>
      <w:r w:rsidR="002E7F1E">
        <w:t>I</w:t>
      </w:r>
      <w:r w:rsidRPr="005728A4">
        <w:t xml:space="preserve">nto </w:t>
      </w:r>
      <w:r w:rsidR="002E7F1E">
        <w:t>H</w:t>
      </w:r>
      <w:r w:rsidRPr="005728A4">
        <w:t xml:space="preserve">ousing </w:t>
      </w:r>
      <w:r w:rsidR="002E7F1E">
        <w:t>S</w:t>
      </w:r>
      <w:r w:rsidRPr="005728A4">
        <w:t>ubsidy</w:t>
      </w:r>
      <w:bookmarkEnd w:id="61"/>
      <w:bookmarkEnd w:id="62"/>
      <w:bookmarkEnd w:id="63"/>
      <w:r w:rsidRPr="001D590D">
        <w:t xml:space="preserve"> </w:t>
      </w:r>
    </w:p>
    <w:p w14:paraId="757F733A" w14:textId="1D03E150" w:rsidR="002A0C94" w:rsidRPr="001D590D" w:rsidRDefault="0088632F" w:rsidP="0088632F">
      <w:pPr>
        <w:spacing w:line="360" w:lineRule="auto"/>
        <w:rPr>
          <w:rFonts w:cs="Arial"/>
          <w:szCs w:val="22"/>
        </w:rPr>
      </w:pPr>
      <w:r w:rsidRPr="00A964FD">
        <w:rPr>
          <w:rFonts w:cs="Arial"/>
          <w:szCs w:val="22"/>
          <w:highlight w:val="yellow"/>
        </w:rPr>
        <w:t>In 2011</w:t>
      </w:r>
      <w:r w:rsidR="002E7F1E" w:rsidRPr="00A964FD">
        <w:rPr>
          <w:rFonts w:cs="Arial"/>
          <w:szCs w:val="22"/>
          <w:highlight w:val="yellow"/>
        </w:rPr>
        <w:t>,</w:t>
      </w:r>
      <w:r w:rsidRPr="00A964FD">
        <w:rPr>
          <w:rFonts w:cs="Arial"/>
          <w:szCs w:val="22"/>
          <w:highlight w:val="yellow"/>
        </w:rPr>
        <w:t xml:space="preserve"> after an intense period of public engagement</w:t>
      </w:r>
      <w:r w:rsidR="002E7F1E" w:rsidRPr="00A964FD">
        <w:rPr>
          <w:rFonts w:cs="Arial"/>
          <w:szCs w:val="22"/>
          <w:highlight w:val="yellow"/>
        </w:rPr>
        <w:t>,</w:t>
      </w:r>
      <w:r w:rsidRPr="00A964FD">
        <w:rPr>
          <w:rFonts w:cs="Arial"/>
          <w:szCs w:val="22"/>
          <w:highlight w:val="yellow"/>
        </w:rPr>
        <w:t xml:space="preserve"> t</w:t>
      </w:r>
      <w:r w:rsidR="002A0C94" w:rsidRPr="00A964FD">
        <w:rPr>
          <w:rFonts w:cs="Arial"/>
          <w:szCs w:val="22"/>
          <w:highlight w:val="yellow"/>
        </w:rPr>
        <w:t>he Finance and Fiscal Commission launched its review into the human settlements sector.  The key findings of this analysis are that South Africa’s current human settlements delivery programme is not fiscally sustainable in the long term (breadth of delivery) due to the cost of each un</w:t>
      </w:r>
      <w:r w:rsidR="0059522A" w:rsidRPr="00A964FD">
        <w:rPr>
          <w:rFonts w:cs="Arial"/>
          <w:szCs w:val="22"/>
          <w:highlight w:val="yellow"/>
        </w:rPr>
        <w:t>it delivered (depth of subsidy).</w:t>
      </w:r>
      <w:r w:rsidR="002A0C94" w:rsidRPr="00A964FD">
        <w:rPr>
          <w:rFonts w:cs="Arial"/>
          <w:szCs w:val="22"/>
          <w:highlight w:val="yellow"/>
        </w:rPr>
        <w:t xml:space="preserve"> As a result, this report proposes delivery strategies that can reach more households in a shorter period </w:t>
      </w:r>
      <w:r w:rsidR="00AE1A8A" w:rsidRPr="00A964FD">
        <w:rPr>
          <w:rFonts w:cs="Arial"/>
          <w:szCs w:val="22"/>
          <w:highlight w:val="yellow"/>
        </w:rPr>
        <w:t xml:space="preserve">than </w:t>
      </w:r>
      <w:r w:rsidR="002A0C94" w:rsidRPr="00A964FD">
        <w:rPr>
          <w:rFonts w:cs="Arial"/>
          <w:szCs w:val="22"/>
          <w:highlight w:val="yellow"/>
        </w:rPr>
        <w:t>has been achieved over the last two decades. One option</w:t>
      </w:r>
      <w:r w:rsidR="00AE1A8A" w:rsidRPr="00A964FD">
        <w:rPr>
          <w:rFonts w:cs="Arial"/>
          <w:szCs w:val="22"/>
          <w:highlight w:val="yellow"/>
        </w:rPr>
        <w:t>, key to this discussion,</w:t>
      </w:r>
      <w:r w:rsidR="002A0C94" w:rsidRPr="00A964FD">
        <w:rPr>
          <w:rFonts w:cs="Arial"/>
          <w:szCs w:val="22"/>
          <w:highlight w:val="yellow"/>
        </w:rPr>
        <w:t xml:space="preserve"> outlined is that of increasing the proportion of human settlements delivery through upgrading of informal settlement</w:t>
      </w:r>
      <w:r w:rsidR="002E7F1E" w:rsidRPr="00A964FD">
        <w:rPr>
          <w:rFonts w:cs="Arial"/>
          <w:szCs w:val="22"/>
          <w:highlight w:val="yellow"/>
        </w:rPr>
        <w:t>s</w:t>
      </w:r>
      <w:r w:rsidR="002A0C94" w:rsidRPr="00A964FD">
        <w:rPr>
          <w:rFonts w:cs="Arial"/>
          <w:szCs w:val="22"/>
          <w:highlight w:val="yellow"/>
        </w:rPr>
        <w:t>.</w:t>
      </w:r>
    </w:p>
    <w:p w14:paraId="5E15227B" w14:textId="0BA17AF0" w:rsidR="002E0082" w:rsidRDefault="002A0C94" w:rsidP="00727BFC">
      <w:pPr>
        <w:pStyle w:val="Heading3"/>
      </w:pPr>
      <w:bookmarkStart w:id="64" w:name="_Toc261617574"/>
      <w:bookmarkStart w:id="65" w:name="_Toc262067789"/>
      <w:bookmarkStart w:id="66" w:name="_Toc262068115"/>
      <w:r w:rsidRPr="002E0082">
        <w:t xml:space="preserve">The </w:t>
      </w:r>
      <w:r w:rsidR="00AE1A8A">
        <w:t>N</w:t>
      </w:r>
      <w:r w:rsidRPr="002E0082">
        <w:t>DHS 20 Year Review</w:t>
      </w:r>
      <w:bookmarkEnd w:id="64"/>
      <w:bookmarkEnd w:id="65"/>
      <w:bookmarkEnd w:id="66"/>
      <w:r w:rsidRPr="001D590D">
        <w:t xml:space="preserve"> </w:t>
      </w:r>
    </w:p>
    <w:p w14:paraId="785410C3" w14:textId="4C13F363" w:rsidR="00E72361" w:rsidRPr="001D590D" w:rsidRDefault="001B6D28" w:rsidP="00AE1A8A">
      <w:pPr>
        <w:spacing w:line="360" w:lineRule="auto"/>
        <w:rPr>
          <w:rFonts w:cs="Arial"/>
          <w:szCs w:val="22"/>
        </w:rPr>
      </w:pPr>
      <w:r>
        <w:rPr>
          <w:rFonts w:cs="Arial"/>
          <w:szCs w:val="22"/>
        </w:rPr>
        <w:t xml:space="preserve">This review </w:t>
      </w:r>
      <w:r w:rsidR="008B47BF">
        <w:rPr>
          <w:rFonts w:cs="Arial"/>
          <w:szCs w:val="22"/>
        </w:rPr>
        <w:t>recogniz</w:t>
      </w:r>
      <w:r w:rsidR="002A0C94" w:rsidRPr="001D590D">
        <w:rPr>
          <w:rFonts w:cs="Arial"/>
          <w:szCs w:val="22"/>
        </w:rPr>
        <w:t>e</w:t>
      </w:r>
      <w:r w:rsidR="005728A4">
        <w:rPr>
          <w:rFonts w:cs="Arial"/>
          <w:szCs w:val="22"/>
        </w:rPr>
        <w:t xml:space="preserve">d </w:t>
      </w:r>
      <w:r>
        <w:rPr>
          <w:rFonts w:cs="Arial"/>
          <w:szCs w:val="22"/>
        </w:rPr>
        <w:t xml:space="preserve">the </w:t>
      </w:r>
      <w:r w:rsidRPr="001D590D">
        <w:rPr>
          <w:rFonts w:cs="Arial"/>
          <w:szCs w:val="22"/>
        </w:rPr>
        <w:t>achievement</w:t>
      </w:r>
      <w:r w:rsidR="002A0C94" w:rsidRPr="001D590D">
        <w:rPr>
          <w:rFonts w:cs="Arial"/>
          <w:szCs w:val="22"/>
        </w:rPr>
        <w:t xml:space="preserve"> of delivering 2,7-million houses over the last twenty years, but simultaneously identifies significant concerns with the rate of delivery required to meet the 1,2-million households estimated to still be living in poor circumstances in informal settlements and backyards accommodation.</w:t>
      </w:r>
    </w:p>
    <w:p w14:paraId="58E3BE27" w14:textId="265287A1" w:rsidR="002E0082" w:rsidRDefault="002E0082" w:rsidP="00727BFC">
      <w:pPr>
        <w:pStyle w:val="Heading3"/>
      </w:pPr>
      <w:bookmarkStart w:id="67" w:name="_Toc261617575"/>
      <w:bookmarkStart w:id="68" w:name="_Toc262067790"/>
      <w:bookmarkStart w:id="69" w:name="_Toc262068116"/>
      <w:r>
        <w:t>Medium Term Strategic Framework</w:t>
      </w:r>
      <w:r w:rsidR="00B82577">
        <w:t xml:space="preserve"> (MTSF)</w:t>
      </w:r>
      <w:r>
        <w:t xml:space="preserve"> of the Department of Human Settlements</w:t>
      </w:r>
      <w:bookmarkEnd w:id="67"/>
      <w:bookmarkEnd w:id="68"/>
      <w:bookmarkEnd w:id="69"/>
    </w:p>
    <w:p w14:paraId="09FDCC21" w14:textId="77777777" w:rsidR="003F4E5C" w:rsidRDefault="002A0C94" w:rsidP="003F4E5C">
      <w:pPr>
        <w:spacing w:line="360" w:lineRule="auto"/>
        <w:rPr>
          <w:rFonts w:cs="Arial"/>
          <w:szCs w:val="22"/>
        </w:rPr>
      </w:pPr>
      <w:r w:rsidRPr="001D590D">
        <w:rPr>
          <w:rFonts w:cs="Arial"/>
          <w:szCs w:val="22"/>
        </w:rPr>
        <w:lastRenderedPageBreak/>
        <w:t xml:space="preserve">The </w:t>
      </w:r>
      <w:r w:rsidR="00B82577" w:rsidRPr="003F4E5C">
        <w:rPr>
          <w:rFonts w:cs="Arial"/>
          <w:szCs w:val="22"/>
        </w:rPr>
        <w:t>MTSF</w:t>
      </w:r>
      <w:r w:rsidRPr="003F4E5C">
        <w:rPr>
          <w:rFonts w:cs="Arial"/>
          <w:szCs w:val="22"/>
        </w:rPr>
        <w:t xml:space="preserve"> for Human Settlements (2014 to 201</w:t>
      </w:r>
      <w:r w:rsidR="00E72361" w:rsidRPr="003F4E5C">
        <w:rPr>
          <w:rFonts w:cs="Arial"/>
          <w:szCs w:val="22"/>
        </w:rPr>
        <w:t>9</w:t>
      </w:r>
      <w:r w:rsidRPr="003F4E5C">
        <w:rPr>
          <w:rFonts w:cs="Arial"/>
          <w:szCs w:val="22"/>
        </w:rPr>
        <w:t>)</w:t>
      </w:r>
      <w:r w:rsidRPr="001D590D">
        <w:rPr>
          <w:rFonts w:cs="Arial"/>
          <w:szCs w:val="22"/>
        </w:rPr>
        <w:t xml:space="preserve"> provide</w:t>
      </w:r>
      <w:r w:rsidR="00E72361">
        <w:rPr>
          <w:rFonts w:cs="Arial"/>
          <w:szCs w:val="22"/>
        </w:rPr>
        <w:t>s</w:t>
      </w:r>
      <w:r w:rsidRPr="001D590D">
        <w:rPr>
          <w:rFonts w:cs="Arial"/>
          <w:szCs w:val="22"/>
        </w:rPr>
        <w:t xml:space="preserve"> greater certainty about the expected targets to be achieved in respect of informal settlement upgrading. </w:t>
      </w:r>
      <w:r w:rsidR="00E72361">
        <w:rPr>
          <w:rFonts w:cs="Arial"/>
          <w:szCs w:val="22"/>
        </w:rPr>
        <w:t xml:space="preserve">Specifically, in its strategic approach, it clarifies that </w:t>
      </w:r>
      <w:r w:rsidR="00E72361" w:rsidRPr="003F4E5C">
        <w:rPr>
          <w:rFonts w:cs="Arial"/>
          <w:i/>
          <w:szCs w:val="22"/>
        </w:rPr>
        <w:t>“(t)he informal settlement upgrading programme will be scaled up…”</w:t>
      </w:r>
      <w:r w:rsidR="008B5A4C" w:rsidRPr="003F4E5C">
        <w:rPr>
          <w:rFonts w:cs="Arial"/>
          <w:szCs w:val="22"/>
        </w:rPr>
        <w:t xml:space="preserve">.  </w:t>
      </w:r>
    </w:p>
    <w:p w14:paraId="1F8F5D93" w14:textId="6CEC9354" w:rsidR="00E72361" w:rsidRPr="003F4E5C" w:rsidRDefault="008B5A4C" w:rsidP="003F4E5C">
      <w:pPr>
        <w:spacing w:line="360" w:lineRule="auto"/>
        <w:rPr>
          <w:rFonts w:cs="Arial"/>
          <w:szCs w:val="22"/>
        </w:rPr>
      </w:pPr>
      <w:r w:rsidRPr="008B5A4C">
        <w:rPr>
          <w:rFonts w:cs="Arial"/>
          <w:szCs w:val="22"/>
        </w:rPr>
        <w:t xml:space="preserve">To meet this objective, the following </w:t>
      </w:r>
      <w:r>
        <w:rPr>
          <w:rFonts w:cs="Arial"/>
          <w:szCs w:val="22"/>
        </w:rPr>
        <w:t>targets</w:t>
      </w:r>
      <w:r w:rsidRPr="008B5A4C">
        <w:rPr>
          <w:rFonts w:cs="Arial"/>
          <w:szCs w:val="22"/>
        </w:rPr>
        <w:t xml:space="preserve"> are identified</w:t>
      </w:r>
      <w:r w:rsidR="003F4E5C">
        <w:rPr>
          <w:rFonts w:cs="Arial"/>
          <w:szCs w:val="22"/>
        </w:rPr>
        <w:t xml:space="preserve"> under </w:t>
      </w:r>
      <w:r w:rsidR="003F4E5C" w:rsidRPr="003F4E5C">
        <w:rPr>
          <w:rFonts w:cs="Arial"/>
          <w:b/>
          <w:szCs w:val="22"/>
        </w:rPr>
        <w:t>Sub-Outcome 1: Adequate Housing and Improved Quality Living Environments</w:t>
      </w:r>
      <w:r w:rsidRPr="008B5A4C">
        <w:rPr>
          <w:rFonts w:cs="Arial"/>
          <w:szCs w:val="22"/>
        </w:rPr>
        <w:t>:</w:t>
      </w:r>
    </w:p>
    <w:p w14:paraId="6490D9E6" w14:textId="58E9559A" w:rsidR="008B5A4C" w:rsidRPr="008B5A4C" w:rsidRDefault="003F4E5C" w:rsidP="00F248FD">
      <w:pPr>
        <w:pStyle w:val="ListParagraph"/>
        <w:numPr>
          <w:ilvl w:val="0"/>
          <w:numId w:val="74"/>
        </w:numPr>
        <w:spacing w:after="0"/>
        <w:rPr>
          <w:rFonts w:cs="Arial"/>
        </w:rPr>
      </w:pPr>
      <w:r>
        <w:rPr>
          <w:rFonts w:cs="Arial"/>
        </w:rPr>
        <w:t>Enh</w:t>
      </w:r>
      <w:r w:rsidR="008B5A4C">
        <w:rPr>
          <w:rFonts w:cs="Arial"/>
        </w:rPr>
        <w:t xml:space="preserve">ancement of </w:t>
      </w:r>
      <w:r>
        <w:rPr>
          <w:rFonts w:cs="Arial"/>
        </w:rPr>
        <w:t xml:space="preserve">the </w:t>
      </w:r>
      <w:r w:rsidR="008B5A4C">
        <w:rPr>
          <w:rFonts w:cs="Arial"/>
        </w:rPr>
        <w:t>i</w:t>
      </w:r>
      <w:r w:rsidR="008B5A4C" w:rsidRPr="008B5A4C">
        <w:rPr>
          <w:rFonts w:cs="Arial"/>
        </w:rPr>
        <w:t>nstitutional capacity for PHP to support informal settlement upgrading</w:t>
      </w:r>
      <w:r w:rsidR="008B5A4C">
        <w:rPr>
          <w:rFonts w:cs="Arial"/>
        </w:rPr>
        <w:t xml:space="preserve"> and rural housing</w:t>
      </w:r>
      <w:r>
        <w:rPr>
          <w:rFonts w:cs="Arial"/>
        </w:rPr>
        <w:t>. This will include cross-referencing of p</w:t>
      </w:r>
      <w:r w:rsidR="008B5A4C" w:rsidRPr="008B5A4C">
        <w:rPr>
          <w:rFonts w:cs="Arial"/>
        </w:rPr>
        <w:t>olicy and programme</w:t>
      </w:r>
      <w:r>
        <w:rPr>
          <w:rFonts w:cs="Arial"/>
        </w:rPr>
        <w:t xml:space="preserve">s for PHP, </w:t>
      </w:r>
      <w:r w:rsidR="008B5A4C" w:rsidRPr="008B5A4C">
        <w:rPr>
          <w:rFonts w:cs="Arial"/>
        </w:rPr>
        <w:t>NUSP and HDA programmes</w:t>
      </w:r>
      <w:r>
        <w:rPr>
          <w:rFonts w:cs="Arial"/>
        </w:rPr>
        <w:t>, leading to the c</w:t>
      </w:r>
      <w:r w:rsidR="008B5A4C" w:rsidRPr="008B5A4C">
        <w:rPr>
          <w:rFonts w:cs="Arial"/>
        </w:rPr>
        <w:t>onsolidation of the institutional capacity for PHP and all Informal Settlement Upgrading support programmes</w:t>
      </w:r>
      <w:r>
        <w:rPr>
          <w:rFonts w:cs="Arial"/>
        </w:rPr>
        <w:t>.</w:t>
      </w:r>
      <w:r w:rsidR="008B5A4C" w:rsidRPr="008B5A4C">
        <w:rPr>
          <w:rFonts w:cs="Arial"/>
        </w:rPr>
        <w:t xml:space="preserve"> </w:t>
      </w:r>
    </w:p>
    <w:p w14:paraId="1A823E96" w14:textId="77777777" w:rsidR="00EE76D1" w:rsidRDefault="003F4E5C" w:rsidP="00F248FD">
      <w:pPr>
        <w:pStyle w:val="ListParagraph"/>
        <w:numPr>
          <w:ilvl w:val="0"/>
          <w:numId w:val="74"/>
        </w:numPr>
        <w:spacing w:after="0"/>
        <w:rPr>
          <w:rFonts w:cs="Arial"/>
        </w:rPr>
      </w:pPr>
      <w:r w:rsidRPr="003F4E5C">
        <w:rPr>
          <w:rFonts w:cs="Arial"/>
        </w:rPr>
        <w:t xml:space="preserve">The target of assessing </w:t>
      </w:r>
      <w:r w:rsidR="008B5A4C" w:rsidRPr="003F4E5C">
        <w:rPr>
          <w:rFonts w:cs="Arial"/>
        </w:rPr>
        <w:t xml:space="preserve">450 </w:t>
      </w:r>
      <w:r w:rsidRPr="003F4E5C">
        <w:rPr>
          <w:rFonts w:cs="Arial"/>
        </w:rPr>
        <w:t>informal</w:t>
      </w:r>
      <w:r w:rsidR="008B5A4C" w:rsidRPr="003F4E5C">
        <w:rPr>
          <w:rFonts w:cs="Arial"/>
        </w:rPr>
        <w:t xml:space="preserve"> settlements by NUSP</w:t>
      </w:r>
      <w:r w:rsidR="00EE76D1">
        <w:rPr>
          <w:rFonts w:cs="Arial"/>
        </w:rPr>
        <w:t>;</w:t>
      </w:r>
    </w:p>
    <w:p w14:paraId="6DF8A285" w14:textId="0BEF1A4D" w:rsidR="00EE76D1" w:rsidRDefault="00EE76D1" w:rsidP="00F248FD">
      <w:pPr>
        <w:pStyle w:val="ListParagraph"/>
        <w:numPr>
          <w:ilvl w:val="0"/>
          <w:numId w:val="74"/>
        </w:numPr>
        <w:spacing w:after="0"/>
        <w:rPr>
          <w:rFonts w:cs="Arial"/>
        </w:rPr>
      </w:pPr>
      <w:r>
        <w:rPr>
          <w:rFonts w:cs="Arial"/>
        </w:rPr>
        <w:t>A</w:t>
      </w:r>
      <w:r w:rsidR="003F4E5C" w:rsidRPr="003F4E5C">
        <w:rPr>
          <w:rFonts w:cs="Arial"/>
        </w:rPr>
        <w:t xml:space="preserve">chieving the target of </w:t>
      </w:r>
      <w:r w:rsidR="008B5A4C" w:rsidRPr="003F4E5C">
        <w:rPr>
          <w:rFonts w:cs="Arial"/>
        </w:rPr>
        <w:t>447</w:t>
      </w:r>
      <w:r w:rsidR="003F4E5C" w:rsidRPr="003F4E5C">
        <w:rPr>
          <w:rFonts w:cs="Arial"/>
        </w:rPr>
        <w:t xml:space="preserve"> </w:t>
      </w:r>
      <w:r w:rsidR="008B5A4C" w:rsidRPr="003F4E5C">
        <w:rPr>
          <w:rFonts w:cs="Arial"/>
        </w:rPr>
        <w:t xml:space="preserve">780 households </w:t>
      </w:r>
      <w:r w:rsidR="003F4E5C" w:rsidRPr="003F4E5C">
        <w:rPr>
          <w:rFonts w:cs="Arial"/>
        </w:rPr>
        <w:t xml:space="preserve">benefiting from upgrading by 2019, </w:t>
      </w:r>
      <w:r w:rsidR="008B5A4C" w:rsidRPr="003F4E5C">
        <w:rPr>
          <w:rFonts w:cs="Arial"/>
        </w:rPr>
        <w:t>cumulative from 2010</w:t>
      </w:r>
      <w:r>
        <w:rPr>
          <w:rFonts w:cs="Arial"/>
        </w:rPr>
        <w:t>; and</w:t>
      </w:r>
      <w:r w:rsidR="003F4E5C" w:rsidRPr="003F4E5C">
        <w:rPr>
          <w:rFonts w:cs="Arial"/>
        </w:rPr>
        <w:t xml:space="preserve"> </w:t>
      </w:r>
    </w:p>
    <w:p w14:paraId="1796FF3D" w14:textId="6ED0A9E7" w:rsidR="008B5A4C" w:rsidRPr="003F4E5C" w:rsidRDefault="003F4E5C" w:rsidP="00F248FD">
      <w:pPr>
        <w:pStyle w:val="ListParagraph"/>
        <w:numPr>
          <w:ilvl w:val="0"/>
          <w:numId w:val="74"/>
        </w:numPr>
        <w:spacing w:after="0"/>
        <w:rPr>
          <w:rFonts w:cs="Arial"/>
        </w:rPr>
      </w:pPr>
      <w:r w:rsidRPr="003F4E5C">
        <w:rPr>
          <w:rFonts w:cs="Arial"/>
        </w:rPr>
        <w:t xml:space="preserve">A further target of </w:t>
      </w:r>
      <w:r>
        <w:rPr>
          <w:rFonts w:cs="Arial"/>
        </w:rPr>
        <w:t xml:space="preserve">ensuring </w:t>
      </w:r>
      <w:r w:rsidR="008B5A4C" w:rsidRPr="003F4E5C">
        <w:rPr>
          <w:rFonts w:cs="Arial"/>
        </w:rPr>
        <w:t>750 000 households in informal settlements have access to basic water, sanitation, and road infrastructure and services</w:t>
      </w:r>
      <w:r>
        <w:rPr>
          <w:rFonts w:cs="Arial"/>
        </w:rPr>
        <w:t xml:space="preserve"> via the UISP.</w:t>
      </w:r>
    </w:p>
    <w:p w14:paraId="7BC95C3D" w14:textId="76E48E43" w:rsidR="008B5A4C" w:rsidRPr="008B5A4C" w:rsidRDefault="008B5A4C" w:rsidP="008B5A4C">
      <w:pPr>
        <w:spacing w:after="0" w:line="360" w:lineRule="auto"/>
        <w:rPr>
          <w:rFonts w:cs="Arial"/>
          <w:szCs w:val="22"/>
        </w:rPr>
      </w:pPr>
    </w:p>
    <w:p w14:paraId="73ADCB8E" w14:textId="00310CFD" w:rsidR="002A0C94" w:rsidRPr="001D590D" w:rsidRDefault="002A0C94" w:rsidP="00AE1A8A">
      <w:pPr>
        <w:spacing w:line="360" w:lineRule="auto"/>
        <w:rPr>
          <w:rFonts w:cs="Arial"/>
          <w:szCs w:val="22"/>
        </w:rPr>
      </w:pPr>
      <w:r w:rsidRPr="001D590D">
        <w:rPr>
          <w:rFonts w:cs="Arial"/>
          <w:szCs w:val="22"/>
        </w:rPr>
        <w:t xml:space="preserve">Looking to the future, the </w:t>
      </w:r>
      <w:r w:rsidR="00AE1A8A">
        <w:rPr>
          <w:rFonts w:cs="Arial"/>
          <w:szCs w:val="22"/>
        </w:rPr>
        <w:t>N</w:t>
      </w:r>
      <w:r w:rsidRPr="001D590D">
        <w:rPr>
          <w:rFonts w:cs="Arial"/>
          <w:szCs w:val="22"/>
        </w:rPr>
        <w:t xml:space="preserve">DHS </w:t>
      </w:r>
      <w:r w:rsidR="00E429B6">
        <w:rPr>
          <w:rFonts w:cs="Arial"/>
          <w:szCs w:val="22"/>
        </w:rPr>
        <w:t xml:space="preserve">has commenced the process of </w:t>
      </w:r>
      <w:r w:rsidRPr="001D590D">
        <w:rPr>
          <w:rFonts w:cs="Arial"/>
          <w:szCs w:val="22"/>
        </w:rPr>
        <w:t>rafting a new</w:t>
      </w:r>
      <w:r w:rsidR="00E429B6">
        <w:rPr>
          <w:rFonts w:cs="Arial"/>
          <w:szCs w:val="22"/>
        </w:rPr>
        <w:t xml:space="preserve"> human settlements </w:t>
      </w:r>
      <w:r w:rsidRPr="001D590D">
        <w:rPr>
          <w:rFonts w:cs="Arial"/>
          <w:szCs w:val="22"/>
        </w:rPr>
        <w:t>policy framework (</w:t>
      </w:r>
      <w:r w:rsidRPr="001D590D">
        <w:rPr>
          <w:rFonts w:cs="Arial"/>
          <w:b/>
          <w:szCs w:val="22"/>
        </w:rPr>
        <w:t>Green Paper and White Paper</w:t>
      </w:r>
      <w:r w:rsidRPr="001D590D">
        <w:rPr>
          <w:rFonts w:cs="Arial"/>
          <w:szCs w:val="22"/>
        </w:rPr>
        <w:t xml:space="preserve">) during the next </w:t>
      </w:r>
      <w:r w:rsidR="003F4E5C">
        <w:rPr>
          <w:rFonts w:cs="Arial"/>
          <w:szCs w:val="22"/>
        </w:rPr>
        <w:t>three</w:t>
      </w:r>
      <w:r w:rsidRPr="001D590D">
        <w:rPr>
          <w:rFonts w:cs="Arial"/>
          <w:szCs w:val="22"/>
        </w:rPr>
        <w:t xml:space="preserve"> years, which is likely to form the basis of a revised policy to be implemented in the next period (201</w:t>
      </w:r>
      <w:r w:rsidR="003F4E5C">
        <w:rPr>
          <w:rFonts w:cs="Arial"/>
          <w:szCs w:val="22"/>
        </w:rPr>
        <w:t>9</w:t>
      </w:r>
      <w:r w:rsidRPr="001D590D">
        <w:rPr>
          <w:rFonts w:cs="Arial"/>
          <w:szCs w:val="22"/>
        </w:rPr>
        <w:t xml:space="preserve"> to 202</w:t>
      </w:r>
      <w:r w:rsidR="003F4E5C">
        <w:rPr>
          <w:rFonts w:cs="Arial"/>
          <w:szCs w:val="22"/>
        </w:rPr>
        <w:t>3</w:t>
      </w:r>
      <w:r w:rsidRPr="001D590D">
        <w:rPr>
          <w:rFonts w:cs="Arial"/>
          <w:szCs w:val="22"/>
        </w:rPr>
        <w:t xml:space="preserve">). </w:t>
      </w:r>
    </w:p>
    <w:p w14:paraId="6D66EEE2" w14:textId="5612EA05" w:rsidR="002A0C94" w:rsidRPr="001D590D" w:rsidRDefault="002A0C94" w:rsidP="00540DD7">
      <w:pPr>
        <w:pStyle w:val="Heading2"/>
      </w:pPr>
      <w:bookmarkStart w:id="70" w:name="_Toc255626953"/>
      <w:bookmarkStart w:id="71" w:name="_Toc261617576"/>
      <w:bookmarkStart w:id="72" w:name="_Toc262067791"/>
      <w:bookmarkStart w:id="73" w:name="_Toc270946017"/>
      <w:r w:rsidRPr="001D590D">
        <w:t>Human Settlements Delivery Programmes and the Role of Informal Settlement Upgrading</w:t>
      </w:r>
      <w:bookmarkEnd w:id="70"/>
      <w:bookmarkEnd w:id="71"/>
      <w:bookmarkEnd w:id="72"/>
      <w:bookmarkEnd w:id="73"/>
      <w:r w:rsidRPr="001D590D">
        <w:t xml:space="preserve"> </w:t>
      </w:r>
    </w:p>
    <w:p w14:paraId="7F029AD0" w14:textId="77777777" w:rsidR="00AE1A8A" w:rsidRDefault="00AE1A8A" w:rsidP="00250EA9">
      <w:pPr>
        <w:rPr>
          <w:rFonts w:cs="Arial"/>
          <w:szCs w:val="22"/>
        </w:rPr>
      </w:pPr>
    </w:p>
    <w:p w14:paraId="20E74E50" w14:textId="3C20CA67" w:rsidR="002A0C94" w:rsidRPr="001D590D" w:rsidRDefault="002A0C94" w:rsidP="00AE1A8A">
      <w:pPr>
        <w:spacing w:line="360" w:lineRule="auto"/>
        <w:rPr>
          <w:rFonts w:cs="Arial"/>
          <w:szCs w:val="22"/>
        </w:rPr>
      </w:pPr>
      <w:r w:rsidRPr="001D590D">
        <w:rPr>
          <w:rFonts w:cs="Arial"/>
          <w:szCs w:val="22"/>
        </w:rPr>
        <w:t xml:space="preserve">Since 1994, South Africa has developed and implemented over thirty Subsidy Programmes to meet specific housing and human settlements needs in the country. </w:t>
      </w:r>
    </w:p>
    <w:p w14:paraId="6AE71CBB" w14:textId="77777777" w:rsidR="002A0C94" w:rsidRPr="001D590D" w:rsidRDefault="002A0C94" w:rsidP="00727BFC">
      <w:pPr>
        <w:pStyle w:val="Heading3"/>
      </w:pPr>
      <w:bookmarkStart w:id="74" w:name="_Toc261617577"/>
      <w:bookmarkStart w:id="75" w:name="_Toc262067792"/>
      <w:bookmarkStart w:id="76" w:name="_Toc262068118"/>
      <w:r w:rsidRPr="001D590D">
        <w:t>Framework of Human Settlements Subsidy Programmes</w:t>
      </w:r>
      <w:bookmarkEnd w:id="74"/>
      <w:bookmarkEnd w:id="75"/>
      <w:bookmarkEnd w:id="76"/>
    </w:p>
    <w:p w14:paraId="3F462ACB" w14:textId="523F09EF" w:rsidR="002A0C94" w:rsidRPr="001D590D" w:rsidRDefault="002A0C94" w:rsidP="00AE1A8A">
      <w:pPr>
        <w:spacing w:line="360" w:lineRule="auto"/>
        <w:rPr>
          <w:rFonts w:cs="Arial"/>
          <w:szCs w:val="22"/>
        </w:rPr>
      </w:pPr>
      <w:r w:rsidRPr="001D590D">
        <w:rPr>
          <w:rFonts w:cs="Arial"/>
          <w:szCs w:val="22"/>
        </w:rPr>
        <w:t>For the first ten years, the delivery framework focused on instruments that deliver fully completed, freehold houses on serviced sites in greenfields settlements through what was known as the ‘RDP’ programme.  The delivery of full houses was seen as the core need in a post-</w:t>
      </w:r>
      <w:r w:rsidR="001B6D28" w:rsidRPr="001D590D">
        <w:rPr>
          <w:rFonts w:cs="Arial"/>
          <w:szCs w:val="22"/>
        </w:rPr>
        <w:t>Apartheid</w:t>
      </w:r>
      <w:r w:rsidRPr="001D590D">
        <w:rPr>
          <w:rFonts w:cs="Arial"/>
          <w:szCs w:val="22"/>
        </w:rPr>
        <w:t xml:space="preserve"> South Africa, in order to compensate for urban exclusion, deprivation and </w:t>
      </w:r>
      <w:r w:rsidRPr="001D590D">
        <w:rPr>
          <w:rFonts w:cs="Arial"/>
          <w:szCs w:val="22"/>
        </w:rPr>
        <w:lastRenderedPageBreak/>
        <w:t xml:space="preserve">historical restrictions on property ownership. The core subsidy instruments </w:t>
      </w:r>
      <w:r w:rsidR="001B6D28">
        <w:rPr>
          <w:rFonts w:cs="Arial"/>
          <w:szCs w:val="22"/>
        </w:rPr>
        <w:t xml:space="preserve">are </w:t>
      </w:r>
      <w:r w:rsidRPr="001D590D">
        <w:rPr>
          <w:rFonts w:cs="Arial"/>
          <w:szCs w:val="22"/>
        </w:rPr>
        <w:t>funded through the Human Settlements Development Grant, and their core applications, are:</w:t>
      </w:r>
    </w:p>
    <w:p w14:paraId="01E48724" w14:textId="189CCBB1" w:rsidR="002A0C94" w:rsidRPr="001D590D" w:rsidRDefault="002A0C94" w:rsidP="0055634E">
      <w:pPr>
        <w:pStyle w:val="ListParagraph"/>
        <w:numPr>
          <w:ilvl w:val="0"/>
          <w:numId w:val="2"/>
        </w:numPr>
        <w:spacing w:after="0"/>
        <w:ind w:left="720"/>
        <w:rPr>
          <w:rFonts w:cs="Arial"/>
        </w:rPr>
      </w:pPr>
      <w:r w:rsidRPr="001D590D">
        <w:rPr>
          <w:rFonts w:cs="Arial"/>
        </w:rPr>
        <w:t xml:space="preserve">The Integrated Residential Development Programme (previously the </w:t>
      </w:r>
      <w:r w:rsidR="001B6D28">
        <w:rPr>
          <w:rFonts w:cs="Arial"/>
        </w:rPr>
        <w:t>Project Linked Subsidy /</w:t>
      </w:r>
      <w:r w:rsidRPr="001D590D">
        <w:rPr>
          <w:rFonts w:cs="Arial"/>
        </w:rPr>
        <w:t>RDP Programme);</w:t>
      </w:r>
    </w:p>
    <w:p w14:paraId="372117F1" w14:textId="77777777" w:rsidR="002A0C94" w:rsidRPr="001D590D" w:rsidRDefault="002A0C94" w:rsidP="0055634E">
      <w:pPr>
        <w:pStyle w:val="ListParagraph"/>
        <w:numPr>
          <w:ilvl w:val="0"/>
          <w:numId w:val="2"/>
        </w:numPr>
        <w:spacing w:after="0"/>
        <w:ind w:left="720"/>
        <w:rPr>
          <w:rFonts w:cs="Arial"/>
        </w:rPr>
      </w:pPr>
      <w:r w:rsidRPr="001D590D">
        <w:rPr>
          <w:rFonts w:cs="Arial"/>
        </w:rPr>
        <w:t>The Individual Subsidy Scheme (Both credit-linked and not credit-linked); and</w:t>
      </w:r>
    </w:p>
    <w:p w14:paraId="0BA0444F" w14:textId="54B38412" w:rsidR="002A0C94" w:rsidRPr="001D590D" w:rsidRDefault="002A0C94" w:rsidP="0055634E">
      <w:pPr>
        <w:pStyle w:val="ListParagraph"/>
        <w:numPr>
          <w:ilvl w:val="0"/>
          <w:numId w:val="2"/>
        </w:numPr>
        <w:spacing w:after="0"/>
        <w:ind w:left="720"/>
        <w:rPr>
          <w:rFonts w:cs="Arial"/>
        </w:rPr>
      </w:pPr>
      <w:r w:rsidRPr="001D590D">
        <w:rPr>
          <w:rFonts w:cs="Arial"/>
        </w:rPr>
        <w:t xml:space="preserve">The </w:t>
      </w:r>
      <w:r w:rsidR="00AE1A8A" w:rsidRPr="001D590D">
        <w:rPr>
          <w:rFonts w:cs="Arial"/>
        </w:rPr>
        <w:t>E</w:t>
      </w:r>
      <w:r w:rsidR="00AE1A8A">
        <w:rPr>
          <w:rFonts w:cs="Arial"/>
        </w:rPr>
        <w:t>nhanced</w:t>
      </w:r>
      <w:r w:rsidR="00AE1A8A" w:rsidRPr="001D590D">
        <w:rPr>
          <w:rFonts w:cs="Arial"/>
        </w:rPr>
        <w:t xml:space="preserve"> </w:t>
      </w:r>
      <w:r w:rsidRPr="001D590D">
        <w:rPr>
          <w:rFonts w:cs="Arial"/>
        </w:rPr>
        <w:t xml:space="preserve">Peoples’ Housing Process Programme, that provides a framework for community and household engagement in the construction of </w:t>
      </w:r>
      <w:r w:rsidR="00E01C9B">
        <w:rPr>
          <w:rFonts w:cs="Arial"/>
        </w:rPr>
        <w:t>subsidized</w:t>
      </w:r>
      <w:r w:rsidRPr="001D590D">
        <w:rPr>
          <w:rFonts w:cs="Arial"/>
        </w:rPr>
        <w:t xml:space="preserve"> accommodation.</w:t>
      </w:r>
    </w:p>
    <w:p w14:paraId="291ACB4A" w14:textId="77777777" w:rsidR="00C70883" w:rsidRDefault="00C70883" w:rsidP="00C70883">
      <w:pPr>
        <w:spacing w:after="0" w:line="360" w:lineRule="auto"/>
        <w:rPr>
          <w:rFonts w:cs="Arial"/>
          <w:szCs w:val="22"/>
        </w:rPr>
      </w:pPr>
    </w:p>
    <w:p w14:paraId="47E1C63E" w14:textId="519CAB9B" w:rsidR="002A0C94" w:rsidRPr="001D590D" w:rsidRDefault="002A0C94" w:rsidP="00AE1A8A">
      <w:pPr>
        <w:spacing w:line="360" w:lineRule="auto"/>
        <w:rPr>
          <w:rFonts w:cs="Arial"/>
          <w:szCs w:val="22"/>
        </w:rPr>
      </w:pPr>
      <w:r w:rsidRPr="001D590D">
        <w:rPr>
          <w:rFonts w:cs="Arial"/>
          <w:szCs w:val="22"/>
        </w:rPr>
        <w:t>In addition to this, affordable rental housing was acknowledged as an important need.  As a result, the following rental housing programmes have been established:</w:t>
      </w:r>
    </w:p>
    <w:p w14:paraId="1443D338" w14:textId="133B9B77" w:rsidR="002A0C94" w:rsidRPr="001B6D28" w:rsidRDefault="002A0C94" w:rsidP="0055634E">
      <w:pPr>
        <w:pStyle w:val="ListParagraph"/>
        <w:numPr>
          <w:ilvl w:val="0"/>
          <w:numId w:val="3"/>
        </w:numPr>
        <w:spacing w:after="0"/>
        <w:ind w:left="720"/>
        <w:rPr>
          <w:rFonts w:cs="Arial"/>
        </w:rPr>
      </w:pPr>
      <w:r w:rsidRPr="001B6D28">
        <w:rPr>
          <w:rFonts w:cs="Arial"/>
        </w:rPr>
        <w:t>The Social Housing Programme, using the Recon</w:t>
      </w:r>
      <w:r w:rsidR="001B6D28" w:rsidRPr="001B6D28">
        <w:rPr>
          <w:rFonts w:cs="Arial"/>
        </w:rPr>
        <w:t xml:space="preserve">struction Capital Grant subsidy and the </w:t>
      </w:r>
      <w:r w:rsidRPr="001B6D28">
        <w:rPr>
          <w:rFonts w:cs="Arial"/>
        </w:rPr>
        <w:t xml:space="preserve">Institutional Subsidy Programme; and </w:t>
      </w:r>
    </w:p>
    <w:p w14:paraId="090ACF75" w14:textId="77777777" w:rsidR="002A0C94" w:rsidRPr="001D590D" w:rsidRDefault="002A0C94" w:rsidP="0055634E">
      <w:pPr>
        <w:pStyle w:val="ListParagraph"/>
        <w:numPr>
          <w:ilvl w:val="0"/>
          <w:numId w:val="3"/>
        </w:numPr>
        <w:spacing w:after="0"/>
        <w:ind w:left="720"/>
        <w:rPr>
          <w:rFonts w:cs="Arial"/>
        </w:rPr>
      </w:pPr>
      <w:r w:rsidRPr="001D590D">
        <w:rPr>
          <w:rFonts w:cs="Arial"/>
        </w:rPr>
        <w:t>The Community Residential Unit Programme</w:t>
      </w:r>
    </w:p>
    <w:p w14:paraId="68ED40EC" w14:textId="77777777" w:rsidR="00AE1A8A" w:rsidRDefault="00AE1A8A" w:rsidP="00250EA9">
      <w:pPr>
        <w:spacing w:after="0" w:line="360" w:lineRule="auto"/>
        <w:rPr>
          <w:rFonts w:cs="Arial"/>
          <w:szCs w:val="22"/>
        </w:rPr>
      </w:pPr>
    </w:p>
    <w:p w14:paraId="63BA92CA" w14:textId="3EBE774F" w:rsidR="002A0C94" w:rsidRPr="001D590D" w:rsidRDefault="001B6D28" w:rsidP="00250EA9">
      <w:pPr>
        <w:spacing w:line="360" w:lineRule="auto"/>
        <w:rPr>
          <w:rFonts w:cs="Arial"/>
          <w:szCs w:val="22"/>
        </w:rPr>
      </w:pPr>
      <w:r>
        <w:rPr>
          <w:rFonts w:cs="Arial"/>
          <w:szCs w:val="22"/>
        </w:rPr>
        <w:t>R</w:t>
      </w:r>
      <w:r w:rsidR="002A0C94" w:rsidRPr="001D590D">
        <w:rPr>
          <w:rFonts w:cs="Arial"/>
          <w:szCs w:val="22"/>
        </w:rPr>
        <w:t xml:space="preserve">ural delivery has also been an important focus area. This has been driven through the Rural Housing </w:t>
      </w:r>
      <w:r w:rsidR="008323F7" w:rsidRPr="001D590D">
        <w:rPr>
          <w:rFonts w:cs="Arial"/>
          <w:szCs w:val="22"/>
        </w:rPr>
        <w:t>Programme</w:t>
      </w:r>
      <w:r w:rsidR="002A0C94" w:rsidRPr="001D590D">
        <w:rPr>
          <w:rFonts w:cs="Arial"/>
          <w:szCs w:val="22"/>
        </w:rPr>
        <w:t xml:space="preserve"> (which covers both interventions for farmworkers and households on communal land).</w:t>
      </w:r>
    </w:p>
    <w:p w14:paraId="079E3A02" w14:textId="77777777" w:rsidR="002A0C94" w:rsidRPr="00DB73F4" w:rsidRDefault="002A0C94" w:rsidP="00727BFC">
      <w:pPr>
        <w:pStyle w:val="Heading3"/>
        <w:rPr>
          <w:highlight w:val="yellow"/>
        </w:rPr>
      </w:pPr>
      <w:bookmarkStart w:id="77" w:name="_Toc261617578"/>
      <w:bookmarkStart w:id="78" w:name="_Toc262067793"/>
      <w:bookmarkStart w:id="79" w:name="_Toc262068119"/>
      <w:r w:rsidRPr="00DB73F4">
        <w:rPr>
          <w:highlight w:val="yellow"/>
        </w:rPr>
        <w:t>Rationale for Informal Settlement Upgrading</w:t>
      </w:r>
      <w:bookmarkEnd w:id="77"/>
      <w:bookmarkEnd w:id="78"/>
      <w:bookmarkEnd w:id="79"/>
    </w:p>
    <w:p w14:paraId="5C242469" w14:textId="2A05C0AD" w:rsidR="002A0C94" w:rsidRPr="001D590D" w:rsidRDefault="002A0C94" w:rsidP="00AE1A8A">
      <w:pPr>
        <w:spacing w:line="360" w:lineRule="auto"/>
        <w:rPr>
          <w:rFonts w:cs="Arial"/>
          <w:szCs w:val="22"/>
        </w:rPr>
      </w:pPr>
      <w:r w:rsidRPr="00DB73F4">
        <w:rPr>
          <w:rFonts w:cs="Arial"/>
          <w:szCs w:val="22"/>
          <w:highlight w:val="yellow"/>
        </w:rPr>
        <w:t xml:space="preserve">Throughout the first fifteen years of housing delivery in South Africa, certain core concerns remained: </w:t>
      </w:r>
      <w:r w:rsidR="00AE1A8A" w:rsidRPr="00DB73F4">
        <w:rPr>
          <w:rFonts w:cs="Arial"/>
          <w:szCs w:val="22"/>
          <w:highlight w:val="yellow"/>
        </w:rPr>
        <w:t>firstly</w:t>
      </w:r>
      <w:r w:rsidRPr="00DB73F4">
        <w:rPr>
          <w:rFonts w:cs="Arial"/>
          <w:szCs w:val="22"/>
          <w:highlight w:val="yellow"/>
        </w:rPr>
        <w:t xml:space="preserve">, how to develop a fiscally sustainable human settlements programme that can deliver sufficient housing opportunities to speed up the entire delivery process </w:t>
      </w:r>
      <w:r w:rsidR="00AE1A8A" w:rsidRPr="00DB73F4">
        <w:rPr>
          <w:rFonts w:cs="Arial"/>
          <w:szCs w:val="22"/>
          <w:highlight w:val="yellow"/>
        </w:rPr>
        <w:t xml:space="preserve">and </w:t>
      </w:r>
      <w:r w:rsidRPr="00DB73F4">
        <w:rPr>
          <w:rFonts w:cs="Arial"/>
          <w:szCs w:val="22"/>
          <w:highlight w:val="yellow"/>
        </w:rPr>
        <w:t xml:space="preserve">make in-roads into the calculated ‘backlog’; </w:t>
      </w:r>
      <w:r w:rsidR="00AE1A8A" w:rsidRPr="00DB73F4">
        <w:rPr>
          <w:rFonts w:cs="Arial"/>
          <w:szCs w:val="22"/>
          <w:highlight w:val="yellow"/>
        </w:rPr>
        <w:t>secondly</w:t>
      </w:r>
      <w:r w:rsidRPr="00DB73F4">
        <w:rPr>
          <w:rFonts w:cs="Arial"/>
          <w:szCs w:val="22"/>
          <w:highlight w:val="yellow"/>
        </w:rPr>
        <w:t>, how to rapidly meet the needs of households living in informal settlements and backyards</w:t>
      </w:r>
      <w:r w:rsidR="00AE1A8A" w:rsidRPr="00DB73F4">
        <w:rPr>
          <w:rFonts w:cs="Arial"/>
          <w:szCs w:val="22"/>
          <w:highlight w:val="yellow"/>
        </w:rPr>
        <w:t>,</w:t>
      </w:r>
      <w:r w:rsidRPr="00DB73F4">
        <w:rPr>
          <w:rFonts w:cs="Arial"/>
          <w:szCs w:val="22"/>
          <w:highlight w:val="yellow"/>
        </w:rPr>
        <w:t xml:space="preserve"> without relocating them where possible; </w:t>
      </w:r>
      <w:r w:rsidR="00AE1A8A" w:rsidRPr="00DB73F4">
        <w:rPr>
          <w:rFonts w:cs="Arial"/>
          <w:szCs w:val="22"/>
          <w:highlight w:val="yellow"/>
        </w:rPr>
        <w:t>thirdly</w:t>
      </w:r>
      <w:r w:rsidRPr="00DB73F4">
        <w:rPr>
          <w:rFonts w:cs="Arial"/>
          <w:szCs w:val="22"/>
          <w:highlight w:val="yellow"/>
        </w:rPr>
        <w:t xml:space="preserve">, how to make use of the relatively well-located land on which many informal settlements are located; and </w:t>
      </w:r>
      <w:r w:rsidR="00AE1A8A" w:rsidRPr="00DB73F4">
        <w:rPr>
          <w:rFonts w:cs="Arial"/>
          <w:szCs w:val="22"/>
          <w:highlight w:val="yellow"/>
        </w:rPr>
        <w:t>fourthly</w:t>
      </w:r>
      <w:r w:rsidRPr="00DB73F4">
        <w:rPr>
          <w:rFonts w:cs="Arial"/>
          <w:szCs w:val="22"/>
          <w:highlight w:val="yellow"/>
        </w:rPr>
        <w:t>, how to better engage communities and households in the process of developing and improving their tenure, service access and accommodation conditions.</w:t>
      </w:r>
      <w:r w:rsidRPr="001D590D">
        <w:rPr>
          <w:rFonts w:cs="Arial"/>
          <w:szCs w:val="22"/>
        </w:rPr>
        <w:t xml:space="preserve"> </w:t>
      </w:r>
    </w:p>
    <w:p w14:paraId="1539BF23" w14:textId="77777777" w:rsidR="002A0C94" w:rsidRPr="001D590D" w:rsidRDefault="002A0C94" w:rsidP="00727BFC">
      <w:pPr>
        <w:pStyle w:val="Heading3"/>
      </w:pPr>
      <w:bookmarkStart w:id="80" w:name="_Toc261617579"/>
      <w:bookmarkStart w:id="81" w:name="_Toc262067794"/>
      <w:bookmarkStart w:id="82" w:name="_Toc262068120"/>
      <w:r w:rsidRPr="001D590D">
        <w:t>Application of Programmes to Informal Settlement Upgrading</w:t>
      </w:r>
      <w:bookmarkEnd w:id="80"/>
      <w:bookmarkEnd w:id="81"/>
      <w:bookmarkEnd w:id="82"/>
    </w:p>
    <w:p w14:paraId="636657E3" w14:textId="34163FF1" w:rsidR="002A0C94" w:rsidRPr="001D590D" w:rsidRDefault="002A0C94" w:rsidP="00AE1A8A">
      <w:pPr>
        <w:spacing w:line="360" w:lineRule="auto"/>
        <w:rPr>
          <w:rFonts w:cs="Arial"/>
          <w:szCs w:val="22"/>
        </w:rPr>
      </w:pPr>
      <w:r w:rsidRPr="001D590D">
        <w:rPr>
          <w:rFonts w:cs="Arial"/>
          <w:szCs w:val="22"/>
        </w:rPr>
        <w:t>It was intended that the upgrading of informal settlements would be driven through the Upgrading of Informal Settlements Programme</w:t>
      </w:r>
      <w:r w:rsidR="005A7B45">
        <w:rPr>
          <w:rFonts w:cs="Arial"/>
          <w:szCs w:val="22"/>
        </w:rPr>
        <w:t xml:space="preserve"> (UISP)</w:t>
      </w:r>
      <w:r w:rsidRPr="001D590D">
        <w:rPr>
          <w:rFonts w:cs="Arial"/>
          <w:szCs w:val="22"/>
        </w:rPr>
        <w:t xml:space="preserve">, introduced in </w:t>
      </w:r>
      <w:r w:rsidRPr="003F5CE4">
        <w:rPr>
          <w:rFonts w:cs="Arial"/>
          <w:szCs w:val="22"/>
        </w:rPr>
        <w:t>200</w:t>
      </w:r>
      <w:r w:rsidR="001B6D28" w:rsidRPr="003F5CE4">
        <w:rPr>
          <w:rFonts w:cs="Arial"/>
          <w:szCs w:val="22"/>
        </w:rPr>
        <w:t>9</w:t>
      </w:r>
      <w:r w:rsidRPr="001D590D">
        <w:rPr>
          <w:rFonts w:cs="Arial"/>
          <w:szCs w:val="22"/>
        </w:rPr>
        <w:t xml:space="preserve"> based on </w:t>
      </w:r>
      <w:r w:rsidR="005A7B45">
        <w:rPr>
          <w:rFonts w:cs="Arial"/>
          <w:szCs w:val="22"/>
        </w:rPr>
        <w:t>BNG</w:t>
      </w:r>
      <w:r w:rsidRPr="001D590D">
        <w:rPr>
          <w:rFonts w:cs="Arial"/>
          <w:szCs w:val="22"/>
        </w:rPr>
        <w:t xml:space="preserve">. </w:t>
      </w:r>
      <w:r w:rsidRPr="001D590D">
        <w:rPr>
          <w:rFonts w:cs="Arial"/>
          <w:szCs w:val="22"/>
        </w:rPr>
        <w:lastRenderedPageBreak/>
        <w:t xml:space="preserve">However, the Outcome 8 targets have </w:t>
      </w:r>
      <w:r w:rsidR="005A7B45">
        <w:rPr>
          <w:rFonts w:cs="Arial"/>
          <w:szCs w:val="22"/>
        </w:rPr>
        <w:t xml:space="preserve">subsequently </w:t>
      </w:r>
      <w:r w:rsidRPr="001D590D">
        <w:rPr>
          <w:rFonts w:cs="Arial"/>
          <w:szCs w:val="22"/>
        </w:rPr>
        <w:t>been interpreted to mean that both greenfields and in</w:t>
      </w:r>
      <w:r w:rsidR="005A7B45">
        <w:rPr>
          <w:rFonts w:cs="Arial"/>
          <w:szCs w:val="22"/>
        </w:rPr>
        <w:t xml:space="preserve"> </w:t>
      </w:r>
      <w:r w:rsidRPr="001D590D">
        <w:rPr>
          <w:rFonts w:cs="Arial"/>
          <w:szCs w:val="22"/>
        </w:rPr>
        <w:t>situ housing delivery count towards this target. As a consequence, currently a wide range of programmes are used to deliver on the Outcome 8 targets, including the following:</w:t>
      </w:r>
    </w:p>
    <w:p w14:paraId="684685D1" w14:textId="77777777" w:rsidR="002A0C94" w:rsidRPr="001D590D" w:rsidRDefault="002A0C94" w:rsidP="0055634E">
      <w:pPr>
        <w:pStyle w:val="ListParagraph"/>
        <w:numPr>
          <w:ilvl w:val="0"/>
          <w:numId w:val="4"/>
        </w:numPr>
        <w:spacing w:after="0"/>
        <w:ind w:left="720"/>
        <w:rPr>
          <w:rFonts w:cs="Arial"/>
        </w:rPr>
      </w:pPr>
      <w:r w:rsidRPr="001D590D">
        <w:rPr>
          <w:rFonts w:cs="Arial"/>
        </w:rPr>
        <w:t>The Upgrading of Informal Settlements Programme;</w:t>
      </w:r>
    </w:p>
    <w:p w14:paraId="74888168" w14:textId="77777777" w:rsidR="002A0C94" w:rsidRPr="001D590D" w:rsidRDefault="002A0C94" w:rsidP="0055634E">
      <w:pPr>
        <w:pStyle w:val="ListParagraph"/>
        <w:numPr>
          <w:ilvl w:val="0"/>
          <w:numId w:val="4"/>
        </w:numPr>
        <w:spacing w:after="0"/>
        <w:ind w:left="720"/>
        <w:rPr>
          <w:rFonts w:cs="Arial"/>
        </w:rPr>
      </w:pPr>
      <w:r w:rsidRPr="001D590D">
        <w:rPr>
          <w:rFonts w:cs="Arial"/>
        </w:rPr>
        <w:t>The Integrated Residential Development Programme;</w:t>
      </w:r>
    </w:p>
    <w:p w14:paraId="33D974DC" w14:textId="77777777" w:rsidR="002A0C94" w:rsidRPr="001D590D" w:rsidRDefault="002A0C94" w:rsidP="0055634E">
      <w:pPr>
        <w:pStyle w:val="ListParagraph"/>
        <w:numPr>
          <w:ilvl w:val="0"/>
          <w:numId w:val="4"/>
        </w:numPr>
        <w:spacing w:after="0"/>
        <w:ind w:left="720"/>
        <w:rPr>
          <w:rFonts w:cs="Arial"/>
        </w:rPr>
      </w:pPr>
      <w:r w:rsidRPr="001D590D">
        <w:rPr>
          <w:rFonts w:cs="Arial"/>
        </w:rPr>
        <w:t>The Emergency Housing Programme (which focuses on the delivery of a basic level of interim services in areas of deprivation such as informal settlements);</w:t>
      </w:r>
    </w:p>
    <w:p w14:paraId="3864DBFD" w14:textId="549FD465" w:rsidR="002A0C94" w:rsidRPr="001D590D" w:rsidRDefault="002A0C94" w:rsidP="0055634E">
      <w:pPr>
        <w:pStyle w:val="ListParagraph"/>
        <w:numPr>
          <w:ilvl w:val="0"/>
          <w:numId w:val="4"/>
        </w:numPr>
        <w:spacing w:after="0"/>
        <w:ind w:left="720"/>
        <w:rPr>
          <w:rFonts w:cs="Arial"/>
        </w:rPr>
      </w:pPr>
      <w:r w:rsidRPr="001D590D">
        <w:rPr>
          <w:rFonts w:cs="Arial"/>
        </w:rPr>
        <w:t xml:space="preserve">The </w:t>
      </w:r>
      <w:r w:rsidR="005A7B45" w:rsidRPr="001D590D">
        <w:rPr>
          <w:rFonts w:cs="Arial"/>
        </w:rPr>
        <w:t>E</w:t>
      </w:r>
      <w:r w:rsidR="005A7B45">
        <w:rPr>
          <w:rFonts w:cs="Arial"/>
        </w:rPr>
        <w:t>nhanced</w:t>
      </w:r>
      <w:r w:rsidR="005A7B45" w:rsidRPr="001D590D">
        <w:rPr>
          <w:rFonts w:cs="Arial"/>
        </w:rPr>
        <w:t xml:space="preserve"> </w:t>
      </w:r>
      <w:r w:rsidRPr="001D590D">
        <w:rPr>
          <w:rFonts w:cs="Arial"/>
        </w:rPr>
        <w:t>Peoples’ Housing Process;</w:t>
      </w:r>
    </w:p>
    <w:p w14:paraId="253BD2B3" w14:textId="77777777" w:rsidR="00F83D8D" w:rsidRDefault="002A0C94" w:rsidP="0055634E">
      <w:pPr>
        <w:pStyle w:val="ListParagraph"/>
        <w:numPr>
          <w:ilvl w:val="0"/>
          <w:numId w:val="4"/>
        </w:numPr>
        <w:spacing w:after="0"/>
        <w:ind w:left="720"/>
        <w:rPr>
          <w:rFonts w:cs="Arial"/>
        </w:rPr>
      </w:pPr>
      <w:r w:rsidRPr="00F83D8D">
        <w:rPr>
          <w:rFonts w:cs="Arial"/>
        </w:rPr>
        <w:t>The Rural Housing Programme (Communal Land Rights);</w:t>
      </w:r>
    </w:p>
    <w:p w14:paraId="23692F98" w14:textId="6F9A5A65" w:rsidR="002A0C94" w:rsidRPr="00F83D8D" w:rsidRDefault="00F83D8D" w:rsidP="0055634E">
      <w:pPr>
        <w:pStyle w:val="ListParagraph"/>
        <w:numPr>
          <w:ilvl w:val="0"/>
          <w:numId w:val="4"/>
        </w:numPr>
        <w:spacing w:after="0"/>
        <w:ind w:left="720"/>
        <w:rPr>
          <w:rFonts w:cs="Arial"/>
        </w:rPr>
      </w:pPr>
      <w:r>
        <w:rPr>
          <w:rFonts w:cs="Arial"/>
        </w:rPr>
        <w:t>Rental housing programmes;</w:t>
      </w:r>
      <w:r w:rsidR="002A0C94" w:rsidRPr="00F83D8D">
        <w:rPr>
          <w:rFonts w:cs="Arial"/>
        </w:rPr>
        <w:t xml:space="preserve"> and</w:t>
      </w:r>
    </w:p>
    <w:p w14:paraId="436100F6" w14:textId="586EDB3C" w:rsidR="002A0C94" w:rsidRPr="001B6D28" w:rsidRDefault="002A0C94" w:rsidP="0055634E">
      <w:pPr>
        <w:pStyle w:val="ListParagraph"/>
        <w:numPr>
          <w:ilvl w:val="0"/>
          <w:numId w:val="4"/>
        </w:numPr>
        <w:spacing w:after="0"/>
        <w:ind w:left="720"/>
        <w:rPr>
          <w:rFonts w:cs="Arial"/>
        </w:rPr>
      </w:pPr>
      <w:r w:rsidRPr="001B6D28">
        <w:rPr>
          <w:rFonts w:cs="Arial"/>
        </w:rPr>
        <w:t>The U</w:t>
      </w:r>
      <w:r w:rsidR="007E2E7D">
        <w:rPr>
          <w:rFonts w:cs="Arial"/>
        </w:rPr>
        <w:t>rban Services Development Grant.</w:t>
      </w:r>
      <w:r w:rsidRPr="001B6D28">
        <w:rPr>
          <w:rFonts w:cs="Arial"/>
        </w:rPr>
        <w:t xml:space="preserve"> </w:t>
      </w:r>
    </w:p>
    <w:p w14:paraId="6B4C81DB" w14:textId="77777777" w:rsidR="00783110" w:rsidRDefault="00783110" w:rsidP="005A7B45">
      <w:pPr>
        <w:spacing w:line="360" w:lineRule="auto"/>
        <w:rPr>
          <w:rFonts w:cs="Arial"/>
          <w:szCs w:val="22"/>
        </w:rPr>
      </w:pPr>
    </w:p>
    <w:p w14:paraId="63CA4327" w14:textId="5C4CDB7C" w:rsidR="002A0C94" w:rsidRPr="001D590D" w:rsidRDefault="002A0C94" w:rsidP="005A7B45">
      <w:pPr>
        <w:spacing w:line="360" w:lineRule="auto"/>
        <w:rPr>
          <w:rFonts w:cs="Arial"/>
          <w:szCs w:val="22"/>
        </w:rPr>
      </w:pPr>
      <w:r w:rsidRPr="001D590D">
        <w:rPr>
          <w:rFonts w:cs="Arial"/>
          <w:szCs w:val="22"/>
        </w:rPr>
        <w:t xml:space="preserve">The general application of these programmes to households within informal settlements is outlined in </w:t>
      </w:r>
      <w:r w:rsidRPr="00F83D8D">
        <w:rPr>
          <w:rFonts w:cs="Arial"/>
          <w:b/>
          <w:szCs w:val="22"/>
        </w:rPr>
        <w:t>Table</w:t>
      </w:r>
      <w:r w:rsidR="00F83D8D" w:rsidRPr="00F83D8D">
        <w:rPr>
          <w:rFonts w:cs="Arial"/>
          <w:b/>
          <w:szCs w:val="22"/>
        </w:rPr>
        <w:t xml:space="preserve"> 1</w:t>
      </w:r>
      <w:r w:rsidRPr="001D590D">
        <w:rPr>
          <w:rFonts w:cs="Arial"/>
          <w:szCs w:val="22"/>
        </w:rPr>
        <w:t xml:space="preserve"> overleaf. </w:t>
      </w:r>
    </w:p>
    <w:p w14:paraId="5D88A3D3" w14:textId="70115E05" w:rsidR="00783110" w:rsidRDefault="00CB1A48" w:rsidP="00CB1A48">
      <w:pPr>
        <w:spacing w:line="360" w:lineRule="auto"/>
        <w:rPr>
          <w:rFonts w:cs="Arial"/>
          <w:szCs w:val="22"/>
        </w:rPr>
      </w:pPr>
      <w:r w:rsidRPr="001D590D">
        <w:rPr>
          <w:rFonts w:cs="Arial"/>
          <w:szCs w:val="22"/>
        </w:rPr>
        <w:t xml:space="preserve">There are many reasons for the application of multiple programmes to </w:t>
      </w:r>
      <w:r>
        <w:rPr>
          <w:rFonts w:cs="Arial"/>
          <w:szCs w:val="22"/>
        </w:rPr>
        <w:t xml:space="preserve">be used for </w:t>
      </w:r>
      <w:r w:rsidRPr="001D590D">
        <w:rPr>
          <w:rFonts w:cs="Arial"/>
          <w:szCs w:val="22"/>
        </w:rPr>
        <w:t xml:space="preserve">upgrading. </w:t>
      </w:r>
      <w:r>
        <w:rPr>
          <w:rFonts w:cs="Arial"/>
          <w:szCs w:val="22"/>
        </w:rPr>
        <w:t>Firstly, t</w:t>
      </w:r>
      <w:r w:rsidRPr="001D590D">
        <w:rPr>
          <w:rFonts w:cs="Arial"/>
          <w:szCs w:val="22"/>
        </w:rPr>
        <w:t>here is a familiarity with</w:t>
      </w:r>
      <w:r>
        <w:rPr>
          <w:rFonts w:cs="Arial"/>
          <w:szCs w:val="22"/>
        </w:rPr>
        <w:t xml:space="preserve">in </w:t>
      </w:r>
      <w:r w:rsidRPr="001D590D">
        <w:rPr>
          <w:rFonts w:cs="Arial"/>
          <w:szCs w:val="22"/>
        </w:rPr>
        <w:t xml:space="preserve">delivery agencies with the policies and funding instruments they have used in the past, which means that these programmes are often applied instead of the specific programme targeted.  </w:t>
      </w:r>
      <w:r>
        <w:rPr>
          <w:rFonts w:cs="Arial"/>
          <w:szCs w:val="22"/>
        </w:rPr>
        <w:t xml:space="preserve">Secondly, </w:t>
      </w:r>
      <w:r w:rsidRPr="001D590D">
        <w:rPr>
          <w:rFonts w:cs="Arial"/>
          <w:szCs w:val="22"/>
        </w:rPr>
        <w:t>the long pr</w:t>
      </w:r>
      <w:r>
        <w:rPr>
          <w:rFonts w:cs="Arial"/>
          <w:szCs w:val="22"/>
        </w:rPr>
        <w:t>oject cycle in human settlement development means that</w:t>
      </w:r>
      <w:r w:rsidRPr="001D590D">
        <w:rPr>
          <w:rFonts w:cs="Arial"/>
          <w:szCs w:val="22"/>
        </w:rPr>
        <w:t xml:space="preserve"> </w:t>
      </w:r>
      <w:r w:rsidR="00783110">
        <w:rPr>
          <w:rFonts w:cs="Arial"/>
          <w:szCs w:val="22"/>
        </w:rPr>
        <w:t xml:space="preserve">upgrading </w:t>
      </w:r>
      <w:r w:rsidRPr="001D590D">
        <w:rPr>
          <w:rFonts w:cs="Arial"/>
          <w:szCs w:val="22"/>
        </w:rPr>
        <w:t xml:space="preserve">projects take between three and seven years to be completed, implying that most projects delivered over the first Outcome 8 period (2010 to 2014) were commenced prior to the targets.  </w:t>
      </w:r>
      <w:r w:rsidR="00783110">
        <w:rPr>
          <w:rFonts w:cs="Arial"/>
          <w:szCs w:val="22"/>
        </w:rPr>
        <w:t xml:space="preserve">Therefore, other programmes are rather applied to upgrading that are quicker to implement, and there has not yet been sufficient time under the Outcome 8 delivery period to initiate and complete upgrading projects on scale. </w:t>
      </w:r>
    </w:p>
    <w:p w14:paraId="176CBB00" w14:textId="5E01CEE3" w:rsidR="00CB1A48" w:rsidRPr="001D590D" w:rsidRDefault="00CB1A48" w:rsidP="00CB1A48">
      <w:pPr>
        <w:spacing w:line="360" w:lineRule="auto"/>
        <w:rPr>
          <w:rFonts w:cs="Arial"/>
          <w:szCs w:val="22"/>
        </w:rPr>
      </w:pPr>
      <w:r w:rsidRPr="001D590D">
        <w:rPr>
          <w:rFonts w:cs="Arial"/>
          <w:szCs w:val="22"/>
        </w:rPr>
        <w:t xml:space="preserve">A </w:t>
      </w:r>
      <w:r>
        <w:rPr>
          <w:rFonts w:cs="Arial"/>
          <w:szCs w:val="22"/>
        </w:rPr>
        <w:t xml:space="preserve">further, practical </w:t>
      </w:r>
      <w:r w:rsidRPr="001D590D">
        <w:rPr>
          <w:rFonts w:cs="Arial"/>
          <w:szCs w:val="22"/>
        </w:rPr>
        <w:t>consideration is the need to cater for in</w:t>
      </w:r>
      <w:r>
        <w:rPr>
          <w:rFonts w:cs="Arial"/>
          <w:szCs w:val="22"/>
        </w:rPr>
        <w:t xml:space="preserve"> </w:t>
      </w:r>
      <w:r w:rsidRPr="001D590D">
        <w:rPr>
          <w:rFonts w:cs="Arial"/>
          <w:szCs w:val="22"/>
        </w:rPr>
        <w:t xml:space="preserve">situ upgrading of households, as well as to construct additional greenfields housing for households displaced from informal settlements during the upgrading process. </w:t>
      </w:r>
      <w:r>
        <w:rPr>
          <w:rFonts w:cs="Arial"/>
          <w:szCs w:val="22"/>
        </w:rPr>
        <w:t>Furthermore,</w:t>
      </w:r>
      <w:r w:rsidRPr="001D590D">
        <w:rPr>
          <w:rFonts w:cs="Arial"/>
          <w:szCs w:val="22"/>
        </w:rPr>
        <w:t xml:space="preserve"> the UISP does not currently provide funding for house development, leading implementing agents to apply other top structure funding instruments such as the IRDP programme to build houses within upgraded areas. There is also a wide application of the principle of upgrading of informal settlements that currently </w:t>
      </w:r>
      <w:r w:rsidR="00E01C9B" w:rsidRPr="001D590D">
        <w:rPr>
          <w:rFonts w:cs="Arial"/>
          <w:szCs w:val="22"/>
        </w:rPr>
        <w:t>include</w:t>
      </w:r>
      <w:r w:rsidR="00E01C9B">
        <w:rPr>
          <w:rFonts w:cs="Arial"/>
          <w:szCs w:val="22"/>
        </w:rPr>
        <w:t>s</w:t>
      </w:r>
      <w:r w:rsidR="00E01C9B" w:rsidRPr="001D590D" w:rsidDel="005A7B45">
        <w:rPr>
          <w:rFonts w:cs="Arial"/>
          <w:szCs w:val="22"/>
        </w:rPr>
        <w:t xml:space="preserve"> </w:t>
      </w:r>
      <w:r w:rsidR="00E01C9B" w:rsidRPr="001D590D">
        <w:rPr>
          <w:rFonts w:cs="Arial"/>
          <w:szCs w:val="22"/>
        </w:rPr>
        <w:t>provision</w:t>
      </w:r>
      <w:r w:rsidRPr="001D590D">
        <w:rPr>
          <w:rFonts w:cs="Arial"/>
          <w:szCs w:val="22"/>
        </w:rPr>
        <w:t xml:space="preserve"> of services and top structures in rural settlements with communal land rights.</w:t>
      </w:r>
    </w:p>
    <w:p w14:paraId="43E324EF" w14:textId="77777777" w:rsidR="002A0C94" w:rsidRPr="001D590D" w:rsidRDefault="002A0C94" w:rsidP="002A0C94">
      <w:pPr>
        <w:rPr>
          <w:rFonts w:cs="Arial"/>
          <w:szCs w:val="22"/>
        </w:rPr>
        <w:sectPr w:rsidR="002A0C94" w:rsidRPr="001D590D" w:rsidSect="008979F8">
          <w:pgSz w:w="12240" w:h="15840" w:code="1"/>
          <w:pgMar w:top="1440" w:right="1440" w:bottom="1440" w:left="1440" w:header="851" w:footer="851" w:gutter="0"/>
          <w:cols w:space="720"/>
          <w:docGrid w:linePitch="360"/>
        </w:sectPr>
      </w:pPr>
    </w:p>
    <w:p w14:paraId="5F7AC69F" w14:textId="18A1B8C3" w:rsidR="004A5492" w:rsidRPr="00A0532A" w:rsidRDefault="004A5492" w:rsidP="00CF1919">
      <w:pPr>
        <w:pStyle w:val="Caption"/>
      </w:pPr>
      <w:bookmarkStart w:id="83" w:name="_Toc270945492"/>
      <w:r w:rsidRPr="00A0532A">
        <w:lastRenderedPageBreak/>
        <w:t xml:space="preserve">Table </w:t>
      </w:r>
      <w:r w:rsidRPr="00A0532A">
        <w:fldChar w:fldCharType="begin"/>
      </w:r>
      <w:r w:rsidRPr="00A0532A">
        <w:instrText xml:space="preserve"> SEQ Table \* ARABIC </w:instrText>
      </w:r>
      <w:r w:rsidRPr="00A0532A">
        <w:fldChar w:fldCharType="separate"/>
      </w:r>
      <w:r w:rsidR="00E9048A">
        <w:rPr>
          <w:noProof/>
        </w:rPr>
        <w:t>1</w:t>
      </w:r>
      <w:r w:rsidRPr="00A0532A">
        <w:rPr>
          <w:noProof/>
        </w:rPr>
        <w:fldChar w:fldCharType="end"/>
      </w:r>
      <w:r w:rsidRPr="00A0532A">
        <w:t xml:space="preserve">: </w:t>
      </w:r>
      <w:r w:rsidRPr="00ED3E9D">
        <w:rPr>
          <w:highlight w:val="yellow"/>
        </w:rPr>
        <w:t xml:space="preserve">Framework of Subsidy Programmes </w:t>
      </w:r>
      <w:r w:rsidR="005F182F" w:rsidRPr="00ED3E9D">
        <w:rPr>
          <w:highlight w:val="yellow"/>
        </w:rPr>
        <w:t>Most Often Used</w:t>
      </w:r>
      <w:r w:rsidRPr="00ED3E9D">
        <w:rPr>
          <w:highlight w:val="yellow"/>
        </w:rPr>
        <w:t xml:space="preserve"> for Informal Settlement Delivery</w:t>
      </w:r>
      <w:bookmarkEnd w:id="83"/>
    </w:p>
    <w:tbl>
      <w:tblPr>
        <w:tblW w:w="13807" w:type="dxa"/>
        <w:tblCellMar>
          <w:left w:w="0" w:type="dxa"/>
          <w:right w:w="0" w:type="dxa"/>
        </w:tblCellMar>
        <w:tblLook w:val="04A0" w:firstRow="1" w:lastRow="0" w:firstColumn="1" w:lastColumn="0" w:noHBand="0" w:noVBand="1"/>
      </w:tblPr>
      <w:tblGrid>
        <w:gridCol w:w="1823"/>
        <w:gridCol w:w="2487"/>
        <w:gridCol w:w="2268"/>
        <w:gridCol w:w="2551"/>
        <w:gridCol w:w="2410"/>
        <w:gridCol w:w="2268"/>
      </w:tblGrid>
      <w:tr w:rsidR="000F69A3" w:rsidRPr="00CC67C7" w14:paraId="5CFB1CB8" w14:textId="77777777" w:rsidTr="005F182F">
        <w:trPr>
          <w:trHeight w:val="454"/>
          <w:tblHeader/>
        </w:trPr>
        <w:tc>
          <w:tcPr>
            <w:tcW w:w="1823" w:type="dxa"/>
            <w:tcBorders>
              <w:top w:val="single" w:sz="8" w:space="0" w:color="000000"/>
              <w:left w:val="single" w:sz="8" w:space="0" w:color="000000"/>
              <w:bottom w:val="single" w:sz="8" w:space="0" w:color="000000"/>
              <w:right w:val="single" w:sz="8" w:space="0" w:color="000000"/>
            </w:tcBorders>
            <w:shd w:val="clear" w:color="auto" w:fill="C4BD97"/>
            <w:tcMar>
              <w:top w:w="57" w:type="dxa"/>
              <w:left w:w="57" w:type="dxa"/>
              <w:bottom w:w="57" w:type="dxa"/>
              <w:right w:w="57" w:type="dxa"/>
            </w:tcMar>
            <w:hideMark/>
          </w:tcPr>
          <w:p w14:paraId="652011AD" w14:textId="77777777" w:rsidR="002A0C94" w:rsidRPr="00CC67C7" w:rsidRDefault="002A0C94" w:rsidP="005F182F">
            <w:pPr>
              <w:jc w:val="left"/>
              <w:rPr>
                <w:rFonts w:cs="Arial"/>
                <w:sz w:val="16"/>
                <w:szCs w:val="16"/>
                <w:lang w:val="en-US"/>
              </w:rPr>
            </w:pPr>
            <w:r w:rsidRPr="00CC67C7">
              <w:rPr>
                <w:rFonts w:cs="Arial"/>
                <w:b/>
                <w:bCs/>
                <w:sz w:val="16"/>
                <w:szCs w:val="16"/>
              </w:rPr>
              <w:t>Programme</w:t>
            </w:r>
          </w:p>
        </w:tc>
        <w:tc>
          <w:tcPr>
            <w:tcW w:w="2487" w:type="dxa"/>
            <w:tcBorders>
              <w:top w:val="single" w:sz="8" w:space="0" w:color="000000"/>
              <w:left w:val="single" w:sz="8" w:space="0" w:color="000000"/>
              <w:bottom w:val="single" w:sz="8" w:space="0" w:color="000000"/>
              <w:right w:val="single" w:sz="8" w:space="0" w:color="000000"/>
            </w:tcBorders>
            <w:shd w:val="clear" w:color="auto" w:fill="C4BD97"/>
            <w:tcMar>
              <w:top w:w="57" w:type="dxa"/>
              <w:left w:w="57" w:type="dxa"/>
              <w:bottom w:w="57" w:type="dxa"/>
              <w:right w:w="57" w:type="dxa"/>
            </w:tcMar>
            <w:hideMark/>
          </w:tcPr>
          <w:p w14:paraId="1A5319AE" w14:textId="77777777" w:rsidR="002A0C94" w:rsidRPr="00CC67C7" w:rsidRDefault="002A0C94" w:rsidP="005F182F">
            <w:pPr>
              <w:jc w:val="left"/>
              <w:rPr>
                <w:rFonts w:cs="Arial"/>
                <w:sz w:val="16"/>
                <w:szCs w:val="16"/>
                <w:lang w:val="en-US"/>
              </w:rPr>
            </w:pPr>
            <w:r w:rsidRPr="00CC67C7">
              <w:rPr>
                <w:rFonts w:cs="Arial"/>
                <w:b/>
                <w:bCs/>
                <w:sz w:val="16"/>
                <w:szCs w:val="16"/>
              </w:rPr>
              <w:t>Intended Use</w:t>
            </w:r>
          </w:p>
        </w:tc>
        <w:tc>
          <w:tcPr>
            <w:tcW w:w="2268" w:type="dxa"/>
            <w:tcBorders>
              <w:top w:val="single" w:sz="8" w:space="0" w:color="000000"/>
              <w:left w:val="single" w:sz="8" w:space="0" w:color="000000"/>
              <w:bottom w:val="single" w:sz="8" w:space="0" w:color="000000"/>
              <w:right w:val="single" w:sz="8" w:space="0" w:color="000000"/>
            </w:tcBorders>
            <w:shd w:val="clear" w:color="auto" w:fill="C4BD97"/>
            <w:tcMar>
              <w:top w:w="57" w:type="dxa"/>
              <w:left w:w="57" w:type="dxa"/>
              <w:bottom w:w="57" w:type="dxa"/>
              <w:right w:w="57" w:type="dxa"/>
            </w:tcMar>
            <w:hideMark/>
          </w:tcPr>
          <w:p w14:paraId="010CD70C" w14:textId="45D333A2" w:rsidR="002A0C94" w:rsidRPr="00CC67C7" w:rsidRDefault="002A0C94" w:rsidP="005F182F">
            <w:pPr>
              <w:jc w:val="left"/>
              <w:rPr>
                <w:rFonts w:cs="Arial"/>
                <w:sz w:val="16"/>
                <w:szCs w:val="16"/>
                <w:lang w:val="en-US"/>
              </w:rPr>
            </w:pPr>
            <w:r w:rsidRPr="00CC67C7">
              <w:rPr>
                <w:rFonts w:cs="Arial"/>
                <w:b/>
                <w:bCs/>
                <w:sz w:val="16"/>
                <w:szCs w:val="16"/>
              </w:rPr>
              <w:t xml:space="preserve">Use </w:t>
            </w:r>
            <w:r w:rsidR="000F69A3">
              <w:rPr>
                <w:rFonts w:cs="Arial"/>
                <w:b/>
                <w:bCs/>
                <w:sz w:val="16"/>
                <w:szCs w:val="16"/>
              </w:rPr>
              <w:t>for Upgrading of Serviced Sites &amp; Tenure</w:t>
            </w:r>
          </w:p>
        </w:tc>
        <w:tc>
          <w:tcPr>
            <w:tcW w:w="2551" w:type="dxa"/>
            <w:tcBorders>
              <w:top w:val="single" w:sz="8" w:space="0" w:color="000000"/>
              <w:left w:val="single" w:sz="8" w:space="0" w:color="000000"/>
              <w:bottom w:val="single" w:sz="8" w:space="0" w:color="000000"/>
              <w:right w:val="single" w:sz="8" w:space="0" w:color="000000"/>
            </w:tcBorders>
            <w:shd w:val="clear" w:color="auto" w:fill="C4BD97"/>
            <w:tcMar>
              <w:top w:w="57" w:type="dxa"/>
              <w:left w:w="57" w:type="dxa"/>
              <w:bottom w:w="57" w:type="dxa"/>
              <w:right w:w="57" w:type="dxa"/>
            </w:tcMar>
            <w:hideMark/>
          </w:tcPr>
          <w:p w14:paraId="64A288A0" w14:textId="77777777" w:rsidR="002A0C94" w:rsidRPr="00CC67C7" w:rsidRDefault="002A0C94" w:rsidP="005F182F">
            <w:pPr>
              <w:jc w:val="left"/>
              <w:rPr>
                <w:rFonts w:cs="Arial"/>
                <w:sz w:val="16"/>
                <w:szCs w:val="16"/>
                <w:lang w:val="en-US"/>
              </w:rPr>
            </w:pPr>
            <w:r w:rsidRPr="00CC67C7">
              <w:rPr>
                <w:rFonts w:cs="Arial"/>
                <w:b/>
                <w:bCs/>
                <w:sz w:val="16"/>
                <w:szCs w:val="16"/>
              </w:rPr>
              <w:t>Use for Relocation </w:t>
            </w:r>
          </w:p>
        </w:tc>
        <w:tc>
          <w:tcPr>
            <w:tcW w:w="2410" w:type="dxa"/>
            <w:tcBorders>
              <w:top w:val="single" w:sz="8" w:space="0" w:color="000000"/>
              <w:left w:val="single" w:sz="8" w:space="0" w:color="000000"/>
              <w:bottom w:val="single" w:sz="8" w:space="0" w:color="000000"/>
              <w:right w:val="single" w:sz="8" w:space="0" w:color="000000"/>
            </w:tcBorders>
            <w:shd w:val="clear" w:color="auto" w:fill="C4BD97"/>
            <w:tcMar>
              <w:top w:w="57" w:type="dxa"/>
              <w:left w:w="57" w:type="dxa"/>
              <w:bottom w:w="57" w:type="dxa"/>
              <w:right w:w="57" w:type="dxa"/>
            </w:tcMar>
            <w:hideMark/>
          </w:tcPr>
          <w:p w14:paraId="4A6054D7" w14:textId="77777777" w:rsidR="002A0C94" w:rsidRPr="00CC67C7" w:rsidRDefault="002A0C94" w:rsidP="005F182F">
            <w:pPr>
              <w:jc w:val="left"/>
              <w:rPr>
                <w:rFonts w:cs="Arial"/>
                <w:sz w:val="16"/>
                <w:szCs w:val="16"/>
                <w:lang w:val="en-US"/>
              </w:rPr>
            </w:pPr>
            <w:r w:rsidRPr="00CC67C7">
              <w:rPr>
                <w:rFonts w:cs="Arial"/>
                <w:b/>
                <w:bCs/>
                <w:sz w:val="16"/>
                <w:szCs w:val="16"/>
              </w:rPr>
              <w:t>Use for Greenfields</w:t>
            </w:r>
          </w:p>
        </w:tc>
        <w:tc>
          <w:tcPr>
            <w:tcW w:w="2268" w:type="dxa"/>
            <w:tcBorders>
              <w:top w:val="single" w:sz="8" w:space="0" w:color="000000"/>
              <w:left w:val="single" w:sz="8" w:space="0" w:color="000000"/>
              <w:bottom w:val="single" w:sz="8" w:space="0" w:color="000000"/>
              <w:right w:val="single" w:sz="8" w:space="0" w:color="000000"/>
            </w:tcBorders>
            <w:shd w:val="clear" w:color="auto" w:fill="C4BD97"/>
            <w:tcMar>
              <w:top w:w="57" w:type="dxa"/>
              <w:left w:w="57" w:type="dxa"/>
              <w:bottom w:w="57" w:type="dxa"/>
              <w:right w:w="57" w:type="dxa"/>
            </w:tcMar>
            <w:hideMark/>
          </w:tcPr>
          <w:p w14:paraId="6CA3A4EE" w14:textId="6A0D4167" w:rsidR="002A0C94" w:rsidRPr="00CC67C7" w:rsidRDefault="002805E4" w:rsidP="005F182F">
            <w:pPr>
              <w:jc w:val="left"/>
              <w:rPr>
                <w:rFonts w:cs="Arial"/>
                <w:sz w:val="16"/>
                <w:szCs w:val="16"/>
                <w:lang w:val="en-US"/>
              </w:rPr>
            </w:pPr>
            <w:r>
              <w:rPr>
                <w:rFonts w:cs="Arial"/>
                <w:b/>
                <w:bCs/>
                <w:sz w:val="16"/>
                <w:szCs w:val="16"/>
              </w:rPr>
              <w:t>Use for House Consolidation</w:t>
            </w:r>
          </w:p>
        </w:tc>
      </w:tr>
      <w:tr w:rsidR="000F69A3" w:rsidRPr="00CC67C7" w14:paraId="354F497F" w14:textId="77777777" w:rsidTr="00CC67C7">
        <w:trPr>
          <w:trHeight w:val="1012"/>
        </w:trPr>
        <w:tc>
          <w:tcPr>
            <w:tcW w:w="1823"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77568C61" w14:textId="77777777" w:rsidR="00A341FE" w:rsidRDefault="000F69A3" w:rsidP="000F69A3">
            <w:pPr>
              <w:rPr>
                <w:rFonts w:cs="Arial"/>
                <w:b/>
                <w:bCs/>
                <w:sz w:val="18"/>
                <w:szCs w:val="18"/>
                <w:lang w:val="en-ZA"/>
              </w:rPr>
            </w:pPr>
            <w:r>
              <w:rPr>
                <w:rFonts w:cs="Arial"/>
                <w:b/>
                <w:bCs/>
                <w:sz w:val="18"/>
                <w:szCs w:val="18"/>
                <w:lang w:val="en-ZA"/>
              </w:rPr>
              <w:t xml:space="preserve">Upgrading of Informal Settlement Programme </w:t>
            </w:r>
          </w:p>
          <w:p w14:paraId="2889AC2A" w14:textId="4E545016" w:rsidR="002A0C94" w:rsidRPr="00CC67C7" w:rsidRDefault="000F69A3" w:rsidP="000F69A3">
            <w:pPr>
              <w:rPr>
                <w:rFonts w:cs="Arial"/>
                <w:sz w:val="18"/>
                <w:szCs w:val="18"/>
                <w:lang w:val="en-US"/>
              </w:rPr>
            </w:pPr>
            <w:r>
              <w:rPr>
                <w:rFonts w:cs="Arial"/>
                <w:b/>
                <w:bCs/>
                <w:sz w:val="18"/>
                <w:szCs w:val="18"/>
                <w:lang w:val="en-ZA"/>
              </w:rPr>
              <w:t>(</w:t>
            </w:r>
            <w:r w:rsidR="002A0C94" w:rsidRPr="00CC67C7">
              <w:rPr>
                <w:rFonts w:cs="Arial"/>
                <w:b/>
                <w:bCs/>
                <w:sz w:val="18"/>
                <w:szCs w:val="18"/>
                <w:lang w:val="en-ZA"/>
              </w:rPr>
              <w:t>HSDG: II-UISP</w:t>
            </w:r>
            <w:r>
              <w:rPr>
                <w:rFonts w:cs="Arial"/>
                <w:b/>
                <w:bCs/>
                <w:sz w:val="18"/>
                <w:szCs w:val="18"/>
                <w:lang w:val="en-ZA"/>
              </w:rPr>
              <w:t>)</w:t>
            </w:r>
          </w:p>
        </w:tc>
        <w:tc>
          <w:tcPr>
            <w:tcW w:w="248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449EA19F" w14:textId="2A1F1170" w:rsidR="002A0C94" w:rsidRPr="00CC67C7" w:rsidRDefault="002805E4" w:rsidP="002805E4">
            <w:pPr>
              <w:jc w:val="left"/>
              <w:rPr>
                <w:rFonts w:cs="Arial"/>
                <w:sz w:val="18"/>
                <w:szCs w:val="18"/>
                <w:lang w:val="en-US"/>
              </w:rPr>
            </w:pPr>
            <w:r>
              <w:rPr>
                <w:rFonts w:cs="Arial"/>
                <w:sz w:val="18"/>
                <w:szCs w:val="18"/>
                <w:lang w:val="en-ZA"/>
              </w:rPr>
              <w:t>Subsidising beneficiaries via u</w:t>
            </w:r>
            <w:r w:rsidR="002A0C94" w:rsidRPr="00CC67C7">
              <w:rPr>
                <w:rFonts w:cs="Arial"/>
                <w:sz w:val="18"/>
                <w:szCs w:val="18"/>
                <w:lang w:val="en-ZA"/>
              </w:rPr>
              <w:t>pgrading of informal settlements four</w:t>
            </w:r>
            <w:r w:rsidR="0076057B">
              <w:rPr>
                <w:rFonts w:cs="Arial"/>
                <w:sz w:val="18"/>
                <w:szCs w:val="18"/>
                <w:lang w:val="en-ZA"/>
              </w:rPr>
              <w:t>-</w:t>
            </w:r>
            <w:r w:rsidR="002A0C94" w:rsidRPr="00CC67C7">
              <w:rPr>
                <w:rFonts w:cs="Arial"/>
                <w:sz w:val="18"/>
                <w:szCs w:val="18"/>
                <w:lang w:val="en-ZA"/>
              </w:rPr>
              <w:t>phase methodology</w:t>
            </w:r>
            <w:r w:rsidR="0076057B">
              <w:rPr>
                <w:rFonts w:cs="Arial"/>
                <w:sz w:val="18"/>
                <w:szCs w:val="18"/>
                <w:lang w:val="en-ZA"/>
              </w:rPr>
              <w:t>, with application of other instruments for Phase 4</w:t>
            </w:r>
            <w:r>
              <w:rPr>
                <w:rFonts w:cs="Arial"/>
                <w:sz w:val="18"/>
                <w:szCs w:val="18"/>
                <w:lang w:val="en-ZA"/>
              </w:rPr>
              <w:t>: House Development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14AB2CDA" w14:textId="1ABD6123" w:rsidR="002A0C94" w:rsidRPr="00CC67C7" w:rsidRDefault="002805E4" w:rsidP="002805E4">
            <w:pPr>
              <w:jc w:val="left"/>
              <w:rPr>
                <w:rFonts w:cs="Arial"/>
                <w:sz w:val="18"/>
                <w:szCs w:val="18"/>
                <w:lang w:val="en-US"/>
              </w:rPr>
            </w:pPr>
            <w:r>
              <w:rPr>
                <w:rFonts w:cs="Arial"/>
                <w:sz w:val="18"/>
                <w:szCs w:val="18"/>
                <w:lang w:val="en-ZA"/>
              </w:rPr>
              <w:t>Few provinces correctly implement UISP</w:t>
            </w:r>
            <w:r w:rsidR="002A0C94" w:rsidRPr="00CC67C7">
              <w:rPr>
                <w:rFonts w:cs="Arial"/>
                <w:sz w:val="18"/>
                <w:szCs w:val="18"/>
                <w:lang w:val="en-ZA"/>
              </w:rPr>
              <w:t xml:space="preserve">. </w:t>
            </w:r>
            <w:r>
              <w:rPr>
                <w:rFonts w:cs="Arial"/>
                <w:sz w:val="18"/>
                <w:szCs w:val="18"/>
                <w:lang w:val="en-ZA"/>
              </w:rPr>
              <w:t xml:space="preserve">Instrument often applied in </w:t>
            </w:r>
            <w:r w:rsidR="0076057B">
              <w:rPr>
                <w:rFonts w:cs="Arial"/>
                <w:sz w:val="18"/>
                <w:szCs w:val="18"/>
                <w:lang w:val="en-ZA"/>
              </w:rPr>
              <w:t>inconsistent ways includin</w:t>
            </w:r>
            <w:r>
              <w:rPr>
                <w:rFonts w:cs="Arial"/>
                <w:sz w:val="18"/>
                <w:szCs w:val="18"/>
                <w:lang w:val="en-ZA"/>
              </w:rPr>
              <w:t>g</w:t>
            </w:r>
            <w:r w:rsidR="0076057B">
              <w:rPr>
                <w:rFonts w:cs="Arial"/>
                <w:sz w:val="18"/>
                <w:szCs w:val="18"/>
                <w:lang w:val="en-ZA"/>
              </w:rPr>
              <w:t xml:space="preserve"> rollover, greenfields and rural upgrade</w:t>
            </w:r>
            <w:r>
              <w:rPr>
                <w:rFonts w:cs="Arial"/>
                <w:sz w:val="18"/>
                <w:szCs w:val="18"/>
                <w:lang w:val="en-ZA"/>
              </w:rPr>
              <w:t>s</w:t>
            </w:r>
            <w:r w:rsidR="0076057B">
              <w:rPr>
                <w:rFonts w:cs="Arial"/>
                <w:sz w:val="18"/>
                <w:szCs w:val="18"/>
                <w:lang w:val="en-ZA"/>
              </w:rPr>
              <w: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05E463BE" w14:textId="20643157" w:rsidR="002A0C94" w:rsidRPr="00CC67C7" w:rsidRDefault="002A0C94" w:rsidP="002805E4">
            <w:pPr>
              <w:jc w:val="left"/>
              <w:rPr>
                <w:rFonts w:cs="Arial"/>
                <w:sz w:val="18"/>
                <w:szCs w:val="18"/>
                <w:lang w:val="en-US"/>
              </w:rPr>
            </w:pPr>
            <w:r w:rsidRPr="00CC67C7">
              <w:rPr>
                <w:rFonts w:cs="Arial"/>
                <w:sz w:val="18"/>
                <w:szCs w:val="18"/>
                <w:lang w:val="en-ZA"/>
              </w:rPr>
              <w:t xml:space="preserve">Evidence of use for </w:t>
            </w:r>
            <w:r w:rsidR="002805E4">
              <w:rPr>
                <w:rFonts w:cs="Arial"/>
                <w:sz w:val="18"/>
                <w:szCs w:val="18"/>
                <w:lang w:val="en-ZA"/>
              </w:rPr>
              <w:t>relocation projects</w:t>
            </w:r>
            <w:r w:rsidRPr="00CC67C7">
              <w:rPr>
                <w:rFonts w:cs="Arial"/>
                <w:sz w:val="18"/>
                <w:szCs w:val="18"/>
                <w:lang w:val="en-ZA"/>
              </w:rPr>
              <w:t xml:space="preserve"> in certain </w:t>
            </w:r>
            <w:r w:rsidR="002805E4">
              <w:rPr>
                <w:rFonts w:cs="Arial"/>
                <w:sz w:val="18"/>
                <w:szCs w:val="18"/>
                <w:lang w:val="en-ZA"/>
              </w:rPr>
              <w:t>provinces, instead of in-situ as intended</w:t>
            </w:r>
            <w:r w:rsidRPr="00CC67C7">
              <w:rPr>
                <w:rFonts w:cs="Arial"/>
                <w:sz w:val="18"/>
                <w:szCs w:val="18"/>
                <w:lang w:val="en-ZA"/>
              </w:rPr>
              <w:t>.</w:t>
            </w:r>
            <w:r w:rsidR="002805E4">
              <w:rPr>
                <w:rFonts w:cs="Arial"/>
                <w:sz w:val="18"/>
                <w:szCs w:val="18"/>
                <w:lang w:val="en-ZA"/>
              </w:rPr>
              <w:t xml:space="preserve"> Also applied to relocation as a component of upgrading projects.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25D31A82" w14:textId="6D2329A4" w:rsidR="002A0C94" w:rsidRPr="00CC67C7" w:rsidRDefault="002805E4" w:rsidP="002805E4">
            <w:pPr>
              <w:jc w:val="left"/>
              <w:rPr>
                <w:rFonts w:cs="Arial"/>
                <w:sz w:val="18"/>
                <w:szCs w:val="18"/>
                <w:lang w:val="en-US"/>
              </w:rPr>
            </w:pPr>
            <w:r>
              <w:rPr>
                <w:rFonts w:cs="Arial"/>
                <w:sz w:val="18"/>
                <w:szCs w:val="18"/>
                <w:lang w:val="en-ZA"/>
              </w:rPr>
              <w:t>Used for ‘rollover’ in some provinces</w:t>
            </w:r>
            <w:r w:rsidR="002A0C94" w:rsidRPr="00CC67C7">
              <w:rPr>
                <w:rFonts w:cs="Arial"/>
                <w:sz w:val="18"/>
                <w:szCs w:val="18"/>
                <w:lang w:val="en-ZA"/>
              </w:rPr>
              <w:t>.</w:t>
            </w:r>
            <w:r>
              <w:rPr>
                <w:rFonts w:cs="Arial"/>
                <w:sz w:val="18"/>
                <w:szCs w:val="18"/>
                <w:lang w:val="en-ZA"/>
              </w:rPr>
              <w:t xml:space="preserve"> In situ community removed, site, services and accommodation constructed prior to relocation of beneficiary households.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2EACC6B1" w14:textId="37865663" w:rsidR="002A0C94" w:rsidRPr="00CC67C7" w:rsidRDefault="002805E4" w:rsidP="002805E4">
            <w:pPr>
              <w:jc w:val="left"/>
              <w:rPr>
                <w:rFonts w:cs="Arial"/>
                <w:sz w:val="18"/>
                <w:szCs w:val="18"/>
                <w:lang w:val="en-US"/>
              </w:rPr>
            </w:pPr>
            <w:r>
              <w:rPr>
                <w:rFonts w:cs="Arial"/>
                <w:sz w:val="18"/>
                <w:szCs w:val="18"/>
                <w:lang w:val="en-ZA"/>
              </w:rPr>
              <w:t>UISP does not include direct subsidy support for house upgrading. Residual subsidy may be applied to houses, and facilitative funding used to trigger consolidation processes.</w:t>
            </w:r>
          </w:p>
        </w:tc>
      </w:tr>
      <w:tr w:rsidR="000F69A3" w:rsidRPr="00CC67C7" w14:paraId="5AC2D120" w14:textId="77777777" w:rsidTr="00CC67C7">
        <w:trPr>
          <w:trHeight w:val="907"/>
        </w:trPr>
        <w:tc>
          <w:tcPr>
            <w:tcW w:w="1823"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644D7A06" w14:textId="0B4F1E3C" w:rsidR="000F69A3" w:rsidRDefault="000F69A3" w:rsidP="000F69A3">
            <w:pPr>
              <w:rPr>
                <w:rFonts w:cs="Arial"/>
                <w:b/>
                <w:bCs/>
                <w:sz w:val="18"/>
                <w:szCs w:val="18"/>
                <w:lang w:val="en-ZA"/>
              </w:rPr>
            </w:pPr>
            <w:r>
              <w:rPr>
                <w:rFonts w:cs="Arial"/>
                <w:b/>
                <w:bCs/>
                <w:sz w:val="18"/>
                <w:szCs w:val="18"/>
                <w:lang w:val="en-ZA"/>
              </w:rPr>
              <w:t>Integrated Residential Development Programme</w:t>
            </w:r>
          </w:p>
          <w:p w14:paraId="3DC354C5" w14:textId="58C7CFFA" w:rsidR="002A0C94" w:rsidRPr="00CC67C7" w:rsidRDefault="000F69A3" w:rsidP="000F69A3">
            <w:pPr>
              <w:rPr>
                <w:rFonts w:cs="Arial"/>
                <w:sz w:val="18"/>
                <w:szCs w:val="18"/>
                <w:lang w:val="en-US"/>
              </w:rPr>
            </w:pPr>
            <w:r>
              <w:rPr>
                <w:rFonts w:cs="Arial"/>
                <w:b/>
                <w:bCs/>
                <w:sz w:val="18"/>
                <w:szCs w:val="18"/>
                <w:lang w:val="en-ZA"/>
              </w:rPr>
              <w:t>(</w:t>
            </w:r>
            <w:r w:rsidR="002A0C94" w:rsidRPr="00CC67C7">
              <w:rPr>
                <w:rFonts w:cs="Arial"/>
                <w:b/>
                <w:bCs/>
                <w:sz w:val="18"/>
                <w:szCs w:val="18"/>
                <w:lang w:val="en-ZA"/>
              </w:rPr>
              <w:t>HSDG: II-IRDP</w:t>
            </w:r>
            <w:r>
              <w:rPr>
                <w:rFonts w:cs="Arial"/>
                <w:b/>
                <w:bCs/>
                <w:sz w:val="18"/>
                <w:szCs w:val="18"/>
                <w:lang w:val="en-ZA"/>
              </w:rPr>
              <w:t>)</w:t>
            </w:r>
          </w:p>
        </w:tc>
        <w:tc>
          <w:tcPr>
            <w:tcW w:w="2487"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0997D5EC" w14:textId="37ACD66D" w:rsidR="002A0C94" w:rsidRPr="00CC67C7" w:rsidRDefault="002A0C94" w:rsidP="002805E4">
            <w:pPr>
              <w:jc w:val="left"/>
              <w:rPr>
                <w:rFonts w:cs="Arial"/>
                <w:sz w:val="18"/>
                <w:szCs w:val="18"/>
                <w:lang w:val="en-US"/>
              </w:rPr>
            </w:pPr>
            <w:r w:rsidRPr="00CC67C7">
              <w:rPr>
                <w:rFonts w:cs="Arial"/>
                <w:sz w:val="18"/>
                <w:szCs w:val="18"/>
                <w:lang w:val="en-ZA"/>
              </w:rPr>
              <w:t>Greenfields integrated residential developments</w:t>
            </w:r>
            <w:r w:rsidR="002805E4">
              <w:rPr>
                <w:rFonts w:cs="Arial"/>
                <w:sz w:val="18"/>
                <w:szCs w:val="18"/>
                <w:lang w:val="en-ZA"/>
              </w:rPr>
              <w:t>.</w:t>
            </w:r>
          </w:p>
        </w:tc>
        <w:tc>
          <w:tcPr>
            <w:tcW w:w="2268"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20F675BC" w14:textId="0DDCFD5D" w:rsidR="002A0C94" w:rsidRPr="00CC67C7" w:rsidRDefault="002A0C94" w:rsidP="002805E4">
            <w:pPr>
              <w:jc w:val="left"/>
              <w:rPr>
                <w:rFonts w:cs="Arial"/>
                <w:sz w:val="18"/>
                <w:szCs w:val="18"/>
                <w:lang w:val="en-US"/>
              </w:rPr>
            </w:pPr>
            <w:r w:rsidRPr="00CC67C7">
              <w:rPr>
                <w:rFonts w:cs="Arial"/>
                <w:sz w:val="18"/>
                <w:szCs w:val="18"/>
                <w:lang w:val="en-ZA"/>
              </w:rPr>
              <w:t>Used as instrument for ‘rollover</w:t>
            </w:r>
            <w:r w:rsidR="002805E4">
              <w:rPr>
                <w:rFonts w:cs="Arial"/>
                <w:sz w:val="18"/>
                <w:szCs w:val="18"/>
                <w:lang w:val="en-ZA"/>
              </w:rPr>
              <w:t>’ development of informal settlements instead of UISP.</w:t>
            </w:r>
          </w:p>
        </w:tc>
        <w:tc>
          <w:tcPr>
            <w:tcW w:w="2551"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2A0F6D36" w14:textId="40CF0029" w:rsidR="002A0C94" w:rsidRPr="00CC67C7" w:rsidRDefault="002805E4" w:rsidP="002805E4">
            <w:pPr>
              <w:jc w:val="left"/>
              <w:rPr>
                <w:rFonts w:cs="Arial"/>
                <w:sz w:val="18"/>
                <w:szCs w:val="18"/>
                <w:lang w:val="en-US"/>
              </w:rPr>
            </w:pPr>
            <w:r>
              <w:rPr>
                <w:rFonts w:cs="Arial"/>
                <w:sz w:val="18"/>
                <w:szCs w:val="18"/>
                <w:lang w:val="en-ZA"/>
              </w:rPr>
              <w:t>IRDP used to develop g</w:t>
            </w:r>
            <w:r w:rsidR="002A0C94" w:rsidRPr="00CC67C7">
              <w:rPr>
                <w:rFonts w:cs="Arial"/>
                <w:sz w:val="18"/>
                <w:szCs w:val="18"/>
                <w:lang w:val="en-ZA"/>
              </w:rPr>
              <w:t>reenfields</w:t>
            </w:r>
            <w:r>
              <w:rPr>
                <w:rFonts w:cs="Arial"/>
                <w:sz w:val="18"/>
                <w:szCs w:val="18"/>
                <w:lang w:val="en-ZA"/>
              </w:rPr>
              <w:t xml:space="preserve"> sites for relocatees from informal settlements (either relocation or de</w:t>
            </w:r>
            <w:r w:rsidR="005A7B45">
              <w:rPr>
                <w:rFonts w:cs="Arial"/>
                <w:sz w:val="18"/>
                <w:szCs w:val="18"/>
                <w:lang w:val="en-ZA"/>
              </w:rPr>
              <w:t>-</w:t>
            </w:r>
            <w:r>
              <w:rPr>
                <w:rFonts w:cs="Arial"/>
                <w:sz w:val="18"/>
                <w:szCs w:val="18"/>
                <w:lang w:val="en-ZA"/>
              </w:rPr>
              <w:t>densification requirements).</w:t>
            </w:r>
            <w:r w:rsidR="002A0C94" w:rsidRPr="00CC67C7">
              <w:rPr>
                <w:rFonts w:cs="Arial"/>
                <w:sz w:val="18"/>
                <w:szCs w:val="18"/>
                <w:lang w:val="en-ZA"/>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2CDD8823" w14:textId="4A88EE5C" w:rsidR="002A0C94" w:rsidRPr="00CC67C7" w:rsidRDefault="002A0C94" w:rsidP="002805E4">
            <w:pPr>
              <w:jc w:val="left"/>
              <w:rPr>
                <w:rFonts w:cs="Arial"/>
                <w:sz w:val="18"/>
                <w:szCs w:val="18"/>
                <w:lang w:val="en-US"/>
              </w:rPr>
            </w:pPr>
            <w:r w:rsidRPr="00CC67C7">
              <w:rPr>
                <w:rFonts w:cs="Arial"/>
                <w:sz w:val="18"/>
                <w:szCs w:val="18"/>
                <w:lang w:val="en-ZA"/>
              </w:rPr>
              <w:t>Standard greenfields implementation instrument in most provinces</w:t>
            </w:r>
            <w:r w:rsidR="002805E4">
              <w:rPr>
                <w:rFonts w:cs="Arial"/>
                <w:sz w:val="18"/>
                <w:szCs w:val="18"/>
                <w:lang w:val="en-ZA"/>
              </w:rPr>
              <w:t>.</w:t>
            </w:r>
          </w:p>
        </w:tc>
        <w:tc>
          <w:tcPr>
            <w:tcW w:w="2268"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49BC602F" w14:textId="42CE8E45" w:rsidR="002A0C94" w:rsidRPr="00CC67C7" w:rsidRDefault="002805E4" w:rsidP="002805E4">
            <w:pPr>
              <w:jc w:val="left"/>
              <w:rPr>
                <w:rFonts w:cs="Arial"/>
                <w:sz w:val="18"/>
                <w:szCs w:val="18"/>
                <w:lang w:val="en-US"/>
              </w:rPr>
            </w:pPr>
            <w:r>
              <w:rPr>
                <w:rFonts w:cs="Arial"/>
                <w:sz w:val="18"/>
                <w:szCs w:val="18"/>
                <w:lang w:val="en-ZA"/>
              </w:rPr>
              <w:t xml:space="preserve">Top structure development phase often applied to UISP Phase 4 house construction to deliver complete </w:t>
            </w:r>
            <w:r w:rsidR="00E01C9B">
              <w:rPr>
                <w:rFonts w:cs="Arial"/>
                <w:sz w:val="18"/>
                <w:szCs w:val="18"/>
                <w:lang w:val="en-ZA"/>
              </w:rPr>
              <w:t>subsidized</w:t>
            </w:r>
            <w:r>
              <w:rPr>
                <w:rFonts w:cs="Arial"/>
                <w:sz w:val="18"/>
                <w:szCs w:val="18"/>
                <w:lang w:val="en-ZA"/>
              </w:rPr>
              <w:t xml:space="preserve"> housing products.</w:t>
            </w:r>
            <w:r w:rsidR="002A0C94" w:rsidRPr="00CC67C7">
              <w:rPr>
                <w:rFonts w:cs="Arial"/>
                <w:sz w:val="18"/>
                <w:szCs w:val="18"/>
                <w:lang w:val="en-ZA"/>
              </w:rPr>
              <w:t xml:space="preserve"> </w:t>
            </w:r>
          </w:p>
        </w:tc>
      </w:tr>
      <w:tr w:rsidR="000F69A3" w:rsidRPr="00CC67C7" w14:paraId="20A9A512" w14:textId="77777777" w:rsidTr="00CC67C7">
        <w:trPr>
          <w:trHeight w:val="907"/>
        </w:trPr>
        <w:tc>
          <w:tcPr>
            <w:tcW w:w="1823"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46B98EC7" w14:textId="26629010" w:rsidR="0076057B" w:rsidRDefault="0076057B" w:rsidP="000F69A3">
            <w:pPr>
              <w:rPr>
                <w:rFonts w:cs="Arial"/>
                <w:b/>
                <w:bCs/>
                <w:sz w:val="18"/>
                <w:szCs w:val="18"/>
                <w:lang w:val="en-ZA"/>
              </w:rPr>
            </w:pPr>
            <w:r>
              <w:rPr>
                <w:rFonts w:cs="Arial"/>
                <w:b/>
                <w:bCs/>
                <w:sz w:val="18"/>
                <w:szCs w:val="18"/>
                <w:lang w:val="en-ZA"/>
              </w:rPr>
              <w:t xml:space="preserve">Emergency Housing Programme </w:t>
            </w:r>
          </w:p>
          <w:p w14:paraId="7EDDA199" w14:textId="47925929" w:rsidR="002A0C94" w:rsidRPr="00CC67C7" w:rsidRDefault="0076057B" w:rsidP="000F69A3">
            <w:pPr>
              <w:rPr>
                <w:rFonts w:cs="Arial"/>
                <w:sz w:val="18"/>
                <w:szCs w:val="18"/>
                <w:lang w:val="en-US"/>
              </w:rPr>
            </w:pPr>
            <w:r>
              <w:rPr>
                <w:rFonts w:cs="Arial"/>
                <w:b/>
                <w:bCs/>
                <w:sz w:val="18"/>
                <w:szCs w:val="18"/>
                <w:lang w:val="en-ZA"/>
              </w:rPr>
              <w:t>(</w:t>
            </w:r>
            <w:r w:rsidR="002A0C94" w:rsidRPr="00CC67C7">
              <w:rPr>
                <w:rFonts w:cs="Arial"/>
                <w:b/>
                <w:bCs/>
                <w:sz w:val="18"/>
                <w:szCs w:val="18"/>
                <w:lang w:val="en-ZA"/>
              </w:rPr>
              <w:t>HSDG: II-EHP</w:t>
            </w:r>
            <w:r>
              <w:rPr>
                <w:rFonts w:cs="Arial"/>
                <w:b/>
                <w:bCs/>
                <w:sz w:val="18"/>
                <w:szCs w:val="18"/>
                <w:lang w:val="en-ZA"/>
              </w:rPr>
              <w:t>)</w:t>
            </w:r>
          </w:p>
        </w:tc>
        <w:tc>
          <w:tcPr>
            <w:tcW w:w="248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178D56C8" w14:textId="11788A7A" w:rsidR="002A0C94" w:rsidRPr="00CC67C7" w:rsidRDefault="002A0C94" w:rsidP="002805E4">
            <w:pPr>
              <w:jc w:val="left"/>
              <w:rPr>
                <w:rFonts w:cs="Arial"/>
                <w:sz w:val="18"/>
                <w:szCs w:val="18"/>
                <w:lang w:val="en-US"/>
              </w:rPr>
            </w:pPr>
            <w:r w:rsidRPr="00CC67C7">
              <w:rPr>
                <w:rFonts w:cs="Arial"/>
                <w:sz w:val="18"/>
                <w:szCs w:val="18"/>
                <w:lang w:val="en-ZA"/>
              </w:rPr>
              <w:t>Provision of basic services and shelter in emergency circumstances</w:t>
            </w:r>
            <w:r w:rsidR="002805E4">
              <w:rPr>
                <w:rFonts w:cs="Arial"/>
                <w:sz w:val="18"/>
                <w:szCs w:val="18"/>
                <w:lang w:val="en-ZA"/>
              </w:rPr>
              <w:t xml:space="preserve"> (e.g. fire, flooding, health emergencies)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2446F539" w14:textId="412DFACD" w:rsidR="002A0C94" w:rsidRPr="00CC67C7" w:rsidRDefault="002805E4" w:rsidP="002805E4">
            <w:pPr>
              <w:jc w:val="left"/>
              <w:rPr>
                <w:rFonts w:cs="Arial"/>
                <w:sz w:val="18"/>
                <w:szCs w:val="18"/>
                <w:lang w:val="en-US"/>
              </w:rPr>
            </w:pPr>
            <w:r>
              <w:rPr>
                <w:rFonts w:cs="Arial"/>
                <w:sz w:val="18"/>
                <w:szCs w:val="18"/>
                <w:lang w:val="en-ZA"/>
              </w:rPr>
              <w:t>Occasionally u</w:t>
            </w:r>
            <w:r w:rsidR="002A0C94" w:rsidRPr="00CC67C7">
              <w:rPr>
                <w:rFonts w:cs="Arial"/>
                <w:sz w:val="18"/>
                <w:szCs w:val="18"/>
                <w:lang w:val="en-ZA"/>
              </w:rPr>
              <w:t xml:space="preserve">sed as </w:t>
            </w:r>
            <w:r>
              <w:rPr>
                <w:rFonts w:cs="Arial"/>
                <w:sz w:val="18"/>
                <w:szCs w:val="18"/>
                <w:lang w:val="en-ZA"/>
              </w:rPr>
              <w:t xml:space="preserve">Phase One or pre-phase one intervention in informal settlements. </w:t>
            </w:r>
            <w:r w:rsidR="002A0C94" w:rsidRPr="00CC67C7">
              <w:rPr>
                <w:rFonts w:cs="Arial"/>
                <w:sz w:val="18"/>
                <w:szCs w:val="18"/>
                <w:lang w:val="en-ZA"/>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513A58E2" w14:textId="23645932" w:rsidR="002A0C94" w:rsidRPr="00CC67C7" w:rsidRDefault="002A0C94" w:rsidP="002805E4">
            <w:pPr>
              <w:jc w:val="left"/>
              <w:rPr>
                <w:rFonts w:cs="Arial"/>
                <w:sz w:val="18"/>
                <w:szCs w:val="18"/>
                <w:lang w:val="en-US"/>
              </w:rPr>
            </w:pPr>
            <w:r w:rsidRPr="00CC67C7">
              <w:rPr>
                <w:rFonts w:cs="Arial"/>
                <w:sz w:val="18"/>
                <w:szCs w:val="18"/>
                <w:lang w:val="en-ZA"/>
              </w:rPr>
              <w:t>May be used to provide services in transit areas / temporary camps</w:t>
            </w:r>
            <w:r w:rsidR="002805E4">
              <w:rPr>
                <w:rFonts w:cs="Arial"/>
                <w:sz w:val="18"/>
                <w:szCs w:val="18"/>
                <w:lang w:val="en-ZA"/>
              </w:rPr>
              <w:t xml:space="preserve"> during relocation or ‘rollover’ relocations.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4670B363" w14:textId="77777777" w:rsidR="002A0C94" w:rsidRPr="00CC67C7" w:rsidRDefault="002A0C94" w:rsidP="002805E4">
            <w:pPr>
              <w:jc w:val="left"/>
              <w:rPr>
                <w:rFonts w:cs="Arial"/>
                <w:sz w:val="18"/>
                <w:szCs w:val="18"/>
                <w:lang w:val="en-US"/>
              </w:rPr>
            </w:pPr>
            <w:r w:rsidRPr="00CC67C7">
              <w:rPr>
                <w:rFonts w:cs="Arial"/>
                <w:sz w:val="18"/>
                <w:szCs w:val="18"/>
                <w:lang w:val="en-ZA"/>
              </w:rPr>
              <w:t>Not usually applied.</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6C9EBC45" w14:textId="361D9060" w:rsidR="002A0C94" w:rsidRPr="00CC67C7" w:rsidRDefault="002A0C94" w:rsidP="002805E4">
            <w:pPr>
              <w:jc w:val="left"/>
              <w:rPr>
                <w:rFonts w:cs="Arial"/>
                <w:sz w:val="18"/>
                <w:szCs w:val="18"/>
                <w:lang w:val="en-US"/>
              </w:rPr>
            </w:pPr>
            <w:r w:rsidRPr="00CC67C7">
              <w:rPr>
                <w:rFonts w:cs="Arial"/>
                <w:sz w:val="18"/>
                <w:szCs w:val="18"/>
                <w:lang w:val="en-ZA"/>
              </w:rPr>
              <w:t xml:space="preserve"> </w:t>
            </w:r>
            <w:r w:rsidR="002805E4">
              <w:rPr>
                <w:rFonts w:cs="Arial"/>
                <w:sz w:val="18"/>
                <w:szCs w:val="18"/>
                <w:lang w:val="en-ZA"/>
              </w:rPr>
              <w:t xml:space="preserve">Not currently applied. However, methodology of funding and allocating standard, basic top structures may have merit for UISP house building </w:t>
            </w:r>
          </w:p>
        </w:tc>
      </w:tr>
      <w:tr w:rsidR="000F69A3" w:rsidRPr="00CC67C7" w14:paraId="1549D387" w14:textId="77777777" w:rsidTr="00CC67C7">
        <w:trPr>
          <w:trHeight w:val="921"/>
        </w:trPr>
        <w:tc>
          <w:tcPr>
            <w:tcW w:w="1823"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04828EC1" w14:textId="0934B620" w:rsidR="000F69A3" w:rsidRDefault="005A7B45" w:rsidP="000F69A3">
            <w:pPr>
              <w:rPr>
                <w:rFonts w:cs="Arial"/>
                <w:b/>
                <w:bCs/>
                <w:sz w:val="18"/>
                <w:szCs w:val="18"/>
                <w:lang w:val="en-ZA"/>
              </w:rPr>
            </w:pPr>
            <w:r>
              <w:rPr>
                <w:rFonts w:cs="Arial"/>
                <w:b/>
                <w:bCs/>
                <w:sz w:val="18"/>
                <w:szCs w:val="18"/>
                <w:lang w:val="en-ZA"/>
              </w:rPr>
              <w:t xml:space="preserve">Enhanced </w:t>
            </w:r>
            <w:r w:rsidR="000F69A3">
              <w:rPr>
                <w:rFonts w:cs="Arial"/>
                <w:b/>
                <w:bCs/>
                <w:sz w:val="18"/>
                <w:szCs w:val="18"/>
                <w:lang w:val="en-ZA"/>
              </w:rPr>
              <w:t>Peoples Housing Process</w:t>
            </w:r>
          </w:p>
          <w:p w14:paraId="272E5CB6" w14:textId="3BFF33E9" w:rsidR="002A0C94" w:rsidRPr="00CC67C7" w:rsidRDefault="000F69A3" w:rsidP="000F69A3">
            <w:pPr>
              <w:rPr>
                <w:rFonts w:cs="Arial"/>
                <w:sz w:val="18"/>
                <w:szCs w:val="18"/>
                <w:lang w:val="en-US"/>
              </w:rPr>
            </w:pPr>
            <w:r>
              <w:rPr>
                <w:rFonts w:cs="Arial"/>
                <w:b/>
                <w:bCs/>
                <w:sz w:val="18"/>
                <w:szCs w:val="18"/>
                <w:lang w:val="en-ZA"/>
              </w:rPr>
              <w:t>(</w:t>
            </w:r>
            <w:r w:rsidR="002A0C94" w:rsidRPr="00CC67C7">
              <w:rPr>
                <w:rFonts w:cs="Arial"/>
                <w:b/>
                <w:bCs/>
                <w:sz w:val="18"/>
                <w:szCs w:val="18"/>
                <w:lang w:val="en-ZA"/>
              </w:rPr>
              <w:t>HSDG: II-EPHP</w:t>
            </w:r>
            <w:r>
              <w:rPr>
                <w:rFonts w:cs="Arial"/>
                <w:b/>
                <w:bCs/>
                <w:sz w:val="18"/>
                <w:szCs w:val="18"/>
                <w:lang w:val="en-ZA"/>
              </w:rPr>
              <w:t>)</w:t>
            </w:r>
          </w:p>
        </w:tc>
        <w:tc>
          <w:tcPr>
            <w:tcW w:w="2487"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38A77C4C" w14:textId="30108165" w:rsidR="002A0C94" w:rsidRPr="00CC67C7" w:rsidRDefault="002805E4" w:rsidP="005F182F">
            <w:pPr>
              <w:jc w:val="left"/>
              <w:rPr>
                <w:rFonts w:cs="Arial"/>
                <w:sz w:val="18"/>
                <w:szCs w:val="18"/>
                <w:lang w:val="en-US"/>
              </w:rPr>
            </w:pPr>
            <w:r>
              <w:rPr>
                <w:rFonts w:cs="Arial"/>
                <w:sz w:val="18"/>
                <w:szCs w:val="18"/>
                <w:lang w:val="en-ZA"/>
              </w:rPr>
              <w:t>I</w:t>
            </w:r>
            <w:r w:rsidR="002A0C94" w:rsidRPr="00CC67C7">
              <w:rPr>
                <w:rFonts w:cs="Arial"/>
                <w:sz w:val="18"/>
                <w:szCs w:val="18"/>
                <w:lang w:val="en-ZA"/>
              </w:rPr>
              <w:t xml:space="preserve">ncremental development of </w:t>
            </w:r>
            <w:r>
              <w:rPr>
                <w:rFonts w:cs="Arial"/>
                <w:sz w:val="18"/>
                <w:szCs w:val="18"/>
                <w:lang w:val="en-ZA"/>
              </w:rPr>
              <w:t>houses</w:t>
            </w:r>
            <w:r w:rsidR="002A0C94" w:rsidRPr="00CC67C7">
              <w:rPr>
                <w:rFonts w:cs="Arial"/>
                <w:sz w:val="18"/>
                <w:szCs w:val="18"/>
                <w:lang w:val="en-ZA"/>
              </w:rPr>
              <w:t xml:space="preserve"> </w:t>
            </w:r>
            <w:r w:rsidR="005F182F">
              <w:rPr>
                <w:rFonts w:cs="Arial"/>
                <w:sz w:val="18"/>
                <w:szCs w:val="18"/>
                <w:lang w:val="en-ZA"/>
              </w:rPr>
              <w:t>through facilitated self-build and mutual-building processes.</w:t>
            </w:r>
          </w:p>
        </w:tc>
        <w:tc>
          <w:tcPr>
            <w:tcW w:w="2268"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0C5842B5" w14:textId="77777777" w:rsidR="002A0C94" w:rsidRPr="00CC67C7" w:rsidRDefault="002A0C94" w:rsidP="002805E4">
            <w:pPr>
              <w:jc w:val="left"/>
              <w:rPr>
                <w:rFonts w:cs="Arial"/>
                <w:sz w:val="18"/>
                <w:szCs w:val="18"/>
                <w:lang w:val="en-US"/>
              </w:rPr>
            </w:pPr>
            <w:r w:rsidRPr="00CC67C7">
              <w:rPr>
                <w:rFonts w:cs="Arial"/>
                <w:sz w:val="18"/>
                <w:szCs w:val="18"/>
                <w:lang w:val="en-ZA"/>
              </w:rPr>
              <w:t>Applied to upgrading of informal settlements by certain provinces.</w:t>
            </w:r>
          </w:p>
        </w:tc>
        <w:tc>
          <w:tcPr>
            <w:tcW w:w="2551"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3103DE17" w14:textId="5DE0C680" w:rsidR="002A0C94" w:rsidRPr="00CC67C7" w:rsidRDefault="002A0C94" w:rsidP="005F182F">
            <w:pPr>
              <w:jc w:val="left"/>
              <w:rPr>
                <w:rFonts w:cs="Arial"/>
                <w:sz w:val="18"/>
                <w:szCs w:val="18"/>
                <w:lang w:val="en-US"/>
              </w:rPr>
            </w:pPr>
            <w:r w:rsidRPr="00CC67C7">
              <w:rPr>
                <w:rFonts w:cs="Arial"/>
                <w:sz w:val="18"/>
                <w:szCs w:val="18"/>
                <w:lang w:val="en-ZA"/>
              </w:rPr>
              <w:t xml:space="preserve">Not usually used, but </w:t>
            </w:r>
            <w:r w:rsidR="005F182F">
              <w:rPr>
                <w:rFonts w:cs="Arial"/>
                <w:sz w:val="18"/>
                <w:szCs w:val="18"/>
                <w:lang w:val="en-ZA"/>
              </w:rPr>
              <w:t>could</w:t>
            </w:r>
            <w:r w:rsidRPr="00CC67C7">
              <w:rPr>
                <w:rFonts w:cs="Arial"/>
                <w:sz w:val="18"/>
                <w:szCs w:val="18"/>
                <w:lang w:val="en-ZA"/>
              </w:rPr>
              <w:t xml:space="preserve"> be used for site and service and managed shelter dev</w:t>
            </w:r>
            <w:r w:rsidR="005F182F">
              <w:rPr>
                <w:rFonts w:cs="Arial"/>
                <w:sz w:val="18"/>
                <w:szCs w:val="18"/>
                <w:lang w:val="en-ZA"/>
              </w:rPr>
              <w:t>elopmen</w:t>
            </w:r>
            <w:r w:rsidRPr="00CC67C7">
              <w:rPr>
                <w:rFonts w:cs="Arial"/>
                <w:sz w:val="18"/>
                <w:szCs w:val="18"/>
                <w:lang w:val="en-ZA"/>
              </w:rPr>
              <w:t>t.</w:t>
            </w:r>
          </w:p>
        </w:tc>
        <w:tc>
          <w:tcPr>
            <w:tcW w:w="2410"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7C6BE501" w14:textId="77777777" w:rsidR="002A0C94" w:rsidRPr="00CC67C7" w:rsidRDefault="002A0C94" w:rsidP="002805E4">
            <w:pPr>
              <w:jc w:val="left"/>
              <w:rPr>
                <w:rFonts w:cs="Arial"/>
                <w:sz w:val="18"/>
                <w:szCs w:val="18"/>
                <w:lang w:val="en-US"/>
              </w:rPr>
            </w:pPr>
            <w:r w:rsidRPr="00CC67C7">
              <w:rPr>
                <w:rFonts w:cs="Arial"/>
                <w:sz w:val="18"/>
                <w:szCs w:val="18"/>
                <w:lang w:val="en-ZA"/>
              </w:rPr>
              <w:t>Used by some provinces for site &amp; service and phased house construction.</w:t>
            </w:r>
          </w:p>
        </w:tc>
        <w:tc>
          <w:tcPr>
            <w:tcW w:w="2268"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523D5099" w14:textId="3963441C" w:rsidR="002A0C94" w:rsidRPr="00CC67C7" w:rsidRDefault="005F182F" w:rsidP="002805E4">
            <w:pPr>
              <w:jc w:val="left"/>
              <w:rPr>
                <w:rFonts w:cs="Arial"/>
                <w:sz w:val="18"/>
                <w:szCs w:val="18"/>
                <w:lang w:val="en-US"/>
              </w:rPr>
            </w:pPr>
            <w:r>
              <w:rPr>
                <w:rFonts w:cs="Arial"/>
                <w:sz w:val="18"/>
                <w:szCs w:val="18"/>
                <w:lang w:val="en-ZA"/>
              </w:rPr>
              <w:t>Instrument well suited to application in UISP Phase 4 if properly managed.</w:t>
            </w:r>
          </w:p>
        </w:tc>
      </w:tr>
      <w:tr w:rsidR="005F182F" w:rsidRPr="00CC67C7" w14:paraId="652A093B" w14:textId="77777777" w:rsidTr="003A0CCC">
        <w:trPr>
          <w:trHeight w:val="780"/>
        </w:trPr>
        <w:tc>
          <w:tcPr>
            <w:tcW w:w="1823"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7298660E" w14:textId="77777777" w:rsidR="005F182F" w:rsidRDefault="005F182F" w:rsidP="003A0CCC">
            <w:pPr>
              <w:jc w:val="left"/>
              <w:rPr>
                <w:rFonts w:cs="Arial"/>
                <w:b/>
                <w:bCs/>
                <w:sz w:val="18"/>
                <w:szCs w:val="18"/>
                <w:lang w:val="en-ZA"/>
              </w:rPr>
            </w:pPr>
            <w:r>
              <w:rPr>
                <w:rFonts w:cs="Arial"/>
                <w:b/>
                <w:bCs/>
                <w:sz w:val="18"/>
                <w:szCs w:val="18"/>
                <w:lang w:val="en-ZA"/>
              </w:rPr>
              <w:t>Rural Communal Land Rights Programme</w:t>
            </w:r>
          </w:p>
          <w:p w14:paraId="5B900C03" w14:textId="77777777" w:rsidR="005F182F" w:rsidRPr="00CC67C7" w:rsidRDefault="005F182F" w:rsidP="003A0CCC">
            <w:pPr>
              <w:jc w:val="left"/>
              <w:rPr>
                <w:rFonts w:cs="Arial"/>
                <w:sz w:val="18"/>
                <w:szCs w:val="18"/>
                <w:lang w:val="en-US"/>
              </w:rPr>
            </w:pPr>
            <w:r>
              <w:rPr>
                <w:rFonts w:cs="Arial"/>
                <w:b/>
                <w:bCs/>
                <w:sz w:val="18"/>
                <w:szCs w:val="18"/>
                <w:lang w:val="en-ZA"/>
              </w:rPr>
              <w:t>(</w:t>
            </w:r>
            <w:r w:rsidRPr="00CC67C7">
              <w:rPr>
                <w:rFonts w:cs="Arial"/>
                <w:b/>
                <w:bCs/>
                <w:sz w:val="18"/>
                <w:szCs w:val="18"/>
                <w:lang w:val="en-ZA"/>
              </w:rPr>
              <w:t>HSDG: RI-CLR</w:t>
            </w:r>
            <w:r>
              <w:rPr>
                <w:rFonts w:cs="Arial"/>
                <w:b/>
                <w:bCs/>
                <w:sz w:val="18"/>
                <w:szCs w:val="18"/>
                <w:lang w:val="en-ZA"/>
              </w:rPr>
              <w:t>)</w:t>
            </w:r>
          </w:p>
        </w:tc>
        <w:tc>
          <w:tcPr>
            <w:tcW w:w="248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4029C2B4" w14:textId="77777777" w:rsidR="005F182F" w:rsidRPr="00CC67C7" w:rsidRDefault="005F182F" w:rsidP="003A0CCC">
            <w:pPr>
              <w:jc w:val="left"/>
              <w:rPr>
                <w:rFonts w:cs="Arial"/>
                <w:sz w:val="18"/>
                <w:szCs w:val="18"/>
                <w:lang w:val="en-US"/>
              </w:rPr>
            </w:pPr>
            <w:r w:rsidRPr="00CC67C7">
              <w:rPr>
                <w:rFonts w:cs="Arial"/>
                <w:sz w:val="18"/>
                <w:szCs w:val="18"/>
                <w:lang w:val="en-ZA"/>
              </w:rPr>
              <w:t>Upgrading of rural infrastructure &amp; housing in communal land areas, with focus on sanitation and house</w:t>
            </w:r>
            <w:r>
              <w:rPr>
                <w:rFonts w:cs="Arial"/>
                <w:sz w:val="18"/>
                <w:szCs w:val="18"/>
                <w:lang w:val="en-ZA"/>
              </w:rPr>
              <w:t xml:space="preserve"> development</w:t>
            </w:r>
            <w:r w:rsidRPr="00CC67C7">
              <w:rPr>
                <w:rFonts w:cs="Arial"/>
                <w:sz w:val="18"/>
                <w:szCs w:val="18"/>
                <w:lang w:val="en-ZA"/>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1D1F57A6" w14:textId="77777777" w:rsidR="005F182F" w:rsidRPr="00CC67C7" w:rsidRDefault="005F182F" w:rsidP="003A0CCC">
            <w:pPr>
              <w:jc w:val="left"/>
              <w:rPr>
                <w:rFonts w:cs="Arial"/>
                <w:sz w:val="18"/>
                <w:szCs w:val="18"/>
                <w:lang w:val="en-US"/>
              </w:rPr>
            </w:pPr>
            <w:r w:rsidRPr="00CC67C7">
              <w:rPr>
                <w:rFonts w:cs="Arial"/>
                <w:sz w:val="18"/>
                <w:szCs w:val="18"/>
                <w:lang w:val="en-ZA"/>
              </w:rPr>
              <w:t xml:space="preserve">Used by rural provinces to upgrade rural </w:t>
            </w:r>
            <w:r>
              <w:rPr>
                <w:rFonts w:cs="Arial"/>
                <w:sz w:val="18"/>
                <w:szCs w:val="18"/>
                <w:lang w:val="en-ZA"/>
              </w:rPr>
              <w:t>villages</w:t>
            </w:r>
            <w:r w:rsidRPr="00CC67C7">
              <w:rPr>
                <w:rFonts w:cs="Arial"/>
                <w:sz w:val="18"/>
                <w:szCs w:val="18"/>
                <w:lang w:val="en-ZA"/>
              </w:rPr>
              <w:t>. (</w:t>
            </w:r>
            <w:r>
              <w:rPr>
                <w:rFonts w:cs="Arial"/>
                <w:sz w:val="18"/>
                <w:szCs w:val="18"/>
                <w:lang w:val="en-ZA"/>
              </w:rPr>
              <w:t xml:space="preserve">e.g. </w:t>
            </w:r>
            <w:r w:rsidRPr="00CC67C7">
              <w:rPr>
                <w:rFonts w:cs="Arial"/>
                <w:sz w:val="18"/>
                <w:szCs w:val="18"/>
                <w:lang w:val="en-ZA"/>
              </w:rPr>
              <w:t>KZN, LP, EC)</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56723021" w14:textId="77777777" w:rsidR="005F182F" w:rsidRPr="00CC67C7" w:rsidRDefault="005F182F" w:rsidP="003A0CCC">
            <w:pPr>
              <w:jc w:val="left"/>
              <w:rPr>
                <w:rFonts w:cs="Arial"/>
                <w:sz w:val="18"/>
                <w:szCs w:val="18"/>
                <w:lang w:val="en-US"/>
              </w:rPr>
            </w:pPr>
            <w:r>
              <w:rPr>
                <w:rFonts w:cs="Arial"/>
                <w:sz w:val="18"/>
                <w:szCs w:val="18"/>
                <w:lang w:val="en-ZA"/>
              </w:rPr>
              <w:t>Unlikely, as predominantly applied to existing rural villages.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75AD3DFF" w14:textId="77777777" w:rsidR="005F182F" w:rsidRPr="00CC67C7" w:rsidRDefault="005F182F" w:rsidP="003A0CCC">
            <w:pPr>
              <w:jc w:val="left"/>
              <w:rPr>
                <w:rFonts w:cs="Arial"/>
                <w:sz w:val="18"/>
                <w:szCs w:val="18"/>
                <w:lang w:val="en-US"/>
              </w:rPr>
            </w:pPr>
            <w:r>
              <w:rPr>
                <w:rFonts w:cs="Arial"/>
                <w:sz w:val="18"/>
                <w:szCs w:val="18"/>
                <w:lang w:val="en-ZA"/>
              </w:rPr>
              <w:t>Unlikely, as predominantly applied to existing rural villages.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123061F1" w14:textId="77777777" w:rsidR="005F182F" w:rsidRPr="00CC67C7" w:rsidRDefault="005F182F" w:rsidP="003A0CCC">
            <w:pPr>
              <w:jc w:val="left"/>
              <w:rPr>
                <w:rFonts w:cs="Arial"/>
                <w:sz w:val="18"/>
                <w:szCs w:val="18"/>
                <w:lang w:val="en-US"/>
              </w:rPr>
            </w:pPr>
            <w:r w:rsidRPr="00CC67C7">
              <w:rPr>
                <w:rFonts w:cs="Arial"/>
                <w:sz w:val="18"/>
                <w:szCs w:val="18"/>
                <w:lang w:val="en-ZA"/>
              </w:rPr>
              <w:t>Used interchangeably to upgrade sanitation and/or top structures</w:t>
            </w:r>
            <w:r>
              <w:rPr>
                <w:rFonts w:cs="Arial"/>
                <w:sz w:val="18"/>
                <w:szCs w:val="18"/>
                <w:lang w:val="en-ZA"/>
              </w:rPr>
              <w:t>, sometimes claimed as in-situ upgrading in Outcome 8.</w:t>
            </w:r>
          </w:p>
        </w:tc>
      </w:tr>
      <w:tr w:rsidR="000F69A3" w:rsidRPr="00CC67C7" w14:paraId="69B8F491" w14:textId="77777777" w:rsidTr="00CC67C7">
        <w:trPr>
          <w:trHeight w:val="1021"/>
        </w:trPr>
        <w:tc>
          <w:tcPr>
            <w:tcW w:w="1823" w:type="dxa"/>
            <w:tcBorders>
              <w:top w:val="single" w:sz="8" w:space="0" w:color="000000"/>
              <w:left w:val="single" w:sz="8" w:space="0" w:color="000000"/>
              <w:bottom w:val="single" w:sz="8" w:space="0" w:color="000000"/>
              <w:right w:val="single" w:sz="8" w:space="0" w:color="000000"/>
            </w:tcBorders>
            <w:shd w:val="clear" w:color="auto" w:fill="EEECE1"/>
            <w:tcMar>
              <w:top w:w="57" w:type="dxa"/>
              <w:left w:w="57" w:type="dxa"/>
              <w:bottom w:w="57" w:type="dxa"/>
              <w:right w:w="57" w:type="dxa"/>
            </w:tcMar>
            <w:hideMark/>
          </w:tcPr>
          <w:p w14:paraId="139136BC" w14:textId="77777777" w:rsidR="002A0C94" w:rsidRDefault="005F182F" w:rsidP="005F182F">
            <w:pPr>
              <w:rPr>
                <w:rFonts w:cs="Arial"/>
                <w:b/>
                <w:bCs/>
                <w:sz w:val="18"/>
                <w:szCs w:val="18"/>
                <w:lang w:val="en-ZA"/>
              </w:rPr>
            </w:pPr>
            <w:r>
              <w:rPr>
                <w:rFonts w:cs="Arial"/>
                <w:b/>
                <w:bCs/>
                <w:sz w:val="18"/>
                <w:szCs w:val="18"/>
                <w:lang w:val="en-ZA"/>
              </w:rPr>
              <w:lastRenderedPageBreak/>
              <w:t xml:space="preserve">Other Human </w:t>
            </w:r>
            <w:r w:rsidR="005A7B45">
              <w:rPr>
                <w:rFonts w:cs="Arial"/>
                <w:b/>
                <w:bCs/>
                <w:sz w:val="18"/>
                <w:szCs w:val="18"/>
                <w:lang w:val="en-ZA"/>
              </w:rPr>
              <w:t>Settlements</w:t>
            </w:r>
            <w:r>
              <w:rPr>
                <w:rFonts w:cs="Arial"/>
                <w:b/>
                <w:bCs/>
                <w:sz w:val="18"/>
                <w:szCs w:val="18"/>
                <w:lang w:val="en-ZA"/>
              </w:rPr>
              <w:t xml:space="preserve"> Development Grant Subsidies</w:t>
            </w:r>
          </w:p>
          <w:p w14:paraId="1E2AB8AA" w14:textId="44ED7C80" w:rsidR="00A341FE" w:rsidRPr="00CC67C7" w:rsidRDefault="00A341FE" w:rsidP="005F182F">
            <w:pPr>
              <w:rPr>
                <w:rFonts w:cs="Arial"/>
                <w:sz w:val="18"/>
                <w:szCs w:val="18"/>
                <w:lang w:val="en-US"/>
              </w:rPr>
            </w:pPr>
            <w:r>
              <w:rPr>
                <w:rFonts w:cs="Arial"/>
                <w:b/>
                <w:bCs/>
                <w:sz w:val="18"/>
                <w:szCs w:val="18"/>
                <w:lang w:val="en-ZA"/>
              </w:rPr>
              <w:t>(HSDG)</w:t>
            </w:r>
          </w:p>
        </w:tc>
        <w:tc>
          <w:tcPr>
            <w:tcW w:w="2487" w:type="dxa"/>
            <w:tcBorders>
              <w:top w:val="single" w:sz="8" w:space="0" w:color="000000"/>
              <w:left w:val="single" w:sz="8" w:space="0" w:color="000000"/>
              <w:bottom w:val="single" w:sz="8" w:space="0" w:color="000000"/>
              <w:right w:val="single" w:sz="8" w:space="0" w:color="000000"/>
            </w:tcBorders>
            <w:shd w:val="clear" w:color="auto" w:fill="EEECE1"/>
            <w:tcMar>
              <w:top w:w="57" w:type="dxa"/>
              <w:left w:w="57" w:type="dxa"/>
              <w:bottom w:w="57" w:type="dxa"/>
              <w:right w:w="57" w:type="dxa"/>
            </w:tcMar>
            <w:hideMark/>
          </w:tcPr>
          <w:p w14:paraId="67FB0C6D" w14:textId="0DBA779F" w:rsidR="002A0C94" w:rsidRPr="00CC67C7" w:rsidRDefault="002A0C94" w:rsidP="005F182F">
            <w:pPr>
              <w:jc w:val="left"/>
              <w:rPr>
                <w:rFonts w:cs="Arial"/>
                <w:sz w:val="18"/>
                <w:szCs w:val="18"/>
                <w:lang w:val="en-US"/>
              </w:rPr>
            </w:pPr>
            <w:r w:rsidRPr="00CC67C7">
              <w:rPr>
                <w:rFonts w:cs="Arial"/>
                <w:sz w:val="18"/>
                <w:szCs w:val="18"/>
                <w:lang w:val="en-ZA"/>
              </w:rPr>
              <w:t xml:space="preserve">Various programmes </w:t>
            </w:r>
            <w:r w:rsidR="005F182F">
              <w:rPr>
                <w:rFonts w:cs="Arial"/>
                <w:sz w:val="18"/>
                <w:szCs w:val="18"/>
                <w:lang w:val="en-ZA"/>
              </w:rPr>
              <w:t>intended</w:t>
            </w:r>
            <w:r w:rsidRPr="00CC67C7">
              <w:rPr>
                <w:rFonts w:cs="Arial"/>
                <w:sz w:val="18"/>
                <w:szCs w:val="18"/>
                <w:lang w:val="en-ZA"/>
              </w:rPr>
              <w:t xml:space="preserve"> to provide shelter </w:t>
            </w:r>
            <w:r w:rsidR="005F182F">
              <w:rPr>
                <w:rFonts w:cs="Arial"/>
                <w:sz w:val="18"/>
                <w:szCs w:val="18"/>
                <w:lang w:val="en-ZA"/>
              </w:rPr>
              <w:t>to specific categories of households (e.g. Credit linked and non-credit linked Individual Subsidies &amp; FLISP).</w:t>
            </w:r>
            <w:r w:rsidRPr="00CC67C7">
              <w:rPr>
                <w:rFonts w:cs="Arial"/>
                <w:sz w:val="18"/>
                <w:szCs w:val="18"/>
                <w:lang w:val="en-ZA"/>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EEECE1"/>
            <w:tcMar>
              <w:top w:w="57" w:type="dxa"/>
              <w:left w:w="57" w:type="dxa"/>
              <w:bottom w:w="57" w:type="dxa"/>
              <w:right w:w="57" w:type="dxa"/>
            </w:tcMar>
            <w:hideMark/>
          </w:tcPr>
          <w:p w14:paraId="2518940E" w14:textId="1B8B0826" w:rsidR="002A0C94" w:rsidRPr="00CC67C7" w:rsidRDefault="005F182F" w:rsidP="002805E4">
            <w:pPr>
              <w:jc w:val="left"/>
              <w:rPr>
                <w:rFonts w:cs="Arial"/>
                <w:sz w:val="18"/>
                <w:szCs w:val="18"/>
                <w:lang w:val="en-US"/>
              </w:rPr>
            </w:pPr>
            <w:r>
              <w:rPr>
                <w:rFonts w:cs="Arial"/>
                <w:sz w:val="18"/>
                <w:szCs w:val="18"/>
                <w:lang w:val="en-ZA"/>
              </w:rPr>
              <w:t>Unlikely, as these programmes generally rely on existing freehold sites to allocate to individuals and do not operate in project contexts.</w:t>
            </w:r>
            <w:r w:rsidR="002A0C94" w:rsidRPr="00CC67C7">
              <w:rPr>
                <w:rFonts w:cs="Arial"/>
                <w:sz w:val="18"/>
                <w:szCs w:val="18"/>
                <w:lang w:val="en-ZA"/>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EEECE1"/>
            <w:tcMar>
              <w:top w:w="57" w:type="dxa"/>
              <w:left w:w="57" w:type="dxa"/>
              <w:bottom w:w="57" w:type="dxa"/>
              <w:right w:w="57" w:type="dxa"/>
            </w:tcMar>
            <w:hideMark/>
          </w:tcPr>
          <w:p w14:paraId="3AF4AA7D" w14:textId="086FE894" w:rsidR="002A0C94" w:rsidRPr="00CC67C7" w:rsidRDefault="003C49AD" w:rsidP="002805E4">
            <w:pPr>
              <w:jc w:val="left"/>
              <w:rPr>
                <w:rFonts w:cs="Arial"/>
                <w:sz w:val="18"/>
                <w:szCs w:val="18"/>
                <w:lang w:val="en-US"/>
              </w:rPr>
            </w:pPr>
            <w:r>
              <w:rPr>
                <w:rFonts w:cs="Arial"/>
                <w:sz w:val="18"/>
                <w:szCs w:val="18"/>
                <w:lang w:val="en-ZA"/>
              </w:rPr>
              <w:t>Households unable to access</w:t>
            </w:r>
            <w:r w:rsidR="00F83D8D">
              <w:rPr>
                <w:rFonts w:cs="Arial"/>
                <w:sz w:val="18"/>
                <w:szCs w:val="18"/>
                <w:lang w:val="en-ZA"/>
              </w:rPr>
              <w:t xml:space="preserve"> benefits in UISP may be able to access these instruments in other areas.</w:t>
            </w:r>
            <w:r>
              <w:rPr>
                <w:rFonts w:cs="Arial"/>
                <w:sz w:val="18"/>
                <w:szCs w:val="18"/>
                <w:lang w:val="en-ZA"/>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EEECE1"/>
            <w:tcMar>
              <w:top w:w="57" w:type="dxa"/>
              <w:left w:w="57" w:type="dxa"/>
              <w:bottom w:w="57" w:type="dxa"/>
              <w:right w:w="57" w:type="dxa"/>
            </w:tcMar>
            <w:hideMark/>
          </w:tcPr>
          <w:p w14:paraId="573D493D" w14:textId="483A3C6C" w:rsidR="002A0C94" w:rsidRPr="00CC67C7" w:rsidRDefault="00F83D8D" w:rsidP="002805E4">
            <w:pPr>
              <w:jc w:val="left"/>
              <w:rPr>
                <w:rFonts w:cs="Arial"/>
                <w:sz w:val="18"/>
                <w:szCs w:val="18"/>
              </w:rPr>
            </w:pPr>
            <w:r>
              <w:rPr>
                <w:rFonts w:cs="Arial"/>
                <w:sz w:val="18"/>
                <w:szCs w:val="18"/>
              </w:rPr>
              <w:t>Unlikely. Generally applied to single beneficiaries purchasing existing property.</w:t>
            </w:r>
          </w:p>
        </w:tc>
        <w:tc>
          <w:tcPr>
            <w:tcW w:w="2268" w:type="dxa"/>
            <w:tcBorders>
              <w:top w:val="single" w:sz="8" w:space="0" w:color="000000"/>
              <w:left w:val="single" w:sz="8" w:space="0" w:color="000000"/>
              <w:bottom w:val="single" w:sz="8" w:space="0" w:color="000000"/>
              <w:right w:val="single" w:sz="8" w:space="0" w:color="000000"/>
            </w:tcBorders>
            <w:shd w:val="clear" w:color="auto" w:fill="EEECE1"/>
            <w:tcMar>
              <w:top w:w="57" w:type="dxa"/>
              <w:left w:w="57" w:type="dxa"/>
              <w:bottom w:w="57" w:type="dxa"/>
              <w:right w:w="57" w:type="dxa"/>
            </w:tcMar>
            <w:hideMark/>
          </w:tcPr>
          <w:p w14:paraId="652F7C1B" w14:textId="0C2AFD59" w:rsidR="002A0C94" w:rsidRPr="00CC67C7" w:rsidRDefault="00F83D8D" w:rsidP="00F83D8D">
            <w:pPr>
              <w:jc w:val="left"/>
              <w:rPr>
                <w:rFonts w:cs="Arial"/>
                <w:sz w:val="18"/>
                <w:szCs w:val="18"/>
                <w:lang w:val="en-US"/>
              </w:rPr>
            </w:pPr>
            <w:r>
              <w:rPr>
                <w:rFonts w:cs="Arial"/>
                <w:sz w:val="18"/>
                <w:szCs w:val="18"/>
                <w:lang w:val="en-ZA"/>
              </w:rPr>
              <w:t xml:space="preserve">Individual subsidy instruments may be applied in UISP to house purchase if households are eligible for these subsidies and can apply them in UISP area. </w:t>
            </w:r>
          </w:p>
        </w:tc>
      </w:tr>
      <w:tr w:rsidR="005F182F" w:rsidRPr="00CC67C7" w14:paraId="6E608871" w14:textId="77777777" w:rsidTr="00CC67C7">
        <w:trPr>
          <w:trHeight w:val="907"/>
        </w:trPr>
        <w:tc>
          <w:tcPr>
            <w:tcW w:w="1823"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1CCFA2CC" w14:textId="47C3A27D" w:rsidR="005F182F" w:rsidRDefault="005F182F" w:rsidP="000F69A3">
            <w:pPr>
              <w:rPr>
                <w:rFonts w:cs="Arial"/>
                <w:b/>
                <w:bCs/>
                <w:sz w:val="18"/>
                <w:szCs w:val="18"/>
                <w:lang w:val="en-ZA"/>
              </w:rPr>
            </w:pPr>
            <w:r>
              <w:rPr>
                <w:rFonts w:cs="Arial"/>
                <w:b/>
                <w:bCs/>
                <w:sz w:val="18"/>
                <w:szCs w:val="18"/>
                <w:lang w:val="en-ZA"/>
              </w:rPr>
              <w:t>Rental / Social Housing Subsidies</w:t>
            </w:r>
          </w:p>
        </w:tc>
        <w:tc>
          <w:tcPr>
            <w:tcW w:w="248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64A53B28" w14:textId="6845E70B" w:rsidR="005F182F" w:rsidRPr="00CC67C7" w:rsidRDefault="00F83D8D" w:rsidP="000F69A3">
            <w:pPr>
              <w:rPr>
                <w:rFonts w:cs="Arial"/>
                <w:sz w:val="18"/>
                <w:szCs w:val="18"/>
                <w:lang w:val="en-ZA"/>
              </w:rPr>
            </w:pPr>
            <w:r>
              <w:rPr>
                <w:rFonts w:cs="Arial"/>
                <w:sz w:val="18"/>
                <w:szCs w:val="18"/>
                <w:lang w:val="en-ZA"/>
              </w:rPr>
              <w:t>Development of Social Housing, Community Residential Units and Institutional Subsidy Units.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31DB5F93" w14:textId="5CBD752C" w:rsidR="005F182F" w:rsidRPr="00CC67C7" w:rsidRDefault="00F83D8D" w:rsidP="000F69A3">
            <w:pPr>
              <w:rPr>
                <w:rFonts w:cs="Arial"/>
                <w:sz w:val="18"/>
                <w:szCs w:val="18"/>
                <w:lang w:val="en-ZA"/>
              </w:rPr>
            </w:pPr>
            <w:r>
              <w:rPr>
                <w:rFonts w:cs="Arial"/>
                <w:sz w:val="18"/>
                <w:szCs w:val="18"/>
                <w:lang w:val="en-ZA"/>
              </w:rPr>
              <w:t>Not applicable. May be applied as s separate development programme in integrated development areas.</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47EE4F69" w14:textId="78995985" w:rsidR="005F182F" w:rsidRPr="00CC67C7" w:rsidRDefault="00F83D8D" w:rsidP="000F69A3">
            <w:pPr>
              <w:rPr>
                <w:rFonts w:cs="Arial"/>
                <w:sz w:val="18"/>
                <w:szCs w:val="18"/>
                <w:lang w:val="en-ZA"/>
              </w:rPr>
            </w:pPr>
            <w:r>
              <w:rPr>
                <w:rFonts w:cs="Arial"/>
                <w:sz w:val="18"/>
                <w:szCs w:val="18"/>
                <w:lang w:val="en-ZA"/>
              </w:rPr>
              <w:t xml:space="preserve">A proportion of households in UISP programmes may wish to, and be able to access proximate </w:t>
            </w:r>
            <w:r w:rsidR="00E01C9B">
              <w:rPr>
                <w:rFonts w:cs="Arial"/>
                <w:sz w:val="18"/>
                <w:szCs w:val="18"/>
                <w:lang w:val="en-ZA"/>
              </w:rPr>
              <w:t>subsidized</w:t>
            </w:r>
            <w:r>
              <w:rPr>
                <w:rFonts w:cs="Arial"/>
                <w:sz w:val="18"/>
                <w:szCs w:val="18"/>
                <w:lang w:val="en-ZA"/>
              </w:rPr>
              <w:t xml:space="preserve"> rental accommodation as a part of the relocation requirement.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1C695426" w14:textId="77777777" w:rsidR="005F182F" w:rsidRPr="00CC67C7" w:rsidRDefault="00F83D8D" w:rsidP="000F69A3">
            <w:pPr>
              <w:rPr>
                <w:rFonts w:cs="Arial"/>
                <w:sz w:val="18"/>
                <w:szCs w:val="18"/>
                <w:lang w:val="en-ZA"/>
              </w:rPr>
            </w:pPr>
            <w:r>
              <w:rPr>
                <w:rFonts w:cs="Arial"/>
                <w:sz w:val="18"/>
                <w:szCs w:val="18"/>
                <w:lang w:val="en-ZA"/>
              </w:rPr>
              <w:t>May form a part of a greenfields development, but requires a separate development process and different management arrangements.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0FCE09F4" w14:textId="2E0C30B7" w:rsidR="005F182F" w:rsidRPr="00CC67C7" w:rsidRDefault="00F83D8D" w:rsidP="000F69A3">
            <w:pPr>
              <w:rPr>
                <w:rFonts w:cs="Arial"/>
                <w:sz w:val="18"/>
                <w:szCs w:val="18"/>
                <w:lang w:val="en-ZA"/>
              </w:rPr>
            </w:pPr>
            <w:r>
              <w:rPr>
                <w:rFonts w:cs="Arial"/>
                <w:sz w:val="18"/>
                <w:szCs w:val="18"/>
                <w:lang w:val="en-ZA"/>
              </w:rPr>
              <w:t xml:space="preserve">Not applicable, as all </w:t>
            </w:r>
            <w:r w:rsidR="00E01C9B">
              <w:rPr>
                <w:rFonts w:cs="Arial"/>
                <w:sz w:val="18"/>
                <w:szCs w:val="18"/>
                <w:lang w:val="en-ZA"/>
              </w:rPr>
              <w:t>subsidized</w:t>
            </w:r>
            <w:r>
              <w:rPr>
                <w:rFonts w:cs="Arial"/>
                <w:sz w:val="18"/>
                <w:szCs w:val="18"/>
                <w:lang w:val="en-ZA"/>
              </w:rPr>
              <w:t xml:space="preserve"> rental currently are project-related design-build-manage approaches.</w:t>
            </w:r>
          </w:p>
        </w:tc>
      </w:tr>
      <w:tr w:rsidR="000F69A3" w:rsidRPr="00CC67C7" w14:paraId="711471F8" w14:textId="77777777" w:rsidTr="00CC67C7">
        <w:trPr>
          <w:trHeight w:val="907"/>
        </w:trPr>
        <w:tc>
          <w:tcPr>
            <w:tcW w:w="1823"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3F7CD8BC" w14:textId="1EFF2D8C" w:rsidR="000F69A3" w:rsidRDefault="000F69A3" w:rsidP="000F69A3">
            <w:pPr>
              <w:rPr>
                <w:rFonts w:cs="Arial"/>
                <w:b/>
                <w:bCs/>
                <w:sz w:val="18"/>
                <w:szCs w:val="18"/>
                <w:lang w:val="en-ZA"/>
              </w:rPr>
            </w:pPr>
            <w:r>
              <w:rPr>
                <w:rFonts w:cs="Arial"/>
                <w:b/>
                <w:bCs/>
                <w:sz w:val="18"/>
                <w:szCs w:val="18"/>
                <w:lang w:val="en-ZA"/>
              </w:rPr>
              <w:t>Urban Settlements Development Grant</w:t>
            </w:r>
          </w:p>
          <w:p w14:paraId="778B59EE" w14:textId="74A84CD7" w:rsidR="002A0C94" w:rsidRPr="00CC67C7" w:rsidRDefault="000F69A3" w:rsidP="000F69A3">
            <w:pPr>
              <w:rPr>
                <w:rFonts w:cs="Arial"/>
                <w:sz w:val="18"/>
                <w:szCs w:val="18"/>
                <w:lang w:val="en-US"/>
              </w:rPr>
            </w:pPr>
            <w:r>
              <w:rPr>
                <w:rFonts w:cs="Arial"/>
                <w:b/>
                <w:bCs/>
                <w:sz w:val="18"/>
                <w:szCs w:val="18"/>
                <w:lang w:val="en-ZA"/>
              </w:rPr>
              <w:t>(</w:t>
            </w:r>
            <w:r w:rsidR="002A0C94" w:rsidRPr="00CC67C7">
              <w:rPr>
                <w:rFonts w:cs="Arial"/>
                <w:b/>
                <w:bCs/>
                <w:sz w:val="18"/>
                <w:szCs w:val="18"/>
                <w:lang w:val="en-ZA"/>
              </w:rPr>
              <w:t>USDG</w:t>
            </w:r>
            <w:r>
              <w:rPr>
                <w:rFonts w:cs="Arial"/>
                <w:b/>
                <w:bCs/>
                <w:sz w:val="18"/>
                <w:szCs w:val="18"/>
                <w:lang w:val="en-ZA"/>
              </w:rPr>
              <w:t>)</w:t>
            </w:r>
          </w:p>
        </w:tc>
        <w:tc>
          <w:tcPr>
            <w:tcW w:w="248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3805F7F2" w14:textId="77777777" w:rsidR="002A0C94" w:rsidRPr="00CC67C7" w:rsidRDefault="002A0C94" w:rsidP="000F69A3">
            <w:pPr>
              <w:rPr>
                <w:rFonts w:cs="Arial"/>
                <w:sz w:val="18"/>
                <w:szCs w:val="18"/>
                <w:lang w:val="en-US"/>
              </w:rPr>
            </w:pPr>
            <w:r w:rsidRPr="00CC67C7">
              <w:rPr>
                <w:rFonts w:cs="Arial"/>
                <w:sz w:val="18"/>
                <w:szCs w:val="18"/>
                <w:lang w:val="en-ZA"/>
              </w:rPr>
              <w:t>Bulk and link infrastructure facilities and networks (water, sanitation, roads, transport)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5805DBC0" w14:textId="06CFFC7B" w:rsidR="002A0C94" w:rsidRPr="00CC67C7" w:rsidRDefault="002A0C94" w:rsidP="000F69A3">
            <w:pPr>
              <w:rPr>
                <w:rFonts w:cs="Arial"/>
                <w:sz w:val="18"/>
                <w:szCs w:val="18"/>
                <w:lang w:val="en-US"/>
              </w:rPr>
            </w:pPr>
            <w:r w:rsidRPr="00CC67C7">
              <w:rPr>
                <w:rFonts w:cs="Arial"/>
                <w:sz w:val="18"/>
                <w:szCs w:val="18"/>
                <w:lang w:val="en-ZA"/>
              </w:rPr>
              <w:t>Used to link informal settlements to networks &amp; augment service cost</w:t>
            </w:r>
            <w:r w:rsidR="00F83D8D">
              <w:rPr>
                <w:rFonts w:cs="Arial"/>
                <w:sz w:val="18"/>
                <w:szCs w:val="18"/>
                <w:lang w:val="en-ZA"/>
              </w:rPr>
              <w:t>, and to augment UISP subsidy resources.</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73CC309C" w14:textId="7415BD5E" w:rsidR="002A0C94" w:rsidRPr="00CC67C7" w:rsidRDefault="002A0C94" w:rsidP="000F69A3">
            <w:pPr>
              <w:rPr>
                <w:rFonts w:cs="Arial"/>
                <w:sz w:val="18"/>
                <w:szCs w:val="18"/>
                <w:lang w:val="en-US"/>
              </w:rPr>
            </w:pPr>
            <w:r w:rsidRPr="00CC67C7">
              <w:rPr>
                <w:rFonts w:cs="Arial"/>
                <w:sz w:val="18"/>
                <w:szCs w:val="18"/>
                <w:lang w:val="en-ZA"/>
              </w:rPr>
              <w:t>Used to provide bulks to relocation areas and augment service costs</w:t>
            </w:r>
            <w:r w:rsidR="00F83D8D">
              <w:rPr>
                <w:rFonts w:cs="Arial"/>
                <w:sz w:val="18"/>
                <w:szCs w:val="18"/>
                <w:lang w:val="en-ZA"/>
              </w:rPr>
              <w: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7B71C508" w14:textId="008B3A79" w:rsidR="002A0C94" w:rsidRPr="00CC67C7" w:rsidRDefault="002A0C94" w:rsidP="00F83D8D">
            <w:pPr>
              <w:rPr>
                <w:rFonts w:cs="Arial"/>
                <w:sz w:val="18"/>
                <w:szCs w:val="18"/>
                <w:lang w:val="en-US"/>
              </w:rPr>
            </w:pPr>
            <w:r w:rsidRPr="00CC67C7">
              <w:rPr>
                <w:rFonts w:cs="Arial"/>
                <w:sz w:val="18"/>
                <w:szCs w:val="18"/>
                <w:lang w:val="en-ZA"/>
              </w:rPr>
              <w:t xml:space="preserve">Used to provide bulks to </w:t>
            </w:r>
            <w:r w:rsidR="00F83D8D">
              <w:rPr>
                <w:rFonts w:cs="Arial"/>
                <w:sz w:val="18"/>
                <w:szCs w:val="18"/>
                <w:lang w:val="en-ZA"/>
              </w:rPr>
              <w:t xml:space="preserve">greenfields </w:t>
            </w:r>
            <w:r w:rsidRPr="00CC67C7">
              <w:rPr>
                <w:rFonts w:cs="Arial"/>
                <w:sz w:val="18"/>
                <w:szCs w:val="18"/>
                <w:lang w:val="en-ZA"/>
              </w:rPr>
              <w:t>areas and augment service costs</w:t>
            </w:r>
            <w:r w:rsidR="00F83D8D">
              <w:rPr>
                <w:rFonts w:cs="Arial"/>
                <w:sz w:val="18"/>
                <w:szCs w:val="18"/>
                <w:lang w:val="en-ZA"/>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56A0C78E" w14:textId="24B59773" w:rsidR="002A0C94" w:rsidRPr="00CC67C7" w:rsidRDefault="002A0C94" w:rsidP="00F83D8D">
            <w:pPr>
              <w:rPr>
                <w:rFonts w:cs="Arial"/>
                <w:sz w:val="18"/>
                <w:szCs w:val="18"/>
                <w:lang w:val="en-US"/>
              </w:rPr>
            </w:pPr>
            <w:r w:rsidRPr="00CC67C7">
              <w:rPr>
                <w:rFonts w:cs="Arial"/>
                <w:sz w:val="18"/>
                <w:szCs w:val="18"/>
                <w:lang w:val="en-ZA"/>
              </w:rPr>
              <w:t>Used for wide variety of application</w:t>
            </w:r>
            <w:r w:rsidR="00F83D8D">
              <w:rPr>
                <w:rFonts w:cs="Arial"/>
                <w:sz w:val="18"/>
                <w:szCs w:val="18"/>
                <w:lang w:val="en-ZA"/>
              </w:rPr>
              <w:t xml:space="preserve">s, </w:t>
            </w:r>
            <w:r w:rsidR="005A7B45">
              <w:rPr>
                <w:rFonts w:cs="Arial"/>
                <w:sz w:val="18"/>
                <w:szCs w:val="18"/>
                <w:lang w:val="en-ZA"/>
              </w:rPr>
              <w:t>possibly</w:t>
            </w:r>
            <w:r w:rsidR="00F83D8D">
              <w:rPr>
                <w:rFonts w:cs="Arial"/>
                <w:sz w:val="18"/>
                <w:szCs w:val="18"/>
                <w:lang w:val="en-ZA"/>
              </w:rPr>
              <w:t xml:space="preserve"> including on-site service installation in specific cases that may assist house consolidation activity.</w:t>
            </w:r>
          </w:p>
        </w:tc>
      </w:tr>
    </w:tbl>
    <w:p w14:paraId="44F01DD8" w14:textId="77777777" w:rsidR="007816AB" w:rsidRDefault="007816AB" w:rsidP="002A0C94">
      <w:pPr>
        <w:ind w:left="426"/>
        <w:rPr>
          <w:rFonts w:cs="Arial"/>
          <w:szCs w:val="22"/>
        </w:rPr>
        <w:sectPr w:rsidR="007816AB" w:rsidSect="008979F8">
          <w:pgSz w:w="15840" w:h="12240" w:orient="landscape" w:code="1"/>
          <w:pgMar w:top="1440" w:right="1440" w:bottom="1440" w:left="1440" w:header="851" w:footer="851" w:gutter="0"/>
          <w:cols w:space="720"/>
          <w:docGrid w:linePitch="360"/>
        </w:sectPr>
      </w:pPr>
    </w:p>
    <w:p w14:paraId="44F95E68" w14:textId="77777777" w:rsidR="005A7B45" w:rsidRPr="001D590D" w:rsidRDefault="005A7B45" w:rsidP="00540DD7">
      <w:pPr>
        <w:pStyle w:val="Heading2"/>
      </w:pPr>
      <w:bookmarkStart w:id="84" w:name="_Toc270946018"/>
      <w:bookmarkStart w:id="85" w:name="_Toc261617582"/>
      <w:bookmarkStart w:id="86" w:name="_Toc262067797"/>
      <w:bookmarkStart w:id="87" w:name="_Toc262068123"/>
      <w:r w:rsidRPr="001D590D">
        <w:lastRenderedPageBreak/>
        <w:t>Progress with Informal Settlement Upgrading In South Africa</w:t>
      </w:r>
      <w:bookmarkEnd w:id="84"/>
      <w:r w:rsidRPr="001D590D">
        <w:t xml:space="preserve"> </w:t>
      </w:r>
    </w:p>
    <w:p w14:paraId="199F0485" w14:textId="77777777" w:rsidR="005A7B45" w:rsidRDefault="005A7B45" w:rsidP="00250EA9">
      <w:pPr>
        <w:rPr>
          <w:rFonts w:cs="Arial"/>
          <w:szCs w:val="22"/>
        </w:rPr>
      </w:pPr>
    </w:p>
    <w:p w14:paraId="2DA78609" w14:textId="77777777" w:rsidR="005A7B45" w:rsidRPr="001D590D" w:rsidRDefault="005A7B45" w:rsidP="005A7B45">
      <w:pPr>
        <w:spacing w:line="360" w:lineRule="auto"/>
        <w:rPr>
          <w:rFonts w:cs="Arial"/>
          <w:szCs w:val="22"/>
        </w:rPr>
      </w:pPr>
      <w:r w:rsidRPr="001D590D">
        <w:rPr>
          <w:rFonts w:cs="Arial"/>
          <w:szCs w:val="22"/>
        </w:rPr>
        <w:t>Since the introduction of the UISP in 2008, there has been significant progress regarding the upgrading of informal settlements in South Africa.</w:t>
      </w:r>
    </w:p>
    <w:p w14:paraId="5989B911" w14:textId="25084314" w:rsidR="002A0C94" w:rsidRPr="001D590D" w:rsidRDefault="002A0C94" w:rsidP="00727BFC">
      <w:pPr>
        <w:pStyle w:val="Heading3"/>
      </w:pPr>
      <w:r w:rsidRPr="001D590D">
        <w:t>The Target</w:t>
      </w:r>
      <w:bookmarkEnd w:id="85"/>
      <w:bookmarkEnd w:id="86"/>
      <w:bookmarkEnd w:id="87"/>
    </w:p>
    <w:p w14:paraId="3A611B8C" w14:textId="10F5EF1A" w:rsidR="002A0C94" w:rsidRDefault="002A0C94" w:rsidP="005A7B45">
      <w:pPr>
        <w:spacing w:line="360" w:lineRule="auto"/>
        <w:rPr>
          <w:rFonts w:cs="Arial"/>
          <w:szCs w:val="22"/>
        </w:rPr>
      </w:pPr>
      <w:r w:rsidRPr="001D590D">
        <w:rPr>
          <w:rFonts w:cs="Arial"/>
          <w:szCs w:val="22"/>
        </w:rPr>
        <w:t xml:space="preserve">The total number of informal settlements in South Africa is still unclear, with estimates varying from 1 600 to over </w:t>
      </w:r>
      <w:r w:rsidR="00783110" w:rsidRPr="00783110">
        <w:rPr>
          <w:rFonts w:cs="Arial"/>
          <w:szCs w:val="22"/>
        </w:rPr>
        <w:t>5</w:t>
      </w:r>
      <w:r w:rsidRPr="00783110">
        <w:rPr>
          <w:rFonts w:cs="Arial"/>
          <w:szCs w:val="22"/>
        </w:rPr>
        <w:t xml:space="preserve"> 000</w:t>
      </w:r>
      <w:r w:rsidR="00783110">
        <w:rPr>
          <w:rFonts w:cs="Arial"/>
          <w:szCs w:val="22"/>
        </w:rPr>
        <w:t xml:space="preserve"> (</w:t>
      </w:r>
      <w:r w:rsidR="00DC2312">
        <w:rPr>
          <w:rFonts w:cs="Arial"/>
          <w:szCs w:val="22"/>
        </w:rPr>
        <w:t xml:space="preserve">NUSP, NDHS &amp; </w:t>
      </w:r>
      <w:r w:rsidR="00783110">
        <w:rPr>
          <w:rFonts w:cs="Arial"/>
          <w:szCs w:val="22"/>
        </w:rPr>
        <w:t>HDA, personal communications, 2014)</w:t>
      </w:r>
      <w:r w:rsidRPr="001D590D">
        <w:rPr>
          <w:rFonts w:cs="Arial"/>
          <w:szCs w:val="22"/>
        </w:rPr>
        <w:t xml:space="preserve">. Census 2011 indicates however </w:t>
      </w:r>
      <w:r w:rsidR="00DC2312" w:rsidRPr="001D590D">
        <w:rPr>
          <w:rFonts w:cs="Arial"/>
          <w:szCs w:val="22"/>
        </w:rPr>
        <w:t xml:space="preserve">that around </w:t>
      </w:r>
      <w:r w:rsidR="00DC2312">
        <w:rPr>
          <w:rFonts w:cs="Arial"/>
          <w:szCs w:val="22"/>
        </w:rPr>
        <w:t>1</w:t>
      </w:r>
      <w:r w:rsidR="00DC2312" w:rsidRPr="001D590D">
        <w:rPr>
          <w:rFonts w:cs="Arial"/>
          <w:szCs w:val="22"/>
        </w:rPr>
        <w:t>,2-million households resides</w:t>
      </w:r>
      <w:r w:rsidRPr="001D590D">
        <w:rPr>
          <w:rFonts w:cs="Arial"/>
          <w:szCs w:val="22"/>
        </w:rPr>
        <w:t xml:space="preserve"> in informal settlements and backyards</w:t>
      </w:r>
      <w:r w:rsidR="00536764">
        <w:rPr>
          <w:rFonts w:cs="Arial"/>
          <w:szCs w:val="22"/>
        </w:rPr>
        <w:t xml:space="preserve"> (StatsSA</w:t>
      </w:r>
      <w:r w:rsidR="000F1605">
        <w:rPr>
          <w:rFonts w:cs="Arial"/>
          <w:szCs w:val="22"/>
        </w:rPr>
        <w:t>, 2012)</w:t>
      </w:r>
      <w:r w:rsidRPr="001D590D">
        <w:rPr>
          <w:rFonts w:cs="Arial"/>
          <w:szCs w:val="22"/>
        </w:rPr>
        <w:t>.</w:t>
      </w:r>
      <w:r w:rsidR="00DC2312">
        <w:rPr>
          <w:rFonts w:cs="Arial"/>
          <w:szCs w:val="22"/>
        </w:rPr>
        <w:t xml:space="preserve">  The new MTSF (2014 to 2019) sets a target of reaching 447 000 households (cumulatively from 2019), and ensuring 750 000 households in informal settlements have access to basic services via the UISP. </w:t>
      </w:r>
    </w:p>
    <w:p w14:paraId="3A6AAA38" w14:textId="77777777" w:rsidR="002A0C94" w:rsidRPr="001D590D" w:rsidRDefault="002A0C94" w:rsidP="00727BFC">
      <w:pPr>
        <w:pStyle w:val="Heading3"/>
      </w:pPr>
      <w:bookmarkStart w:id="88" w:name="_Toc261617583"/>
      <w:bookmarkStart w:id="89" w:name="_Toc262067798"/>
      <w:bookmarkStart w:id="90" w:name="_Toc262068124"/>
      <w:r w:rsidRPr="001D590D">
        <w:t>Strategy Shift in Numbers: Statistics and delivery trajectory</w:t>
      </w:r>
      <w:bookmarkEnd w:id="88"/>
      <w:bookmarkEnd w:id="89"/>
      <w:bookmarkEnd w:id="90"/>
    </w:p>
    <w:p w14:paraId="2E5FAB75" w14:textId="4815EBEF" w:rsidR="000F1605" w:rsidRPr="00DE50B2" w:rsidRDefault="00783110" w:rsidP="00B7325D">
      <w:pPr>
        <w:spacing w:line="360" w:lineRule="auto"/>
        <w:rPr>
          <w:rFonts w:cs="Arial"/>
          <w:b/>
          <w:szCs w:val="22"/>
        </w:rPr>
      </w:pPr>
      <w:r>
        <w:rPr>
          <w:rFonts w:cs="Arial"/>
          <w:szCs w:val="22"/>
        </w:rPr>
        <w:t>Human settlements d</w:t>
      </w:r>
      <w:r w:rsidRPr="001D590D">
        <w:rPr>
          <w:rFonts w:cs="Arial"/>
          <w:szCs w:val="22"/>
        </w:rPr>
        <w:t xml:space="preserve">elivery statistics between 2010 and 2014 show the </w:t>
      </w:r>
      <w:r>
        <w:rPr>
          <w:rFonts w:cs="Arial"/>
          <w:szCs w:val="22"/>
        </w:rPr>
        <w:t xml:space="preserve">increasing proportion of total delivery claimed to be </w:t>
      </w:r>
      <w:r w:rsidRPr="001D590D">
        <w:rPr>
          <w:rFonts w:cs="Arial"/>
          <w:szCs w:val="22"/>
        </w:rPr>
        <w:t>meeting the needs of informal settlers</w:t>
      </w:r>
      <w:r>
        <w:rPr>
          <w:rFonts w:cs="Arial"/>
          <w:szCs w:val="22"/>
        </w:rPr>
        <w:t xml:space="preserve">, specifically through the UISP. </w:t>
      </w:r>
      <w:r w:rsidRPr="001D590D">
        <w:rPr>
          <w:rFonts w:cs="Arial"/>
          <w:szCs w:val="22"/>
        </w:rPr>
        <w:t xml:space="preserve">During the first Outcome 8 period, NDHS statistics </w:t>
      </w:r>
      <w:r>
        <w:rPr>
          <w:rFonts w:cs="Arial"/>
          <w:szCs w:val="22"/>
        </w:rPr>
        <w:t>claimed</w:t>
      </w:r>
      <w:r w:rsidRPr="001D590D">
        <w:rPr>
          <w:rFonts w:cs="Arial"/>
          <w:szCs w:val="22"/>
        </w:rPr>
        <w:t xml:space="preserve"> that the target of providing 400 000 </w:t>
      </w:r>
      <w:r w:rsidR="002A0C94" w:rsidRPr="001D590D">
        <w:rPr>
          <w:rFonts w:cs="Arial"/>
          <w:szCs w:val="22"/>
        </w:rPr>
        <w:t xml:space="preserve">households with upgraded services and security of tenure has been exceeded. </w:t>
      </w:r>
    </w:p>
    <w:p w14:paraId="70EB6872" w14:textId="77777777" w:rsidR="00B7325D" w:rsidRDefault="00B7325D" w:rsidP="00AB1FD3">
      <w:pPr>
        <w:spacing w:line="360" w:lineRule="auto"/>
        <w:rPr>
          <w:rFonts w:cs="Arial"/>
          <w:szCs w:val="22"/>
        </w:rPr>
      </w:pPr>
      <w:bookmarkStart w:id="91" w:name="_Toc261617584"/>
      <w:r>
        <w:rPr>
          <w:rFonts w:cs="Arial"/>
          <w:szCs w:val="22"/>
        </w:rPr>
        <w:t>W</w:t>
      </w:r>
      <w:r w:rsidR="00C91F0D">
        <w:rPr>
          <w:rFonts w:cs="Arial"/>
          <w:szCs w:val="22"/>
        </w:rPr>
        <w:t xml:space="preserve">hen analysed in detail, claimed </w:t>
      </w:r>
      <w:r>
        <w:rPr>
          <w:rFonts w:cs="Arial"/>
          <w:szCs w:val="22"/>
        </w:rPr>
        <w:t xml:space="preserve">informal settlement </w:t>
      </w:r>
      <w:r w:rsidR="00C91F0D">
        <w:rPr>
          <w:rFonts w:cs="Arial"/>
          <w:szCs w:val="22"/>
        </w:rPr>
        <w:t xml:space="preserve">upgrading statistics </w:t>
      </w:r>
      <w:r>
        <w:rPr>
          <w:rFonts w:cs="Arial"/>
          <w:szCs w:val="22"/>
        </w:rPr>
        <w:t>as contained in Outcome 8 reporting by the Department of Human Settlements are shown to</w:t>
      </w:r>
      <w:r w:rsidR="00AB1FD3">
        <w:rPr>
          <w:rFonts w:cs="Arial"/>
          <w:szCs w:val="22"/>
        </w:rPr>
        <w:t xml:space="preserve"> comprise</w:t>
      </w:r>
      <w:r>
        <w:rPr>
          <w:rFonts w:cs="Arial"/>
          <w:szCs w:val="22"/>
        </w:rPr>
        <w:t xml:space="preserve"> a range of dif</w:t>
      </w:r>
      <w:r w:rsidR="00C91F0D">
        <w:rPr>
          <w:rFonts w:cs="Arial"/>
          <w:szCs w:val="22"/>
        </w:rPr>
        <w:t>ferent types of interventions</w:t>
      </w:r>
      <w:r>
        <w:rPr>
          <w:rFonts w:cs="Arial"/>
          <w:szCs w:val="22"/>
        </w:rPr>
        <w:t>, using different subsidy instruments, and delivering different final outcomes that include complete and partially serviced sites, serviced sites with top structures, and top structures only</w:t>
      </w:r>
      <w:r w:rsidR="00C91F0D">
        <w:rPr>
          <w:rFonts w:cs="Arial"/>
          <w:szCs w:val="22"/>
        </w:rPr>
        <w:t xml:space="preserve">. However, even though this is the case, the predominant form of delivery is still to deliver a serviced site plus a </w:t>
      </w:r>
      <w:r w:rsidR="00AB1FD3">
        <w:rPr>
          <w:rFonts w:cs="Arial"/>
          <w:szCs w:val="22"/>
        </w:rPr>
        <w:t xml:space="preserve">top </w:t>
      </w:r>
      <w:r w:rsidR="00C91F0D">
        <w:rPr>
          <w:rFonts w:cs="Arial"/>
          <w:szCs w:val="22"/>
        </w:rPr>
        <w:t xml:space="preserve">structure as a part of Phase 4 of the UISP, or through relocation and greenfields development.  </w:t>
      </w:r>
      <w:r>
        <w:rPr>
          <w:rFonts w:cs="Arial"/>
          <w:szCs w:val="22"/>
        </w:rPr>
        <w:t>What is also evident is the increasing separation between the delivery of serviced sites with tenure to informal settlers, and the delivery of top structures.</w:t>
      </w:r>
    </w:p>
    <w:p w14:paraId="52FEA15D" w14:textId="7894E0D5" w:rsidR="00C91F0D" w:rsidRPr="00C91F0D" w:rsidRDefault="00B7325D" w:rsidP="00AB1FD3">
      <w:pPr>
        <w:spacing w:line="360" w:lineRule="auto"/>
        <w:rPr>
          <w:rFonts w:cs="Arial"/>
          <w:szCs w:val="22"/>
        </w:rPr>
      </w:pPr>
      <w:r>
        <w:rPr>
          <w:rFonts w:cs="Arial"/>
          <w:szCs w:val="22"/>
        </w:rPr>
        <w:t>Further analysis also indicates that, although substantial delivery statistics are claimed, there is still a relatively modest number of serviced sites and houses being delivered within the boundaries of informal settlements, due to the time taken to scale up upgrading programmes, and the lack of focus on upgrading within some provinces and many municipalities.</w:t>
      </w:r>
      <w:r w:rsidR="00A2512E">
        <w:rPr>
          <w:rFonts w:cs="Arial"/>
          <w:szCs w:val="22"/>
        </w:rPr>
        <w:t xml:space="preserve"> Further </w:t>
      </w:r>
      <w:r w:rsidR="00A2512E">
        <w:rPr>
          <w:rFonts w:cs="Arial"/>
          <w:szCs w:val="22"/>
        </w:rPr>
        <w:lastRenderedPageBreak/>
        <w:t>detailed analysis is required in order to provide clear, agreed statistics on the scale of provision of services, sites and top structures through the UISP, and the extent to which these are delivered within identified informal settlement upgrading projects.</w:t>
      </w:r>
    </w:p>
    <w:p w14:paraId="524FAAD0" w14:textId="2F0A371D" w:rsidR="002A0C94" w:rsidRPr="007816AB" w:rsidRDefault="002A0C94" w:rsidP="00727BFC">
      <w:pPr>
        <w:pStyle w:val="Heading3"/>
      </w:pPr>
      <w:bookmarkStart w:id="92" w:name="_Toc262067799"/>
      <w:bookmarkStart w:id="93" w:name="_Toc262068125"/>
      <w:r w:rsidRPr="001D590D">
        <w:t>UISP Implementation Considerations</w:t>
      </w:r>
      <w:bookmarkEnd w:id="91"/>
      <w:bookmarkEnd w:id="92"/>
      <w:bookmarkEnd w:id="93"/>
      <w:r w:rsidRPr="001D590D">
        <w:t xml:space="preserve"> </w:t>
      </w:r>
    </w:p>
    <w:p w14:paraId="4C78CE79" w14:textId="26249925" w:rsidR="00D67546" w:rsidRDefault="002A0C94" w:rsidP="00AB1FD3">
      <w:pPr>
        <w:spacing w:line="360" w:lineRule="auto"/>
        <w:rPr>
          <w:rFonts w:cs="Arial"/>
          <w:szCs w:val="22"/>
        </w:rPr>
      </w:pPr>
      <w:r w:rsidRPr="001D590D">
        <w:rPr>
          <w:rFonts w:cs="Arial"/>
          <w:szCs w:val="22"/>
        </w:rPr>
        <w:t>There is little doubt that substantial progress is being made</w:t>
      </w:r>
      <w:r w:rsidR="003E1774">
        <w:rPr>
          <w:rFonts w:cs="Arial"/>
          <w:szCs w:val="22"/>
        </w:rPr>
        <w:t xml:space="preserve"> in implementing the UISP and scaling up delivery through the programme</w:t>
      </w:r>
      <w:r w:rsidRPr="001D590D">
        <w:rPr>
          <w:rFonts w:cs="Arial"/>
          <w:szCs w:val="22"/>
        </w:rPr>
        <w:t xml:space="preserve">. However, upon closer scrutiny, there are many concerns regarding the </w:t>
      </w:r>
      <w:r w:rsidR="001E7EFE">
        <w:rPr>
          <w:rFonts w:cs="Arial"/>
          <w:szCs w:val="22"/>
        </w:rPr>
        <w:t xml:space="preserve">official </w:t>
      </w:r>
      <w:r w:rsidRPr="001D590D">
        <w:rPr>
          <w:rFonts w:cs="Arial"/>
          <w:szCs w:val="22"/>
        </w:rPr>
        <w:t xml:space="preserve">figures. </w:t>
      </w:r>
      <w:r w:rsidR="00AB1FD3">
        <w:rPr>
          <w:rFonts w:cs="Arial"/>
          <w:szCs w:val="22"/>
        </w:rPr>
        <w:t>Part of this is due to the fact that t</w:t>
      </w:r>
      <w:r w:rsidRPr="001D590D">
        <w:rPr>
          <w:rFonts w:cs="Arial"/>
          <w:szCs w:val="22"/>
        </w:rPr>
        <w:t>he definition of informal settlements</w:t>
      </w:r>
      <w:r w:rsidR="001E7EFE">
        <w:rPr>
          <w:rFonts w:cs="Arial"/>
          <w:szCs w:val="22"/>
        </w:rPr>
        <w:t>, and what upgrading entails, are</w:t>
      </w:r>
      <w:r w:rsidRPr="001D590D">
        <w:rPr>
          <w:rFonts w:cs="Arial"/>
          <w:szCs w:val="22"/>
        </w:rPr>
        <w:t xml:space="preserve"> still unclear</w:t>
      </w:r>
      <w:r w:rsidR="001E7EFE">
        <w:rPr>
          <w:rFonts w:cs="Arial"/>
          <w:szCs w:val="22"/>
        </w:rPr>
        <w:t xml:space="preserve">. This </w:t>
      </w:r>
      <w:r w:rsidRPr="001D590D">
        <w:rPr>
          <w:rFonts w:cs="Arial"/>
          <w:szCs w:val="22"/>
        </w:rPr>
        <w:t xml:space="preserve">implies that a portion of delivery claimed has not reached </w:t>
      </w:r>
      <w:r w:rsidR="00BE3F37">
        <w:rPr>
          <w:rFonts w:cs="Arial"/>
          <w:szCs w:val="22"/>
        </w:rPr>
        <w:t>informal settlers</w:t>
      </w:r>
      <w:r w:rsidR="001E7EFE">
        <w:rPr>
          <w:rFonts w:cs="Arial"/>
          <w:szCs w:val="22"/>
        </w:rPr>
        <w:t>, and much of what is claimed as UISP (in-situ) upgrading is in fact not achieved in-situ, or uses other methodologies such as relocation or rollover development</w:t>
      </w:r>
      <w:r w:rsidR="00AB1FD3">
        <w:rPr>
          <w:rFonts w:cs="Arial"/>
          <w:szCs w:val="22"/>
        </w:rPr>
        <w:t xml:space="preserve">. </w:t>
      </w:r>
      <w:r w:rsidR="003E1774">
        <w:rPr>
          <w:rFonts w:cs="Arial"/>
          <w:szCs w:val="22"/>
        </w:rPr>
        <w:t xml:space="preserve">Further, there is a lack of clarity on what levels of service are delivered in different projects. </w:t>
      </w:r>
      <w:r w:rsidR="00AB1FD3">
        <w:rPr>
          <w:rFonts w:cs="Arial"/>
          <w:szCs w:val="22"/>
        </w:rPr>
        <w:t>T</w:t>
      </w:r>
      <w:r w:rsidRPr="001D590D">
        <w:rPr>
          <w:rFonts w:cs="Arial"/>
          <w:szCs w:val="22"/>
        </w:rPr>
        <w:t xml:space="preserve">herefore, the extent to which delivery </w:t>
      </w:r>
      <w:r w:rsidR="00AB1FD3">
        <w:rPr>
          <w:rFonts w:cs="Arial"/>
          <w:szCs w:val="22"/>
        </w:rPr>
        <w:t xml:space="preserve">has </w:t>
      </w:r>
      <w:r w:rsidRPr="001D590D">
        <w:rPr>
          <w:rFonts w:cs="Arial"/>
          <w:szCs w:val="22"/>
        </w:rPr>
        <w:t>met the intent of upgrading conditions in well-located urban informal settlements</w:t>
      </w:r>
      <w:r w:rsidR="001E7EFE">
        <w:rPr>
          <w:rFonts w:cs="Arial"/>
          <w:szCs w:val="22"/>
        </w:rPr>
        <w:t xml:space="preserve"> as set out in the UISP and Outcome 8</w:t>
      </w:r>
      <w:r w:rsidRPr="001D590D">
        <w:rPr>
          <w:rFonts w:cs="Arial"/>
          <w:szCs w:val="22"/>
        </w:rPr>
        <w:t>,</w:t>
      </w:r>
      <w:r w:rsidR="001E7EFE">
        <w:rPr>
          <w:rFonts w:cs="Arial"/>
          <w:szCs w:val="22"/>
        </w:rPr>
        <w:t xml:space="preserve"> and the extent to which these figures </w:t>
      </w:r>
      <w:r w:rsidRPr="001D590D">
        <w:rPr>
          <w:rFonts w:cs="Arial"/>
          <w:szCs w:val="22"/>
        </w:rPr>
        <w:t xml:space="preserve">include </w:t>
      </w:r>
      <w:r w:rsidR="001E7EFE">
        <w:rPr>
          <w:rFonts w:cs="Arial"/>
          <w:szCs w:val="22"/>
        </w:rPr>
        <w:t xml:space="preserve">some or all services, tenure and top structures, is </w:t>
      </w:r>
      <w:r w:rsidR="00AB1FD3">
        <w:rPr>
          <w:rFonts w:cs="Arial"/>
          <w:szCs w:val="22"/>
        </w:rPr>
        <w:t>questionable</w:t>
      </w:r>
      <w:r w:rsidRPr="001D590D">
        <w:rPr>
          <w:rFonts w:cs="Arial"/>
          <w:szCs w:val="22"/>
        </w:rPr>
        <w:t xml:space="preserve">. </w:t>
      </w:r>
      <w:r w:rsidR="001E7EFE">
        <w:rPr>
          <w:rFonts w:cs="Arial"/>
          <w:szCs w:val="22"/>
        </w:rPr>
        <w:t xml:space="preserve"> </w:t>
      </w:r>
    </w:p>
    <w:p w14:paraId="7D59BE49" w14:textId="58D71386" w:rsidR="00702FD2" w:rsidRDefault="00702FD2" w:rsidP="00540DD7">
      <w:pPr>
        <w:pStyle w:val="Heading2"/>
      </w:pPr>
      <w:bookmarkStart w:id="94" w:name="_Toc261617586"/>
      <w:bookmarkStart w:id="95" w:name="_Toc262067800"/>
      <w:bookmarkStart w:id="96" w:name="_Toc270946019"/>
      <w:r>
        <w:t>Implications of Resource Scarcity for Human Settlement</w:t>
      </w:r>
      <w:bookmarkEnd w:id="94"/>
      <w:bookmarkEnd w:id="95"/>
      <w:bookmarkEnd w:id="96"/>
    </w:p>
    <w:p w14:paraId="062FB145" w14:textId="77777777" w:rsidR="00777E03" w:rsidRDefault="00777E03" w:rsidP="00C839FA">
      <w:pPr>
        <w:spacing w:line="360" w:lineRule="auto"/>
        <w:rPr>
          <w:rFonts w:cs="Arial"/>
          <w:szCs w:val="22"/>
        </w:rPr>
      </w:pPr>
    </w:p>
    <w:p w14:paraId="4E14CE2D" w14:textId="1191ABB3" w:rsidR="00702FD2" w:rsidRPr="0063022C" w:rsidRDefault="00702FD2" w:rsidP="00C839FA">
      <w:pPr>
        <w:spacing w:line="360" w:lineRule="auto"/>
        <w:rPr>
          <w:rFonts w:cs="Arial"/>
          <w:szCs w:val="22"/>
        </w:rPr>
      </w:pPr>
      <w:r w:rsidRPr="0063022C">
        <w:rPr>
          <w:rFonts w:cs="Arial"/>
          <w:szCs w:val="22"/>
        </w:rPr>
        <w:t xml:space="preserve">There is increasing recognition amongst housing practitioners and the government itself that there is </w:t>
      </w:r>
      <w:r w:rsidR="00AB1FD3" w:rsidRPr="0063022C">
        <w:rPr>
          <w:rFonts w:cs="Arial"/>
          <w:szCs w:val="22"/>
        </w:rPr>
        <w:t>growing</w:t>
      </w:r>
      <w:r w:rsidRPr="0063022C">
        <w:rPr>
          <w:rFonts w:cs="Arial"/>
          <w:szCs w:val="22"/>
        </w:rPr>
        <w:t xml:space="preserve"> pressure on the funds available for human settlement.  Many factors, including a slow economic growth rate and competing priorities on the fiscus, continue to put pressure on the housing </w:t>
      </w:r>
      <w:r w:rsidR="00AB1FD3">
        <w:rPr>
          <w:rFonts w:cs="Arial"/>
          <w:szCs w:val="22"/>
        </w:rPr>
        <w:t>allocation</w:t>
      </w:r>
      <w:r w:rsidRPr="0063022C">
        <w:rPr>
          <w:rFonts w:cs="Arial"/>
          <w:szCs w:val="22"/>
        </w:rPr>
        <w:t>. Furthermore, indications that South Africa’s backlog remains at roughly the same level as 1994</w:t>
      </w:r>
      <w:r w:rsidR="0063022C">
        <w:rPr>
          <w:rFonts w:cs="Arial"/>
          <w:szCs w:val="22"/>
        </w:rPr>
        <w:t xml:space="preserve"> and many households continue to wait for housing after two decades of democracy </w:t>
      </w:r>
      <w:r w:rsidRPr="0063022C">
        <w:rPr>
          <w:rFonts w:cs="Arial"/>
          <w:szCs w:val="22"/>
        </w:rPr>
        <w:t xml:space="preserve">places added pressure on the housing function to increase the number of households that benefit from available state resources.  </w:t>
      </w:r>
    </w:p>
    <w:p w14:paraId="057F631A" w14:textId="331E8475" w:rsidR="00702FD2" w:rsidRPr="0063022C" w:rsidRDefault="00702FD2" w:rsidP="00C839FA">
      <w:pPr>
        <w:spacing w:line="360" w:lineRule="auto"/>
        <w:rPr>
          <w:rFonts w:cs="Arial"/>
          <w:szCs w:val="22"/>
        </w:rPr>
      </w:pPr>
      <w:r w:rsidRPr="0063022C">
        <w:rPr>
          <w:rFonts w:cs="Arial"/>
          <w:szCs w:val="22"/>
        </w:rPr>
        <w:t xml:space="preserve">The implication of this is that it is likely in the foreseeable future that there will be a strategic change to the approach to housing subsidies.  This </w:t>
      </w:r>
      <w:r w:rsidR="0063022C">
        <w:rPr>
          <w:rFonts w:cs="Arial"/>
          <w:szCs w:val="22"/>
        </w:rPr>
        <w:t>could</w:t>
      </w:r>
      <w:r w:rsidRPr="0063022C">
        <w:rPr>
          <w:rFonts w:cs="Arial"/>
          <w:szCs w:val="22"/>
        </w:rPr>
        <w:t xml:space="preserve"> take one or more of the following routes:</w:t>
      </w:r>
    </w:p>
    <w:p w14:paraId="030989DB" w14:textId="45E27570" w:rsidR="00702FD2" w:rsidRPr="0063022C" w:rsidRDefault="0063022C" w:rsidP="0055634E">
      <w:pPr>
        <w:pStyle w:val="ListParagraph"/>
        <w:numPr>
          <w:ilvl w:val="0"/>
          <w:numId w:val="9"/>
        </w:numPr>
        <w:rPr>
          <w:rFonts w:eastAsia="Times New Roman" w:cs="Arial"/>
          <w:lang w:val="en-GB"/>
        </w:rPr>
      </w:pPr>
      <w:r w:rsidRPr="0063022C">
        <w:rPr>
          <w:rFonts w:eastAsia="Times New Roman" w:cs="Arial"/>
          <w:lang w:val="en-GB"/>
        </w:rPr>
        <w:t>Focusing housing interventions on priority groups</w:t>
      </w:r>
      <w:r w:rsidR="00DC2312">
        <w:rPr>
          <w:rFonts w:eastAsia="Times New Roman" w:cs="Arial"/>
          <w:lang w:val="en-GB"/>
        </w:rPr>
        <w:t>.</w:t>
      </w:r>
    </w:p>
    <w:p w14:paraId="721915C6" w14:textId="1BC01DFC" w:rsidR="0063022C" w:rsidRPr="0063022C" w:rsidRDefault="0063022C" w:rsidP="0055634E">
      <w:pPr>
        <w:pStyle w:val="ListParagraph"/>
        <w:numPr>
          <w:ilvl w:val="0"/>
          <w:numId w:val="9"/>
        </w:numPr>
        <w:rPr>
          <w:rFonts w:eastAsia="Times New Roman" w:cs="Arial"/>
          <w:lang w:val="en-GB"/>
        </w:rPr>
      </w:pPr>
      <w:r w:rsidRPr="0063022C">
        <w:rPr>
          <w:rFonts w:eastAsia="Times New Roman" w:cs="Arial"/>
          <w:lang w:val="en-GB"/>
        </w:rPr>
        <w:t>Focusing greater effort and capital on programmes that deliver tenure and basic services first (such as the upgrading of informal settlements)</w:t>
      </w:r>
      <w:r w:rsidR="00DC2312">
        <w:rPr>
          <w:rFonts w:eastAsia="Times New Roman" w:cs="Arial"/>
          <w:lang w:val="en-GB"/>
        </w:rPr>
        <w:t>.</w:t>
      </w:r>
    </w:p>
    <w:p w14:paraId="15414F1D" w14:textId="4F7E54D3" w:rsidR="0063022C" w:rsidRDefault="0063022C" w:rsidP="0055634E">
      <w:pPr>
        <w:pStyle w:val="ListParagraph"/>
        <w:numPr>
          <w:ilvl w:val="0"/>
          <w:numId w:val="9"/>
        </w:numPr>
        <w:rPr>
          <w:rFonts w:eastAsia="Times New Roman" w:cs="Arial"/>
          <w:lang w:val="en-GB"/>
        </w:rPr>
      </w:pPr>
      <w:r w:rsidRPr="0063022C">
        <w:rPr>
          <w:rFonts w:eastAsia="Times New Roman" w:cs="Arial"/>
          <w:lang w:val="en-GB"/>
        </w:rPr>
        <w:lastRenderedPageBreak/>
        <w:t>Reducing the support for added subsidisation for houses, where households have already benefited from basic tenure and service implementation interventions.</w:t>
      </w:r>
    </w:p>
    <w:p w14:paraId="5D6176F7" w14:textId="223314CC" w:rsidR="0059522A" w:rsidRDefault="0063022C" w:rsidP="009D570F">
      <w:pPr>
        <w:spacing w:line="360" w:lineRule="auto"/>
        <w:rPr>
          <w:rFonts w:cs="Arial"/>
          <w:szCs w:val="22"/>
        </w:rPr>
      </w:pPr>
      <w:r w:rsidRPr="0063022C">
        <w:rPr>
          <w:rFonts w:cs="Arial"/>
          <w:szCs w:val="22"/>
        </w:rPr>
        <w:t xml:space="preserve">The increasing emphasis on informal settlement upgrading, </w:t>
      </w:r>
      <w:r w:rsidR="00F6578B">
        <w:rPr>
          <w:rFonts w:cs="Arial"/>
          <w:szCs w:val="22"/>
        </w:rPr>
        <w:t xml:space="preserve">the closer alignment of Peoples Housing Process, NUSP and HDA approaches </w:t>
      </w:r>
      <w:r w:rsidRPr="0063022C">
        <w:rPr>
          <w:rFonts w:cs="Arial"/>
          <w:szCs w:val="22"/>
        </w:rPr>
        <w:t xml:space="preserve">and the likely reduction in the amount of funding available for subsequent house construction, </w:t>
      </w:r>
      <w:r w:rsidR="00AB1FD3">
        <w:rPr>
          <w:rFonts w:cs="Arial"/>
          <w:szCs w:val="22"/>
        </w:rPr>
        <w:t xml:space="preserve">is </w:t>
      </w:r>
      <w:r w:rsidRPr="0063022C">
        <w:rPr>
          <w:rFonts w:cs="Arial"/>
          <w:szCs w:val="22"/>
        </w:rPr>
        <w:t>plac</w:t>
      </w:r>
      <w:r w:rsidR="00AB1FD3">
        <w:rPr>
          <w:rFonts w:cs="Arial"/>
          <w:szCs w:val="22"/>
        </w:rPr>
        <w:t>ing</w:t>
      </w:r>
      <w:r w:rsidRPr="0063022C">
        <w:rPr>
          <w:rFonts w:cs="Arial"/>
          <w:szCs w:val="22"/>
        </w:rPr>
        <w:t xml:space="preserve"> </w:t>
      </w:r>
      <w:r w:rsidR="00AB1FD3">
        <w:rPr>
          <w:rFonts w:cs="Arial"/>
          <w:szCs w:val="22"/>
        </w:rPr>
        <w:t xml:space="preserve">greater </w:t>
      </w:r>
      <w:r w:rsidRPr="0063022C">
        <w:rPr>
          <w:rFonts w:cs="Arial"/>
          <w:szCs w:val="22"/>
        </w:rPr>
        <w:t>emphasis on the need to develop mechanisms and approaches for the consolidation of houses within informal settlement upgrading projects in the future.</w:t>
      </w:r>
      <w:r w:rsidR="003320C1">
        <w:rPr>
          <w:rFonts w:cs="Arial"/>
          <w:szCs w:val="22"/>
        </w:rPr>
        <w:t xml:space="preserve"> </w:t>
      </w:r>
    </w:p>
    <w:p w14:paraId="24E8F7BC" w14:textId="77777777" w:rsidR="00727BFC" w:rsidRDefault="00727BFC" w:rsidP="00727BFC">
      <w:pPr>
        <w:pStyle w:val="Heading1"/>
        <w:sectPr w:rsidR="00727BFC" w:rsidSect="00F845C0">
          <w:pgSz w:w="12240" w:h="15840"/>
          <w:pgMar w:top="1440" w:right="1440" w:bottom="1440" w:left="1440" w:header="720" w:footer="720" w:gutter="0"/>
          <w:cols w:space="720"/>
          <w:docGrid w:linePitch="360"/>
        </w:sectPr>
      </w:pPr>
      <w:bookmarkStart w:id="97" w:name="_Toc261617587"/>
      <w:bookmarkStart w:id="98" w:name="_Toc262067801"/>
      <w:bookmarkStart w:id="99" w:name="_Toc377127523"/>
    </w:p>
    <w:p w14:paraId="3D1B7C6B" w14:textId="16F089F3" w:rsidR="00970E1A" w:rsidRPr="00595DF4" w:rsidRDefault="00A25EF0" w:rsidP="00727BFC">
      <w:pPr>
        <w:pStyle w:val="Heading1"/>
      </w:pPr>
      <w:bookmarkStart w:id="100" w:name="_Toc270946020"/>
      <w:r w:rsidRPr="007260C4">
        <w:lastRenderedPageBreak/>
        <w:t>Understanding In</w:t>
      </w:r>
      <w:r w:rsidR="007816AB" w:rsidRPr="007260C4">
        <w:t>-</w:t>
      </w:r>
      <w:r w:rsidRPr="00595DF4">
        <w:t xml:space="preserve">situ </w:t>
      </w:r>
      <w:r w:rsidR="00F845C0" w:rsidRPr="00595DF4">
        <w:t>Informal Settlement Upgrading</w:t>
      </w:r>
      <w:bookmarkEnd w:id="97"/>
      <w:bookmarkEnd w:id="98"/>
      <w:bookmarkEnd w:id="100"/>
      <w:r w:rsidR="00F845C0" w:rsidRPr="00595DF4">
        <w:t xml:space="preserve"> </w:t>
      </w:r>
    </w:p>
    <w:p w14:paraId="4A9A0AB3" w14:textId="5AD5B69D" w:rsidR="00083319" w:rsidRPr="00083319" w:rsidRDefault="00083319" w:rsidP="00D61521">
      <w:pPr>
        <w:spacing w:line="360" w:lineRule="auto"/>
        <w:rPr>
          <w:rFonts w:cs="Arial"/>
          <w:szCs w:val="22"/>
        </w:rPr>
      </w:pPr>
      <w:r w:rsidRPr="00083319">
        <w:rPr>
          <w:rFonts w:cs="Arial"/>
          <w:szCs w:val="22"/>
        </w:rPr>
        <w:t xml:space="preserve">This </w:t>
      </w:r>
      <w:r w:rsidR="000B16AF">
        <w:rPr>
          <w:rFonts w:cs="Arial"/>
          <w:szCs w:val="22"/>
        </w:rPr>
        <w:t xml:space="preserve">chapter </w:t>
      </w:r>
      <w:r w:rsidRPr="00083319">
        <w:rPr>
          <w:rFonts w:cs="Arial"/>
          <w:szCs w:val="22"/>
        </w:rPr>
        <w:t>outlines a conceptual framework for understanding the consolidation of houses within the context of ISU programmes. It considers the theoretical approach to upgrading of informal settlements, and provides a framework for identifying the resources and involvement of actors available for house consolidation within its institutional, subsidy and demographic context.</w:t>
      </w:r>
    </w:p>
    <w:p w14:paraId="5F6665FE" w14:textId="77777777" w:rsidR="00083319" w:rsidRDefault="00083319" w:rsidP="00540DD7">
      <w:pPr>
        <w:pStyle w:val="Heading2"/>
      </w:pPr>
      <w:bookmarkStart w:id="101" w:name="_Toc261617588"/>
      <w:bookmarkStart w:id="102" w:name="_Toc262067802"/>
      <w:bookmarkStart w:id="103" w:name="_Toc270946021"/>
      <w:r>
        <w:t>Defining Informal Settlement Upgrading</w:t>
      </w:r>
      <w:bookmarkEnd w:id="101"/>
      <w:bookmarkEnd w:id="102"/>
      <w:bookmarkEnd w:id="103"/>
    </w:p>
    <w:p w14:paraId="73CF1EB5" w14:textId="27374D56" w:rsidR="00191822" w:rsidRPr="005018C4" w:rsidRDefault="00191822" w:rsidP="00727BFC">
      <w:pPr>
        <w:pStyle w:val="Heading3"/>
        <w:rPr>
          <w:highlight w:val="yellow"/>
        </w:rPr>
      </w:pPr>
      <w:bookmarkStart w:id="104" w:name="_Toc261617589"/>
      <w:bookmarkStart w:id="105" w:name="_Toc262067803"/>
      <w:bookmarkStart w:id="106" w:name="_Toc262068129"/>
      <w:r w:rsidRPr="005018C4">
        <w:rPr>
          <w:highlight w:val="yellow"/>
        </w:rPr>
        <w:t>Defining Informal Settlement</w:t>
      </w:r>
      <w:bookmarkEnd w:id="104"/>
      <w:bookmarkEnd w:id="105"/>
      <w:bookmarkEnd w:id="106"/>
    </w:p>
    <w:p w14:paraId="0C6EE5F0" w14:textId="6F4455AB" w:rsidR="00393FDE" w:rsidRPr="00393FDE" w:rsidRDefault="00595DF4" w:rsidP="00595DF4">
      <w:pPr>
        <w:spacing w:line="360" w:lineRule="auto"/>
        <w:rPr>
          <w:rFonts w:cs="Arial"/>
          <w:szCs w:val="22"/>
        </w:rPr>
      </w:pPr>
      <w:r w:rsidRPr="005018C4">
        <w:rPr>
          <w:rFonts w:cs="Arial"/>
          <w:szCs w:val="22"/>
          <w:highlight w:val="yellow"/>
        </w:rPr>
        <w:t xml:space="preserve">Despite there being a lack of clarity on the definition of informal settlements, as mentioned in the previous section, </w:t>
      </w:r>
      <w:r w:rsidR="00393FDE" w:rsidRPr="005018C4">
        <w:rPr>
          <w:rFonts w:cs="Arial"/>
          <w:szCs w:val="22"/>
          <w:highlight w:val="yellow"/>
        </w:rPr>
        <w:t xml:space="preserve">NUSP </w:t>
      </w:r>
      <w:r w:rsidRPr="005018C4">
        <w:rPr>
          <w:rFonts w:cs="Arial"/>
          <w:szCs w:val="22"/>
          <w:highlight w:val="yellow"/>
        </w:rPr>
        <w:t xml:space="preserve">(2013) </w:t>
      </w:r>
      <w:r w:rsidR="00EE76D1" w:rsidRPr="005018C4">
        <w:rPr>
          <w:rFonts w:cs="Arial"/>
          <w:szCs w:val="22"/>
          <w:highlight w:val="yellow"/>
        </w:rPr>
        <w:t xml:space="preserve">has usefully </w:t>
      </w:r>
      <w:r w:rsidRPr="005018C4">
        <w:rPr>
          <w:rFonts w:cs="Arial"/>
          <w:szCs w:val="22"/>
          <w:highlight w:val="yellow"/>
        </w:rPr>
        <w:t xml:space="preserve">argued </w:t>
      </w:r>
      <w:r w:rsidR="00393FDE" w:rsidRPr="005018C4">
        <w:rPr>
          <w:rFonts w:cs="Arial"/>
          <w:szCs w:val="22"/>
          <w:highlight w:val="yellow"/>
        </w:rPr>
        <w:t xml:space="preserve">that </w:t>
      </w:r>
      <w:r w:rsidRPr="005018C4">
        <w:rPr>
          <w:rFonts w:cs="Arial"/>
          <w:szCs w:val="22"/>
          <w:highlight w:val="yellow"/>
        </w:rPr>
        <w:t>‘</w:t>
      </w:r>
      <w:r w:rsidR="00393FDE" w:rsidRPr="005018C4">
        <w:rPr>
          <w:rFonts w:cs="Arial"/>
          <w:i/>
          <w:szCs w:val="22"/>
          <w:highlight w:val="yellow"/>
        </w:rPr>
        <w:t>An ‘Informal Settlement’ exists where housing has been created in an urban or peri-urban location without official approval.</w:t>
      </w:r>
      <w:r w:rsidR="007569FE" w:rsidRPr="005018C4">
        <w:rPr>
          <w:rFonts w:cs="Arial"/>
          <w:i/>
          <w:szCs w:val="22"/>
          <w:highlight w:val="yellow"/>
        </w:rPr>
        <w:t xml:space="preserve"> </w:t>
      </w:r>
      <w:r w:rsidR="00393FDE" w:rsidRPr="005018C4">
        <w:rPr>
          <w:rFonts w:cs="Arial"/>
          <w:i/>
          <w:szCs w:val="22"/>
          <w:highlight w:val="yellow"/>
        </w:rPr>
        <w:t>Informal settlements may contain a few dwellings or thousands of them, and are generally characterised by inadequate infrastructure, poor access to basic services, unsuitable environments, uncontrolled and unhealthy population densities, inadequate dwellings, poor access to health and education facilities and lack of effective administration by the municipality. Informal settlements are not peculiar to South Africa – they are increasingly the norm in Africa and in many other developing countries where the need for urban housing for the poor cannot be matched with delivery of any kind of formal housing</w:t>
      </w:r>
      <w:r w:rsidRPr="005018C4">
        <w:rPr>
          <w:rFonts w:cs="Arial"/>
          <w:szCs w:val="22"/>
          <w:highlight w:val="yellow"/>
        </w:rPr>
        <w:t>’.</w:t>
      </w:r>
      <w:r w:rsidR="00393FDE">
        <w:rPr>
          <w:rFonts w:cs="Arial"/>
          <w:szCs w:val="22"/>
        </w:rPr>
        <w:t xml:space="preserve"> </w:t>
      </w:r>
    </w:p>
    <w:p w14:paraId="55ED1E9C" w14:textId="04BC3C3D" w:rsidR="00191822" w:rsidRPr="005018C4" w:rsidRDefault="00191822" w:rsidP="004C6311">
      <w:pPr>
        <w:pStyle w:val="Heading3"/>
        <w:rPr>
          <w:highlight w:val="yellow"/>
        </w:rPr>
      </w:pPr>
      <w:bookmarkStart w:id="107" w:name="_Toc261617590"/>
      <w:bookmarkStart w:id="108" w:name="_Toc262067804"/>
      <w:bookmarkStart w:id="109" w:name="_Toc262068130"/>
      <w:r w:rsidRPr="005018C4">
        <w:rPr>
          <w:highlight w:val="yellow"/>
        </w:rPr>
        <w:t>Defining Informal Settlement Upgrading (ISU)</w:t>
      </w:r>
      <w:bookmarkEnd w:id="107"/>
      <w:bookmarkEnd w:id="108"/>
      <w:bookmarkEnd w:id="109"/>
    </w:p>
    <w:p w14:paraId="496973A0" w14:textId="62501A26" w:rsidR="00191822" w:rsidRDefault="00AB242A" w:rsidP="00595DF4">
      <w:pPr>
        <w:spacing w:line="360" w:lineRule="auto"/>
        <w:rPr>
          <w:rFonts w:cs="Arial"/>
          <w:szCs w:val="22"/>
        </w:rPr>
      </w:pPr>
      <w:r w:rsidRPr="005018C4">
        <w:rPr>
          <w:rFonts w:cs="Arial"/>
          <w:szCs w:val="22"/>
          <w:highlight w:val="yellow"/>
        </w:rPr>
        <w:t>ISU is based on</w:t>
      </w:r>
      <w:r w:rsidR="00595DF4" w:rsidRPr="005018C4">
        <w:rPr>
          <w:rFonts w:cs="Arial"/>
          <w:szCs w:val="22"/>
          <w:highlight w:val="yellow"/>
        </w:rPr>
        <w:t xml:space="preserve"> the</w:t>
      </w:r>
      <w:r w:rsidRPr="005018C4">
        <w:rPr>
          <w:rFonts w:cs="Arial"/>
          <w:szCs w:val="22"/>
          <w:highlight w:val="yellow"/>
        </w:rPr>
        <w:t xml:space="preserve"> progressive delivery of basic needs within the existing urban fabric of an informal settlement, with minimal disruption to the community. ISU is therefore a p</w:t>
      </w:r>
      <w:r w:rsidR="00191822" w:rsidRPr="005018C4">
        <w:rPr>
          <w:rFonts w:cs="Arial"/>
          <w:szCs w:val="22"/>
          <w:highlight w:val="yellow"/>
        </w:rPr>
        <w:t>hased,</w:t>
      </w:r>
      <w:r w:rsidR="00595DF4" w:rsidRPr="005018C4">
        <w:rPr>
          <w:rFonts w:cs="Arial"/>
          <w:szCs w:val="22"/>
          <w:highlight w:val="yellow"/>
        </w:rPr>
        <w:t xml:space="preserve"> beginning with an</w:t>
      </w:r>
      <w:r w:rsidR="00191822" w:rsidRPr="005018C4">
        <w:rPr>
          <w:rFonts w:cs="Arial"/>
          <w:szCs w:val="22"/>
          <w:highlight w:val="yellow"/>
        </w:rPr>
        <w:t xml:space="preserve"> in</w:t>
      </w:r>
      <w:r w:rsidR="00595DF4" w:rsidRPr="005018C4">
        <w:rPr>
          <w:rFonts w:cs="Arial"/>
          <w:szCs w:val="22"/>
          <w:highlight w:val="yellow"/>
        </w:rPr>
        <w:t xml:space="preserve"> </w:t>
      </w:r>
      <w:r w:rsidR="00191822" w:rsidRPr="005018C4">
        <w:rPr>
          <w:rFonts w:cs="Arial"/>
          <w:szCs w:val="22"/>
          <w:highlight w:val="yellow"/>
        </w:rPr>
        <w:t xml:space="preserve">situ </w:t>
      </w:r>
      <w:r w:rsidRPr="005018C4">
        <w:rPr>
          <w:rFonts w:cs="Arial"/>
          <w:szCs w:val="22"/>
          <w:highlight w:val="yellow"/>
        </w:rPr>
        <w:t xml:space="preserve">development </w:t>
      </w:r>
      <w:r w:rsidR="00191822" w:rsidRPr="005018C4">
        <w:rPr>
          <w:rFonts w:cs="Arial"/>
          <w:szCs w:val="22"/>
          <w:highlight w:val="yellow"/>
        </w:rPr>
        <w:t xml:space="preserve">intervention </w:t>
      </w:r>
      <w:r w:rsidRPr="005018C4">
        <w:rPr>
          <w:rFonts w:cs="Arial"/>
          <w:szCs w:val="22"/>
          <w:highlight w:val="yellow"/>
        </w:rPr>
        <w:t xml:space="preserve">in informal settlements to regularise the settlement in order to deliver tenure and basic services to households, as a base from which </w:t>
      </w:r>
      <w:r w:rsidR="00595DF4" w:rsidRPr="005018C4">
        <w:rPr>
          <w:rFonts w:cs="Arial"/>
          <w:szCs w:val="22"/>
          <w:highlight w:val="yellow"/>
        </w:rPr>
        <w:t xml:space="preserve">informal dwellers </w:t>
      </w:r>
      <w:r w:rsidRPr="005018C4">
        <w:rPr>
          <w:rFonts w:cs="Arial"/>
          <w:szCs w:val="22"/>
          <w:highlight w:val="yellow"/>
        </w:rPr>
        <w:t xml:space="preserve">can invest in the improvement of their houses. ISU often requires </w:t>
      </w:r>
      <w:r w:rsidR="00191822" w:rsidRPr="005018C4">
        <w:rPr>
          <w:rFonts w:cs="Arial"/>
          <w:szCs w:val="22"/>
          <w:highlight w:val="yellow"/>
        </w:rPr>
        <w:t>necessary decanting or relocation of some households</w:t>
      </w:r>
      <w:r w:rsidRPr="005018C4">
        <w:rPr>
          <w:rFonts w:cs="Arial"/>
          <w:szCs w:val="22"/>
          <w:highlight w:val="yellow"/>
        </w:rPr>
        <w:t xml:space="preserve"> in order to ensure appropriate densities and servitudes for access routes and other engineering infrastructure and social facilities.</w:t>
      </w:r>
      <w:r w:rsidR="00191822">
        <w:rPr>
          <w:rFonts w:cs="Arial"/>
          <w:szCs w:val="22"/>
        </w:rPr>
        <w:t xml:space="preserve"> </w:t>
      </w:r>
    </w:p>
    <w:p w14:paraId="344B0D49" w14:textId="77777777" w:rsidR="00DC2312" w:rsidRDefault="00DC2312" w:rsidP="00595DF4">
      <w:pPr>
        <w:spacing w:line="360" w:lineRule="auto"/>
        <w:rPr>
          <w:rFonts w:cs="Arial"/>
          <w:szCs w:val="22"/>
        </w:rPr>
      </w:pPr>
    </w:p>
    <w:p w14:paraId="77D6848A" w14:textId="4BC6F897" w:rsidR="00A9048F" w:rsidRDefault="00AB242A" w:rsidP="004C6311">
      <w:pPr>
        <w:pStyle w:val="Heading3"/>
      </w:pPr>
      <w:bookmarkStart w:id="110" w:name="_Toc261617591"/>
      <w:bookmarkStart w:id="111" w:name="_Toc262067805"/>
      <w:bookmarkStart w:id="112" w:name="_Toc262068131"/>
      <w:r>
        <w:lastRenderedPageBreak/>
        <w:t xml:space="preserve">Core Elements of </w:t>
      </w:r>
      <w:r w:rsidR="00960DB4">
        <w:t>ISU</w:t>
      </w:r>
      <w:bookmarkEnd w:id="110"/>
      <w:bookmarkEnd w:id="111"/>
      <w:bookmarkEnd w:id="112"/>
    </w:p>
    <w:p w14:paraId="3B151634" w14:textId="24E5363C" w:rsidR="00191822" w:rsidRPr="00A257E9" w:rsidRDefault="00393FDE" w:rsidP="00595DF4">
      <w:pPr>
        <w:spacing w:line="360" w:lineRule="auto"/>
        <w:rPr>
          <w:rFonts w:cs="Arial"/>
          <w:szCs w:val="22"/>
        </w:rPr>
      </w:pPr>
      <w:r w:rsidRPr="00A257E9">
        <w:rPr>
          <w:rFonts w:cs="Arial"/>
          <w:szCs w:val="22"/>
        </w:rPr>
        <w:t>Informal</w:t>
      </w:r>
      <w:r w:rsidR="00A257E9" w:rsidRPr="00A257E9">
        <w:rPr>
          <w:rFonts w:cs="Arial"/>
          <w:szCs w:val="22"/>
        </w:rPr>
        <w:t xml:space="preserve"> </w:t>
      </w:r>
      <w:r w:rsidRPr="00A257E9">
        <w:rPr>
          <w:rFonts w:cs="Arial"/>
          <w:szCs w:val="22"/>
        </w:rPr>
        <w:t xml:space="preserve">settlement upgrading generally </w:t>
      </w:r>
      <w:r w:rsidR="00DC2312" w:rsidRPr="00A257E9">
        <w:rPr>
          <w:rFonts w:cs="Arial"/>
          <w:szCs w:val="22"/>
        </w:rPr>
        <w:t>focuses</w:t>
      </w:r>
      <w:r w:rsidRPr="00A257E9">
        <w:rPr>
          <w:rFonts w:cs="Arial"/>
          <w:szCs w:val="22"/>
        </w:rPr>
        <w:t xml:space="preserve"> on the progressive improvement of a number of interconnected facets and </w:t>
      </w:r>
      <w:r w:rsidR="00A257E9" w:rsidRPr="00A257E9">
        <w:rPr>
          <w:rFonts w:cs="Arial"/>
          <w:szCs w:val="22"/>
        </w:rPr>
        <w:t>typically will include the following work streams as part of the overall programme:</w:t>
      </w:r>
    </w:p>
    <w:p w14:paraId="33019757" w14:textId="2786A5E9" w:rsidR="00191822" w:rsidRPr="001D590D" w:rsidRDefault="00E7667F" w:rsidP="0055634E">
      <w:pPr>
        <w:pStyle w:val="ListParagraph"/>
        <w:numPr>
          <w:ilvl w:val="0"/>
          <w:numId w:val="29"/>
        </w:numPr>
        <w:ind w:left="810" w:hanging="450"/>
      </w:pPr>
      <w:r w:rsidRPr="009D375A">
        <w:rPr>
          <w:b/>
        </w:rPr>
        <w:t>Tenure security</w:t>
      </w:r>
      <w:r w:rsidR="00DC2312">
        <w:rPr>
          <w:b/>
        </w:rPr>
        <w:t>:</w:t>
      </w:r>
      <w:r>
        <w:t xml:space="preserve"> </w:t>
      </w:r>
      <w:r w:rsidR="00A257E9">
        <w:t>The provision and progressive enhancement of tenure security and land rights.</w:t>
      </w:r>
    </w:p>
    <w:p w14:paraId="14C52C6E" w14:textId="2D917A28" w:rsidR="00A257E9" w:rsidRDefault="009D375A" w:rsidP="0055634E">
      <w:pPr>
        <w:pStyle w:val="ListParagraph"/>
        <w:numPr>
          <w:ilvl w:val="0"/>
          <w:numId w:val="29"/>
        </w:numPr>
        <w:ind w:left="810" w:hanging="450"/>
      </w:pPr>
      <w:r w:rsidRPr="009D375A">
        <w:rPr>
          <w:b/>
        </w:rPr>
        <w:t>Health and safety</w:t>
      </w:r>
      <w:r w:rsidR="00DC2312">
        <w:rPr>
          <w:b/>
        </w:rPr>
        <w:t xml:space="preserve">: </w:t>
      </w:r>
      <w:r w:rsidR="00A257E9">
        <w:t xml:space="preserve">Securing the health and safety of settlement residents through addressing risk such as fire , flooding, slope stability, emergency vehicle access </w:t>
      </w:r>
      <w:r w:rsidR="00E7667F">
        <w:t>etc.</w:t>
      </w:r>
    </w:p>
    <w:p w14:paraId="2DF78152" w14:textId="4FB73F62" w:rsidR="00191822" w:rsidRPr="001D590D" w:rsidRDefault="009D375A" w:rsidP="0055634E">
      <w:pPr>
        <w:pStyle w:val="ListParagraph"/>
        <w:numPr>
          <w:ilvl w:val="0"/>
          <w:numId w:val="29"/>
        </w:numPr>
        <w:ind w:left="810" w:hanging="450"/>
      </w:pPr>
      <w:r w:rsidRPr="009D375A">
        <w:rPr>
          <w:b/>
        </w:rPr>
        <w:t>Urban services</w:t>
      </w:r>
      <w:r w:rsidR="00DC2312">
        <w:rPr>
          <w:b/>
        </w:rPr>
        <w:t xml:space="preserve">: </w:t>
      </w:r>
      <w:r w:rsidR="00A257E9">
        <w:t xml:space="preserve">The provision and progressive upgrading </w:t>
      </w:r>
      <w:r>
        <w:t>of urban</w:t>
      </w:r>
      <w:r w:rsidR="00191822" w:rsidRPr="001D590D">
        <w:t xml:space="preserve"> services</w:t>
      </w:r>
      <w:r w:rsidR="00A257E9">
        <w:t xml:space="preserve">, </w:t>
      </w:r>
      <w:r>
        <w:t>water,</w:t>
      </w:r>
      <w:r w:rsidR="00A257E9">
        <w:t xml:space="preserve"> access, sewerage, </w:t>
      </w:r>
      <w:r>
        <w:t>electricity,</w:t>
      </w:r>
      <w:r w:rsidR="00A257E9">
        <w:t xml:space="preserve"> storm water and solid waste management. </w:t>
      </w:r>
      <w:r>
        <w:t>The establishment of the systems and capacities to maintain, operate and collect revenue therefrom.</w:t>
      </w:r>
    </w:p>
    <w:p w14:paraId="0B28E26F" w14:textId="47AD0716" w:rsidR="00191822" w:rsidRPr="001D590D" w:rsidRDefault="00191822" w:rsidP="0055634E">
      <w:pPr>
        <w:pStyle w:val="ListParagraph"/>
        <w:numPr>
          <w:ilvl w:val="0"/>
          <w:numId w:val="29"/>
        </w:numPr>
        <w:ind w:left="810" w:hanging="450"/>
      </w:pPr>
      <w:r w:rsidRPr="009D375A">
        <w:rPr>
          <w:b/>
        </w:rPr>
        <w:t>Public environment</w:t>
      </w:r>
      <w:r w:rsidR="00A257E9" w:rsidRPr="009D375A">
        <w:rPr>
          <w:b/>
        </w:rPr>
        <w:t xml:space="preserve"> and social </w:t>
      </w:r>
      <w:r w:rsidR="00E7667F" w:rsidRPr="009D375A">
        <w:rPr>
          <w:b/>
        </w:rPr>
        <w:t>infrastructure</w:t>
      </w:r>
      <w:r w:rsidR="00DC2312">
        <w:rPr>
          <w:b/>
        </w:rPr>
        <w:t xml:space="preserve">: </w:t>
      </w:r>
      <w:r w:rsidR="00DC2312" w:rsidRPr="00DC2312">
        <w:t>P</w:t>
      </w:r>
      <w:r w:rsidR="00E7667F">
        <w:t>rovision and enhancements</w:t>
      </w:r>
      <w:r w:rsidRPr="001D590D">
        <w:t xml:space="preserve"> </w:t>
      </w:r>
    </w:p>
    <w:p w14:paraId="62C33658" w14:textId="77777777" w:rsidR="00191822" w:rsidRPr="00E7667F" w:rsidRDefault="00191822" w:rsidP="0055634E">
      <w:pPr>
        <w:pStyle w:val="ListParagraph"/>
        <w:numPr>
          <w:ilvl w:val="0"/>
          <w:numId w:val="29"/>
        </w:numPr>
        <w:ind w:left="810" w:hanging="450"/>
      </w:pPr>
      <w:r w:rsidRPr="009D375A">
        <w:rPr>
          <w:b/>
        </w:rPr>
        <w:t>Top structures/dwelling unit consolidation</w:t>
      </w:r>
      <w:r w:rsidRPr="00E7667F">
        <w:t>.</w:t>
      </w:r>
    </w:p>
    <w:p w14:paraId="13F4326C" w14:textId="4171617A" w:rsidR="00E7667F" w:rsidRDefault="009D375A" w:rsidP="0055634E">
      <w:pPr>
        <w:pStyle w:val="ListParagraph"/>
        <w:numPr>
          <w:ilvl w:val="0"/>
          <w:numId w:val="29"/>
        </w:numPr>
        <w:ind w:left="810" w:hanging="450"/>
      </w:pPr>
      <w:r w:rsidRPr="009D375A">
        <w:rPr>
          <w:b/>
        </w:rPr>
        <w:t>Planning</w:t>
      </w:r>
      <w:r w:rsidR="00DC2312">
        <w:rPr>
          <w:b/>
        </w:rPr>
        <w:t xml:space="preserve">: </w:t>
      </w:r>
      <w:r w:rsidR="00E7667F" w:rsidRPr="00E7667F">
        <w:t xml:space="preserve">Since these </w:t>
      </w:r>
      <w:r>
        <w:t xml:space="preserve">five </w:t>
      </w:r>
      <w:r w:rsidR="00E7667F" w:rsidRPr="00E7667F">
        <w:t>work streams require the arrangement and rearrangement of development and the definition of boundaries</w:t>
      </w:r>
      <w:r w:rsidR="00666EA1">
        <w:t>,</w:t>
      </w:r>
      <w:r w:rsidR="00E7667F" w:rsidRPr="00E7667F">
        <w:t xml:space="preserve"> </w:t>
      </w:r>
      <w:r w:rsidR="00E7667F">
        <w:t xml:space="preserve">participative </w:t>
      </w:r>
      <w:r w:rsidR="00E7667F" w:rsidRPr="00E7667F">
        <w:t xml:space="preserve">planning and layout formation </w:t>
      </w:r>
      <w:r w:rsidRPr="00E7667F">
        <w:t>form</w:t>
      </w:r>
      <w:r w:rsidR="00E7667F" w:rsidRPr="00E7667F">
        <w:t xml:space="preserve"> an important part of ISU. </w:t>
      </w:r>
    </w:p>
    <w:p w14:paraId="31FC5CBE" w14:textId="5C5D61F1" w:rsidR="00531F39" w:rsidRDefault="00E7667F" w:rsidP="0055634E">
      <w:pPr>
        <w:pStyle w:val="ListParagraph"/>
        <w:numPr>
          <w:ilvl w:val="0"/>
          <w:numId w:val="29"/>
        </w:numPr>
        <w:ind w:left="810" w:hanging="450"/>
      </w:pPr>
      <w:r w:rsidRPr="00531F39">
        <w:rPr>
          <w:b/>
        </w:rPr>
        <w:t xml:space="preserve">Social capital </w:t>
      </w:r>
      <w:r w:rsidR="009D375A" w:rsidRPr="00250EA9">
        <w:rPr>
          <w:b/>
        </w:rPr>
        <w:t>development</w:t>
      </w:r>
      <w:r w:rsidR="00DC2312">
        <w:rPr>
          <w:b/>
        </w:rPr>
        <w:t xml:space="preserve">: </w:t>
      </w:r>
      <w:r w:rsidR="00DC2312" w:rsidRPr="00DC2312">
        <w:t>T</w:t>
      </w:r>
      <w:r w:rsidRPr="00DC2312">
        <w:t>h</w:t>
      </w:r>
      <w:r>
        <w:t xml:space="preserve">e strengthening of community ties, networks, institutions, and individual and group </w:t>
      </w:r>
      <w:r w:rsidR="009D375A">
        <w:t xml:space="preserve">capacities. </w:t>
      </w:r>
    </w:p>
    <w:p w14:paraId="4C0161E8" w14:textId="7A256903" w:rsidR="009D375A" w:rsidRDefault="009D375A" w:rsidP="0055634E">
      <w:pPr>
        <w:pStyle w:val="ListParagraph"/>
        <w:numPr>
          <w:ilvl w:val="0"/>
          <w:numId w:val="29"/>
        </w:numPr>
        <w:ind w:left="810" w:hanging="450"/>
      </w:pPr>
      <w:r w:rsidRPr="00531F39">
        <w:rPr>
          <w:b/>
        </w:rPr>
        <w:t xml:space="preserve">Citizenship </w:t>
      </w:r>
      <w:r w:rsidRPr="00250EA9">
        <w:rPr>
          <w:b/>
        </w:rPr>
        <w:t>and inclusion</w:t>
      </w:r>
      <w:r w:rsidR="00DC2312">
        <w:rPr>
          <w:b/>
        </w:rPr>
        <w:t xml:space="preserve">: </w:t>
      </w:r>
      <w:r w:rsidR="00263297">
        <w:t xml:space="preserve">This </w:t>
      </w:r>
      <w:r w:rsidR="00531F39" w:rsidRPr="00531F39">
        <w:t>worksteam typically focusses on the progressive integration of the settlement and its residents into the mainstream of urban life and will entail progressive enhancements to land use regulation, building quality, economic inclusion</w:t>
      </w:r>
      <w:r w:rsidR="00531F39">
        <w:rPr>
          <w:b/>
        </w:rPr>
        <w:t xml:space="preserve">, </w:t>
      </w:r>
      <w:r w:rsidR="00531F39" w:rsidRPr="00531F39">
        <w:t>enhanced representation and so on.</w:t>
      </w:r>
    </w:p>
    <w:p w14:paraId="28BD80B5" w14:textId="2BF3DD9A" w:rsidR="007569FE" w:rsidRDefault="009D375A" w:rsidP="00263297">
      <w:pPr>
        <w:spacing w:line="360" w:lineRule="auto"/>
        <w:rPr>
          <w:rFonts w:cs="Arial"/>
          <w:szCs w:val="22"/>
        </w:rPr>
      </w:pPr>
      <w:r w:rsidRPr="00531F39">
        <w:rPr>
          <w:rFonts w:cs="Arial"/>
          <w:szCs w:val="22"/>
        </w:rPr>
        <w:t xml:space="preserve">These seven streams of ISU intervention are strongly interconnected </w:t>
      </w:r>
      <w:r w:rsidR="00531F39" w:rsidRPr="00531F39">
        <w:rPr>
          <w:rFonts w:cs="Arial"/>
          <w:szCs w:val="22"/>
        </w:rPr>
        <w:t>and need to be tackled in tandem with</w:t>
      </w:r>
      <w:r w:rsidR="008323F7">
        <w:rPr>
          <w:rFonts w:cs="Arial"/>
          <w:szCs w:val="22"/>
        </w:rPr>
        <w:t>in</w:t>
      </w:r>
      <w:r w:rsidR="00531F39" w:rsidRPr="00531F39">
        <w:rPr>
          <w:rFonts w:cs="Arial"/>
          <w:szCs w:val="22"/>
        </w:rPr>
        <w:t xml:space="preserve"> an ISU.</w:t>
      </w:r>
      <w:r w:rsidR="00531F39">
        <w:rPr>
          <w:rFonts w:cs="Arial"/>
          <w:szCs w:val="22"/>
        </w:rPr>
        <w:t xml:space="preserve"> </w:t>
      </w:r>
      <w:r w:rsidR="007569FE" w:rsidRPr="00250EA9">
        <w:rPr>
          <w:rFonts w:cs="Arial"/>
          <w:szCs w:val="22"/>
        </w:rPr>
        <w:t>Table</w:t>
      </w:r>
      <w:r w:rsidR="0096547E" w:rsidRPr="00250EA9">
        <w:rPr>
          <w:rFonts w:cs="Arial"/>
          <w:szCs w:val="22"/>
        </w:rPr>
        <w:t xml:space="preserve"> 2</w:t>
      </w:r>
      <w:r w:rsidR="007569FE">
        <w:rPr>
          <w:rFonts w:cs="Arial"/>
          <w:szCs w:val="22"/>
        </w:rPr>
        <w:t xml:space="preserve"> below illustrates the different standards of </w:t>
      </w:r>
      <w:r w:rsidR="009E7A69">
        <w:rPr>
          <w:rFonts w:cs="Arial"/>
          <w:szCs w:val="22"/>
        </w:rPr>
        <w:t xml:space="preserve">tenure, engineering services and house </w:t>
      </w:r>
      <w:r w:rsidR="007569FE">
        <w:rPr>
          <w:rFonts w:cs="Arial"/>
          <w:szCs w:val="22"/>
        </w:rPr>
        <w:t xml:space="preserve">upgrading that </w:t>
      </w:r>
      <w:r w:rsidR="009E7A69">
        <w:rPr>
          <w:rFonts w:cs="Arial"/>
          <w:szCs w:val="22"/>
        </w:rPr>
        <w:t>are</w:t>
      </w:r>
      <w:r w:rsidR="007569FE">
        <w:rPr>
          <w:rFonts w:cs="Arial"/>
          <w:szCs w:val="22"/>
        </w:rPr>
        <w:t xml:space="preserve"> applied to different informal settlement</w:t>
      </w:r>
      <w:r w:rsidR="009E7A69">
        <w:rPr>
          <w:rFonts w:cs="Arial"/>
          <w:szCs w:val="22"/>
        </w:rPr>
        <w:t xml:space="preserve"> upgrading projects </w:t>
      </w:r>
      <w:r w:rsidR="007569FE">
        <w:rPr>
          <w:rFonts w:cs="Arial"/>
          <w:szCs w:val="22"/>
        </w:rPr>
        <w:t>in South Africa.</w:t>
      </w:r>
    </w:p>
    <w:p w14:paraId="3DC63965" w14:textId="355A2FE3" w:rsidR="00263297" w:rsidRPr="00531F39" w:rsidRDefault="00263297" w:rsidP="00263297">
      <w:pPr>
        <w:spacing w:line="360" w:lineRule="auto"/>
        <w:rPr>
          <w:rFonts w:cs="Arial"/>
          <w:szCs w:val="22"/>
        </w:rPr>
      </w:pPr>
      <w:bookmarkStart w:id="113" w:name="_Toc382146289"/>
      <w:r>
        <w:rPr>
          <w:rFonts w:cs="Arial"/>
          <w:szCs w:val="22"/>
        </w:rPr>
        <w:t>The focus of this document is on the house (or top structure) consolidation work</w:t>
      </w:r>
      <w:r w:rsidR="00926ED4">
        <w:rPr>
          <w:rFonts w:cs="Arial"/>
          <w:szCs w:val="22"/>
        </w:rPr>
        <w:t xml:space="preserve"> </w:t>
      </w:r>
      <w:r>
        <w:rPr>
          <w:rFonts w:cs="Arial"/>
          <w:szCs w:val="22"/>
        </w:rPr>
        <w:t>stream and its interconnection with the other six ISU work</w:t>
      </w:r>
      <w:r w:rsidR="00926ED4">
        <w:rPr>
          <w:rFonts w:cs="Arial"/>
          <w:szCs w:val="22"/>
        </w:rPr>
        <w:t xml:space="preserve"> </w:t>
      </w:r>
      <w:r>
        <w:rPr>
          <w:rFonts w:cs="Arial"/>
          <w:szCs w:val="22"/>
        </w:rPr>
        <w:t>streams.</w:t>
      </w:r>
    </w:p>
    <w:p w14:paraId="2ED33B30" w14:textId="77777777" w:rsidR="009E7A69" w:rsidRDefault="009E7A69" w:rsidP="00CF1919">
      <w:pPr>
        <w:pStyle w:val="Caption"/>
      </w:pPr>
    </w:p>
    <w:p w14:paraId="78927BC6" w14:textId="77777777" w:rsidR="009E7A69" w:rsidRDefault="009E7A69" w:rsidP="00CF1919">
      <w:pPr>
        <w:pStyle w:val="Caption"/>
      </w:pPr>
    </w:p>
    <w:p w14:paraId="035FE290" w14:textId="749A5AD2" w:rsidR="007569FE" w:rsidRDefault="007569FE" w:rsidP="00CF1919">
      <w:pPr>
        <w:pStyle w:val="Caption"/>
        <w:rPr>
          <w:lang w:val="en-US"/>
        </w:rPr>
      </w:pPr>
      <w:bookmarkStart w:id="114" w:name="_Toc270945493"/>
      <w:r w:rsidRPr="00A0532A">
        <w:lastRenderedPageBreak/>
        <w:t xml:space="preserve">Table </w:t>
      </w:r>
      <w:r w:rsidRPr="00A0532A">
        <w:fldChar w:fldCharType="begin"/>
      </w:r>
      <w:r w:rsidRPr="00A0532A">
        <w:instrText xml:space="preserve"> SEQ Table \* ARABIC </w:instrText>
      </w:r>
      <w:r w:rsidRPr="00A0532A">
        <w:fldChar w:fldCharType="separate"/>
      </w:r>
      <w:r w:rsidR="00E9048A">
        <w:rPr>
          <w:noProof/>
        </w:rPr>
        <w:t>2</w:t>
      </w:r>
      <w:r w:rsidRPr="00A0532A">
        <w:rPr>
          <w:noProof/>
        </w:rPr>
        <w:fldChar w:fldCharType="end"/>
      </w:r>
      <w:r w:rsidRPr="00A0532A">
        <w:t xml:space="preserve">: </w:t>
      </w:r>
      <w:r w:rsidRPr="00BE57D5">
        <w:rPr>
          <w:highlight w:val="yellow"/>
        </w:rPr>
        <w:t xml:space="preserve">Alternative Levels </w:t>
      </w:r>
      <w:r w:rsidR="009E7A69" w:rsidRPr="00BE57D5">
        <w:rPr>
          <w:highlight w:val="yellow"/>
        </w:rPr>
        <w:t xml:space="preserve">of </w:t>
      </w:r>
      <w:r w:rsidRPr="00BE57D5">
        <w:rPr>
          <w:highlight w:val="yellow"/>
        </w:rPr>
        <w:t>Informal Settlement Upgrading</w:t>
      </w:r>
      <w:bookmarkEnd w:id="113"/>
      <w:r w:rsidR="009E7A69" w:rsidRPr="00BE57D5">
        <w:rPr>
          <w:rStyle w:val="FootnoteReference"/>
          <w:highlight w:val="yellow"/>
        </w:rPr>
        <w:footnoteReference w:id="6"/>
      </w:r>
      <w:bookmarkEnd w:id="114"/>
    </w:p>
    <w:tbl>
      <w:tblPr>
        <w:tblW w:w="9555" w:type="dxa"/>
        <w:tblLayout w:type="fixed"/>
        <w:tblCellMar>
          <w:left w:w="0" w:type="dxa"/>
          <w:right w:w="0" w:type="dxa"/>
        </w:tblCellMar>
        <w:tblLook w:val="04A0" w:firstRow="1" w:lastRow="0" w:firstColumn="1" w:lastColumn="0" w:noHBand="0" w:noVBand="1"/>
      </w:tblPr>
      <w:tblGrid>
        <w:gridCol w:w="1050"/>
        <w:gridCol w:w="1417"/>
        <w:gridCol w:w="1418"/>
        <w:gridCol w:w="1417"/>
        <w:gridCol w:w="1418"/>
        <w:gridCol w:w="1417"/>
        <w:gridCol w:w="1418"/>
      </w:tblGrid>
      <w:tr w:rsidR="007569FE" w:rsidRPr="00B438EE" w14:paraId="15187548" w14:textId="77777777" w:rsidTr="009E7A69">
        <w:trPr>
          <w:trHeight w:val="1122"/>
          <w:tblHeader/>
        </w:trPr>
        <w:tc>
          <w:tcPr>
            <w:tcW w:w="1050" w:type="dxa"/>
            <w:tcBorders>
              <w:top w:val="single" w:sz="8" w:space="0" w:color="000000"/>
              <w:left w:val="single" w:sz="8" w:space="0" w:color="000000"/>
              <w:bottom w:val="single" w:sz="8" w:space="0" w:color="000000"/>
              <w:right w:val="single" w:sz="8" w:space="0" w:color="000000"/>
            </w:tcBorders>
            <w:shd w:val="clear" w:color="auto" w:fill="C4BD97"/>
            <w:tcMar>
              <w:top w:w="57" w:type="dxa"/>
              <w:left w:w="57" w:type="dxa"/>
              <w:bottom w:w="57" w:type="dxa"/>
              <w:right w:w="57" w:type="dxa"/>
            </w:tcMar>
            <w:hideMark/>
          </w:tcPr>
          <w:p w14:paraId="108355CE" w14:textId="5FEBE3BD" w:rsidR="007569FE" w:rsidRPr="0098052A" w:rsidRDefault="007569FE" w:rsidP="003A0CCC">
            <w:pPr>
              <w:pStyle w:val="body1"/>
              <w:spacing w:before="0" w:after="0" w:line="240" w:lineRule="auto"/>
              <w:ind w:left="0"/>
              <w:jc w:val="left"/>
              <w:rPr>
                <w:sz w:val="20"/>
                <w:lang w:val="en-US"/>
              </w:rPr>
            </w:pPr>
            <w:r w:rsidRPr="0098052A">
              <w:rPr>
                <w:b/>
                <w:bCs/>
                <w:sz w:val="20"/>
              </w:rPr>
              <w:t xml:space="preserve">Service Type </w:t>
            </w:r>
          </w:p>
        </w:tc>
        <w:tc>
          <w:tcPr>
            <w:tcW w:w="1417" w:type="dxa"/>
            <w:tcBorders>
              <w:top w:val="single" w:sz="8" w:space="0" w:color="000000"/>
              <w:left w:val="single" w:sz="8" w:space="0" w:color="000000"/>
              <w:bottom w:val="single" w:sz="8" w:space="0" w:color="000000"/>
              <w:right w:val="single" w:sz="8" w:space="0" w:color="000000"/>
            </w:tcBorders>
            <w:shd w:val="clear" w:color="auto" w:fill="C4BD97"/>
            <w:tcMar>
              <w:top w:w="57" w:type="dxa"/>
              <w:left w:w="57" w:type="dxa"/>
              <w:bottom w:w="57" w:type="dxa"/>
              <w:right w:w="57" w:type="dxa"/>
            </w:tcMar>
            <w:hideMark/>
          </w:tcPr>
          <w:p w14:paraId="197F68C0" w14:textId="77777777" w:rsidR="007569FE" w:rsidRPr="0098052A" w:rsidRDefault="007569FE" w:rsidP="003A0CCC">
            <w:pPr>
              <w:pStyle w:val="body1"/>
              <w:spacing w:before="0" w:after="0" w:line="240" w:lineRule="auto"/>
              <w:ind w:left="0"/>
              <w:jc w:val="left"/>
              <w:rPr>
                <w:sz w:val="20"/>
                <w:lang w:val="en-US"/>
              </w:rPr>
            </w:pPr>
            <w:r w:rsidRPr="0098052A">
              <w:rPr>
                <w:b/>
                <w:bCs/>
                <w:sz w:val="20"/>
              </w:rPr>
              <w:t xml:space="preserve">Level 0: None / Not Applicable </w:t>
            </w:r>
          </w:p>
        </w:tc>
        <w:tc>
          <w:tcPr>
            <w:tcW w:w="1418" w:type="dxa"/>
            <w:tcBorders>
              <w:top w:val="single" w:sz="8" w:space="0" w:color="000000"/>
              <w:left w:val="single" w:sz="8" w:space="0" w:color="000000"/>
              <w:bottom w:val="single" w:sz="8" w:space="0" w:color="000000"/>
              <w:right w:val="single" w:sz="8" w:space="0" w:color="000000"/>
            </w:tcBorders>
            <w:shd w:val="clear" w:color="auto" w:fill="C4BD97"/>
            <w:tcMar>
              <w:top w:w="57" w:type="dxa"/>
              <w:left w:w="57" w:type="dxa"/>
              <w:bottom w:w="57" w:type="dxa"/>
              <w:right w:w="57" w:type="dxa"/>
            </w:tcMar>
            <w:hideMark/>
          </w:tcPr>
          <w:p w14:paraId="47E247F8" w14:textId="77777777" w:rsidR="007569FE" w:rsidRPr="0098052A" w:rsidRDefault="007569FE" w:rsidP="003A0CCC">
            <w:pPr>
              <w:pStyle w:val="body1"/>
              <w:spacing w:before="0" w:after="0" w:line="240" w:lineRule="auto"/>
              <w:ind w:left="0"/>
              <w:jc w:val="left"/>
              <w:rPr>
                <w:sz w:val="20"/>
                <w:lang w:val="en-US"/>
              </w:rPr>
            </w:pPr>
            <w:r w:rsidRPr="0098052A">
              <w:rPr>
                <w:b/>
                <w:bCs/>
                <w:sz w:val="20"/>
              </w:rPr>
              <w:t xml:space="preserve">Level 1: Emergency / Temporary Services  </w:t>
            </w:r>
          </w:p>
        </w:tc>
        <w:tc>
          <w:tcPr>
            <w:tcW w:w="1417" w:type="dxa"/>
            <w:tcBorders>
              <w:top w:val="single" w:sz="8" w:space="0" w:color="000000"/>
              <w:left w:val="single" w:sz="8" w:space="0" w:color="000000"/>
              <w:bottom w:val="single" w:sz="8" w:space="0" w:color="000000"/>
              <w:right w:val="single" w:sz="8" w:space="0" w:color="000000"/>
            </w:tcBorders>
            <w:shd w:val="clear" w:color="auto" w:fill="C4BD97"/>
            <w:tcMar>
              <w:top w:w="57" w:type="dxa"/>
              <w:left w:w="57" w:type="dxa"/>
              <w:bottom w:w="57" w:type="dxa"/>
              <w:right w:w="57" w:type="dxa"/>
            </w:tcMar>
            <w:hideMark/>
          </w:tcPr>
          <w:p w14:paraId="4EEFD41A" w14:textId="77777777" w:rsidR="007569FE" w:rsidRPr="0098052A" w:rsidRDefault="007569FE" w:rsidP="003A0CCC">
            <w:pPr>
              <w:pStyle w:val="body1"/>
              <w:spacing w:before="0" w:after="0" w:line="240" w:lineRule="auto"/>
              <w:ind w:left="0"/>
              <w:jc w:val="left"/>
              <w:rPr>
                <w:sz w:val="20"/>
                <w:lang w:val="en-US"/>
              </w:rPr>
            </w:pPr>
            <w:r w:rsidRPr="0098052A">
              <w:rPr>
                <w:b/>
                <w:bCs/>
                <w:sz w:val="20"/>
              </w:rPr>
              <w:t xml:space="preserve">Level 2: Basic Level of Service </w:t>
            </w:r>
          </w:p>
        </w:tc>
        <w:tc>
          <w:tcPr>
            <w:tcW w:w="1418" w:type="dxa"/>
            <w:tcBorders>
              <w:top w:val="single" w:sz="8" w:space="0" w:color="000000"/>
              <w:left w:val="single" w:sz="8" w:space="0" w:color="000000"/>
              <w:bottom w:val="single" w:sz="8" w:space="0" w:color="000000"/>
              <w:right w:val="single" w:sz="8" w:space="0" w:color="000000"/>
            </w:tcBorders>
            <w:shd w:val="clear" w:color="auto" w:fill="C4BD97"/>
            <w:tcMar>
              <w:top w:w="57" w:type="dxa"/>
              <w:left w:w="57" w:type="dxa"/>
              <w:bottom w:w="57" w:type="dxa"/>
              <w:right w:w="57" w:type="dxa"/>
            </w:tcMar>
            <w:hideMark/>
          </w:tcPr>
          <w:p w14:paraId="61A8CF92" w14:textId="77777777" w:rsidR="007569FE" w:rsidRPr="0098052A" w:rsidRDefault="007569FE" w:rsidP="003A0CCC">
            <w:pPr>
              <w:pStyle w:val="body1"/>
              <w:spacing w:before="0" w:after="0" w:line="240" w:lineRule="auto"/>
              <w:ind w:left="0"/>
              <w:jc w:val="left"/>
              <w:rPr>
                <w:sz w:val="20"/>
                <w:lang w:val="en-US"/>
              </w:rPr>
            </w:pPr>
            <w:r w:rsidRPr="0098052A">
              <w:rPr>
                <w:b/>
                <w:bCs/>
                <w:sz w:val="20"/>
              </w:rPr>
              <w:t xml:space="preserve">Level 3: Intermediate Level of Service </w:t>
            </w:r>
          </w:p>
        </w:tc>
        <w:tc>
          <w:tcPr>
            <w:tcW w:w="1417" w:type="dxa"/>
            <w:tcBorders>
              <w:top w:val="single" w:sz="8" w:space="0" w:color="000000"/>
              <w:left w:val="single" w:sz="8" w:space="0" w:color="000000"/>
              <w:bottom w:val="single" w:sz="8" w:space="0" w:color="000000"/>
              <w:right w:val="single" w:sz="8" w:space="0" w:color="000000"/>
            </w:tcBorders>
            <w:shd w:val="clear" w:color="auto" w:fill="C4BD97"/>
            <w:tcMar>
              <w:top w:w="57" w:type="dxa"/>
              <w:left w:w="57" w:type="dxa"/>
              <w:bottom w:w="57" w:type="dxa"/>
              <w:right w:w="57" w:type="dxa"/>
            </w:tcMar>
            <w:hideMark/>
          </w:tcPr>
          <w:p w14:paraId="243003FC" w14:textId="77777777" w:rsidR="007569FE" w:rsidRPr="0098052A" w:rsidRDefault="007569FE" w:rsidP="003A0CCC">
            <w:pPr>
              <w:pStyle w:val="body1"/>
              <w:spacing w:before="0" w:after="0" w:line="240" w:lineRule="auto"/>
              <w:ind w:left="0"/>
              <w:jc w:val="left"/>
              <w:rPr>
                <w:sz w:val="20"/>
                <w:lang w:val="en-US"/>
              </w:rPr>
            </w:pPr>
            <w:r w:rsidRPr="0098052A">
              <w:rPr>
                <w:b/>
                <w:bCs/>
                <w:sz w:val="20"/>
              </w:rPr>
              <w:t>Level 4: Full Level of Services</w:t>
            </w:r>
            <w:r w:rsidRPr="0098052A">
              <w:rPr>
                <w:i/>
                <w:iCs/>
                <w:sz w:val="20"/>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C4BD97"/>
            <w:tcMar>
              <w:top w:w="57" w:type="dxa"/>
              <w:left w:w="57" w:type="dxa"/>
              <w:bottom w:w="57" w:type="dxa"/>
              <w:right w:w="57" w:type="dxa"/>
            </w:tcMar>
            <w:hideMark/>
          </w:tcPr>
          <w:p w14:paraId="61159C42" w14:textId="77777777" w:rsidR="007569FE" w:rsidRPr="00367CAD" w:rsidRDefault="007569FE" w:rsidP="003A0CCC">
            <w:pPr>
              <w:pStyle w:val="body1"/>
              <w:spacing w:before="0" w:after="0" w:line="240" w:lineRule="auto"/>
              <w:ind w:left="0"/>
              <w:jc w:val="left"/>
              <w:rPr>
                <w:b/>
                <w:bCs/>
                <w:sz w:val="20"/>
                <w:lang w:val="en-US"/>
              </w:rPr>
            </w:pPr>
            <w:r>
              <w:rPr>
                <w:b/>
                <w:bCs/>
                <w:sz w:val="20"/>
                <w:lang w:val="en-US"/>
              </w:rPr>
              <w:t>Possible Alternative Levels of Service</w:t>
            </w:r>
          </w:p>
        </w:tc>
      </w:tr>
      <w:tr w:rsidR="007569FE" w:rsidRPr="00B438EE" w14:paraId="73DBFFEE" w14:textId="77777777" w:rsidTr="009E7A69">
        <w:trPr>
          <w:trHeight w:val="1122"/>
        </w:trPr>
        <w:tc>
          <w:tcPr>
            <w:tcW w:w="105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665814CF" w14:textId="77777777" w:rsidR="007569FE" w:rsidRPr="0098052A" w:rsidRDefault="007569FE" w:rsidP="003A0CCC">
            <w:pPr>
              <w:pStyle w:val="body1"/>
              <w:spacing w:before="0" w:after="0" w:line="240" w:lineRule="auto"/>
              <w:ind w:left="0"/>
              <w:jc w:val="left"/>
              <w:rPr>
                <w:sz w:val="20"/>
                <w:lang w:val="en-US"/>
              </w:rPr>
            </w:pPr>
            <w:r w:rsidRPr="0098052A">
              <w:rPr>
                <w:b/>
                <w:bCs/>
                <w:sz w:val="20"/>
              </w:rPr>
              <w:t xml:space="preserve">Tenure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5C23383E"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Illegal Occupation / Informal Settlement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4E3183B4"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Recognition / Pegging / Permission to Occupy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5C9680C8"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Basic Tenure recognition (e.g. settlement identified for upgrade)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14D7642E" w14:textId="778CC66A" w:rsidR="007569FE" w:rsidRPr="0098052A" w:rsidRDefault="008B47BF" w:rsidP="003A0CCC">
            <w:pPr>
              <w:pStyle w:val="body1"/>
              <w:spacing w:before="0" w:after="0" w:line="240" w:lineRule="auto"/>
              <w:ind w:left="0"/>
              <w:jc w:val="left"/>
              <w:rPr>
                <w:sz w:val="20"/>
                <w:lang w:val="en-US"/>
              </w:rPr>
            </w:pPr>
            <w:r>
              <w:rPr>
                <w:sz w:val="20"/>
              </w:rPr>
              <w:t>Recogniz</w:t>
            </w:r>
            <w:r w:rsidR="007569FE" w:rsidRPr="0098052A">
              <w:rPr>
                <w:sz w:val="20"/>
              </w:rPr>
              <w:t xml:space="preserve">ed Title / Rural or Communal Land Tenure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262B054A"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Transfer of Title Deed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5B76B3C9"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Rental </w:t>
            </w:r>
            <w:r>
              <w:rPr>
                <w:sz w:val="20"/>
              </w:rPr>
              <w:t xml:space="preserve">Tenure (Social Housing / CRU) </w:t>
            </w:r>
          </w:p>
        </w:tc>
      </w:tr>
      <w:tr w:rsidR="007569FE" w:rsidRPr="00B438EE" w14:paraId="1635F3E4" w14:textId="77777777" w:rsidTr="009E7A69">
        <w:trPr>
          <w:trHeight w:val="618"/>
        </w:trPr>
        <w:tc>
          <w:tcPr>
            <w:tcW w:w="1050"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59F64C77" w14:textId="77777777" w:rsidR="007569FE" w:rsidRPr="0098052A" w:rsidRDefault="007569FE" w:rsidP="003A0CCC">
            <w:pPr>
              <w:pStyle w:val="body1"/>
              <w:spacing w:before="0" w:after="0" w:line="240" w:lineRule="auto"/>
              <w:ind w:left="0"/>
              <w:jc w:val="left"/>
              <w:rPr>
                <w:sz w:val="20"/>
                <w:lang w:val="en-US"/>
              </w:rPr>
            </w:pPr>
            <w:r w:rsidRPr="0098052A">
              <w:rPr>
                <w:b/>
                <w:bCs/>
                <w:sz w:val="20"/>
              </w:rPr>
              <w:t xml:space="preserve">Water </w:t>
            </w:r>
          </w:p>
        </w:tc>
        <w:tc>
          <w:tcPr>
            <w:tcW w:w="1417"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58E04693"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No permanent water source </w:t>
            </w:r>
          </w:p>
        </w:tc>
        <w:tc>
          <w:tcPr>
            <w:tcW w:w="1418"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2F004AF9"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Water Tankers  </w:t>
            </w:r>
          </w:p>
        </w:tc>
        <w:tc>
          <w:tcPr>
            <w:tcW w:w="1417"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3948F691"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Shared Standpipe within 200 m of stand </w:t>
            </w:r>
          </w:p>
        </w:tc>
        <w:tc>
          <w:tcPr>
            <w:tcW w:w="1418"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3F27F6C9"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Site Connection </w:t>
            </w:r>
          </w:p>
        </w:tc>
        <w:tc>
          <w:tcPr>
            <w:tcW w:w="1417"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7B335C40"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House Connection </w:t>
            </w:r>
          </w:p>
        </w:tc>
        <w:tc>
          <w:tcPr>
            <w:tcW w:w="1418"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7C66FE47"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Rural Standards? Wells &amp; Boreholes? Rainwater Collection? </w:t>
            </w:r>
          </w:p>
        </w:tc>
      </w:tr>
      <w:tr w:rsidR="007569FE" w:rsidRPr="00B438EE" w14:paraId="719B2F0D" w14:textId="77777777" w:rsidTr="009E7A69">
        <w:trPr>
          <w:trHeight w:val="870"/>
        </w:trPr>
        <w:tc>
          <w:tcPr>
            <w:tcW w:w="105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2EDA1C50" w14:textId="77777777" w:rsidR="007569FE" w:rsidRPr="0098052A" w:rsidRDefault="007569FE" w:rsidP="003A0CCC">
            <w:pPr>
              <w:pStyle w:val="body1"/>
              <w:spacing w:before="0" w:after="0" w:line="240" w:lineRule="auto"/>
              <w:ind w:left="0"/>
              <w:jc w:val="left"/>
              <w:rPr>
                <w:sz w:val="20"/>
                <w:lang w:val="en-US"/>
              </w:rPr>
            </w:pPr>
            <w:r w:rsidRPr="0098052A">
              <w:rPr>
                <w:b/>
                <w:bCs/>
                <w:sz w:val="20"/>
              </w:rPr>
              <w:t xml:space="preserve">Sanitation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007D0288"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No permanent sanitation solution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56D6CA3C"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Chemical Toilets / VIPs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09194DCC"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Flush or VIP Communal/Shared sanitation facilities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2ACA3C90" w14:textId="7F67820E" w:rsidR="007569FE" w:rsidRPr="00222541" w:rsidRDefault="007569FE" w:rsidP="00222541">
            <w:pPr>
              <w:pStyle w:val="body1"/>
              <w:spacing w:before="0" w:after="0" w:line="240" w:lineRule="auto"/>
              <w:ind w:left="0"/>
              <w:jc w:val="left"/>
              <w:rPr>
                <w:sz w:val="20"/>
              </w:rPr>
            </w:pPr>
            <w:r w:rsidRPr="0098052A">
              <w:rPr>
                <w:sz w:val="20"/>
              </w:rPr>
              <w:t xml:space="preserve">Waterborne sanitation on site (or approved </w:t>
            </w:r>
            <w:r w:rsidR="00222541">
              <w:rPr>
                <w:sz w:val="20"/>
              </w:rPr>
              <w:t>alt</w:t>
            </w:r>
            <w:r w:rsidRPr="0098052A">
              <w:rPr>
                <w:sz w:val="20"/>
              </w:rPr>
              <w:t xml:space="preserve"> e.g. VIP)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2B8235A8"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Waterborne sanitation into house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3D51439A"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On-Site Septic Tanks </w:t>
            </w:r>
          </w:p>
        </w:tc>
      </w:tr>
      <w:tr w:rsidR="007569FE" w:rsidRPr="00B438EE" w14:paraId="17A0FC34" w14:textId="77777777" w:rsidTr="009E7A69">
        <w:trPr>
          <w:trHeight w:val="870"/>
        </w:trPr>
        <w:tc>
          <w:tcPr>
            <w:tcW w:w="1050"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69690A32" w14:textId="54F6B02B" w:rsidR="007569FE" w:rsidRPr="0098052A" w:rsidRDefault="007569FE" w:rsidP="003A0CCC">
            <w:pPr>
              <w:pStyle w:val="body1"/>
              <w:spacing w:before="0" w:after="0" w:line="240" w:lineRule="auto"/>
              <w:ind w:left="0"/>
              <w:jc w:val="left"/>
              <w:rPr>
                <w:sz w:val="20"/>
                <w:lang w:val="en-US"/>
              </w:rPr>
            </w:pPr>
            <w:r w:rsidRPr="0098052A">
              <w:rPr>
                <w:b/>
                <w:bCs/>
                <w:sz w:val="20"/>
              </w:rPr>
              <w:t xml:space="preserve">Public Lighting </w:t>
            </w:r>
          </w:p>
        </w:tc>
        <w:tc>
          <w:tcPr>
            <w:tcW w:w="1417"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7DB8FF65"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No lighting </w:t>
            </w:r>
          </w:p>
        </w:tc>
        <w:tc>
          <w:tcPr>
            <w:tcW w:w="1418"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3D2AC0B9"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N/A </w:t>
            </w:r>
          </w:p>
        </w:tc>
        <w:tc>
          <w:tcPr>
            <w:tcW w:w="1417"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2C305CF0"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High-Mast  / Street lighting </w:t>
            </w:r>
          </w:p>
        </w:tc>
        <w:tc>
          <w:tcPr>
            <w:tcW w:w="1418"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566A33F6"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N/A </w:t>
            </w:r>
          </w:p>
        </w:tc>
        <w:tc>
          <w:tcPr>
            <w:tcW w:w="1417"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435836DD"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Street Lighting  </w:t>
            </w:r>
          </w:p>
        </w:tc>
        <w:tc>
          <w:tcPr>
            <w:tcW w:w="1418"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2A3D959A"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N/A </w:t>
            </w:r>
          </w:p>
        </w:tc>
      </w:tr>
      <w:tr w:rsidR="007569FE" w:rsidRPr="00B438EE" w14:paraId="0FB3EAEC" w14:textId="77777777" w:rsidTr="009E7A69">
        <w:trPr>
          <w:trHeight w:val="870"/>
        </w:trPr>
        <w:tc>
          <w:tcPr>
            <w:tcW w:w="1050"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15F826C4" w14:textId="77777777" w:rsidR="007569FE" w:rsidRPr="0098052A" w:rsidRDefault="007569FE" w:rsidP="003A0CCC">
            <w:pPr>
              <w:pStyle w:val="body1"/>
              <w:spacing w:before="0" w:after="0" w:line="240" w:lineRule="auto"/>
              <w:ind w:left="0"/>
              <w:jc w:val="left"/>
              <w:rPr>
                <w:sz w:val="20"/>
                <w:lang w:val="en-US"/>
              </w:rPr>
            </w:pPr>
            <w:r w:rsidRPr="0098052A">
              <w:rPr>
                <w:b/>
                <w:bCs/>
                <w:sz w:val="20"/>
              </w:rPr>
              <w:t xml:space="preserve">Refuse Removal </w:t>
            </w:r>
          </w:p>
        </w:tc>
        <w:tc>
          <w:tcPr>
            <w:tcW w:w="1417"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6BF3F8CE"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No collection </w:t>
            </w:r>
          </w:p>
        </w:tc>
        <w:tc>
          <w:tcPr>
            <w:tcW w:w="1418"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099CDB3E"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N/A </w:t>
            </w:r>
          </w:p>
        </w:tc>
        <w:tc>
          <w:tcPr>
            <w:tcW w:w="1417"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61939C48" w14:textId="77777777" w:rsidR="007569FE" w:rsidRPr="0098052A" w:rsidRDefault="007569FE" w:rsidP="003A0CCC">
            <w:pPr>
              <w:pStyle w:val="body1"/>
              <w:spacing w:before="0" w:after="0" w:line="240" w:lineRule="auto"/>
              <w:ind w:left="0"/>
              <w:jc w:val="left"/>
              <w:rPr>
                <w:sz w:val="20"/>
                <w:lang w:val="en-US"/>
              </w:rPr>
            </w:pPr>
            <w:r w:rsidRPr="0098052A">
              <w:rPr>
                <w:sz w:val="20"/>
              </w:rPr>
              <w:t>Communal skip</w:t>
            </w:r>
          </w:p>
        </w:tc>
        <w:tc>
          <w:tcPr>
            <w:tcW w:w="1418"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76DF7049"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Weekly collection from central sites </w:t>
            </w:r>
          </w:p>
        </w:tc>
        <w:tc>
          <w:tcPr>
            <w:tcW w:w="1417"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74E3A391"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Weekly Street Level Collection </w:t>
            </w:r>
          </w:p>
        </w:tc>
        <w:tc>
          <w:tcPr>
            <w:tcW w:w="1418" w:type="dxa"/>
            <w:tcBorders>
              <w:top w:val="single" w:sz="8" w:space="0" w:color="000000"/>
              <w:left w:val="single" w:sz="8" w:space="0" w:color="000000"/>
              <w:bottom w:val="single" w:sz="8" w:space="0" w:color="000000"/>
              <w:right w:val="single" w:sz="8" w:space="0" w:color="000000"/>
            </w:tcBorders>
            <w:shd w:val="clear" w:color="auto" w:fill="DDD9C3"/>
            <w:tcMar>
              <w:top w:w="57" w:type="dxa"/>
              <w:left w:w="57" w:type="dxa"/>
              <w:bottom w:w="57" w:type="dxa"/>
              <w:right w:w="57" w:type="dxa"/>
            </w:tcMar>
            <w:hideMark/>
          </w:tcPr>
          <w:p w14:paraId="5C06E60A"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On-site recycling </w:t>
            </w:r>
          </w:p>
        </w:tc>
      </w:tr>
      <w:tr w:rsidR="007569FE" w:rsidRPr="00B438EE" w14:paraId="1A3FBA3A" w14:textId="77777777" w:rsidTr="009E7A69">
        <w:trPr>
          <w:trHeight w:val="1374"/>
        </w:trPr>
        <w:tc>
          <w:tcPr>
            <w:tcW w:w="105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044818AF" w14:textId="77777777" w:rsidR="007569FE" w:rsidRPr="0098052A" w:rsidRDefault="007569FE" w:rsidP="003A0CCC">
            <w:pPr>
              <w:pStyle w:val="body1"/>
              <w:spacing w:before="0" w:after="0" w:line="240" w:lineRule="auto"/>
              <w:ind w:left="0"/>
              <w:jc w:val="left"/>
              <w:rPr>
                <w:sz w:val="20"/>
                <w:lang w:val="en-US"/>
              </w:rPr>
            </w:pPr>
            <w:r w:rsidRPr="0098052A">
              <w:rPr>
                <w:b/>
                <w:bCs/>
                <w:sz w:val="20"/>
              </w:rPr>
              <w:t xml:space="preserve">House (Top Structure)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5CE7A6D9"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No house / Informal House / Existing Structure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3DF8B24B"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Tents / Corrugated Iron Shelters / Relocation to Transitional Relocation Areas (TRAs)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08DCAA76"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Relocation to Transitional Relocation Areas (TRAs) / CRU / Social Housing facilities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148421B9" w14:textId="35847E8D" w:rsidR="007569FE" w:rsidRPr="0098052A" w:rsidRDefault="007569FE" w:rsidP="00222541">
            <w:pPr>
              <w:pStyle w:val="body1"/>
              <w:spacing w:before="0" w:after="0" w:line="240" w:lineRule="auto"/>
              <w:ind w:left="0"/>
              <w:jc w:val="left"/>
              <w:rPr>
                <w:sz w:val="20"/>
                <w:lang w:val="en-US"/>
              </w:rPr>
            </w:pPr>
            <w:r w:rsidRPr="0098052A">
              <w:rPr>
                <w:sz w:val="20"/>
              </w:rPr>
              <w:t xml:space="preserve">Peoples Housing Process (incremental) delivery / Slab or Site </w:t>
            </w:r>
            <w:r w:rsidR="00222541">
              <w:rPr>
                <w:sz w:val="20"/>
              </w:rPr>
              <w:t>dev’t</w:t>
            </w:r>
            <w:r w:rsidRPr="0098052A">
              <w:rPr>
                <w:sz w:val="20"/>
              </w:rPr>
              <w:t xml:space="preserve"> as per IRDP norm</w:t>
            </w:r>
            <w:r>
              <w:rPr>
                <w:sz w:val="20"/>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2C0E7A2B" w14:textId="1D751C0C" w:rsidR="007569FE" w:rsidRPr="0098052A" w:rsidRDefault="007569FE" w:rsidP="00222541">
            <w:pPr>
              <w:pStyle w:val="body1"/>
              <w:spacing w:before="0" w:after="0" w:line="240" w:lineRule="auto"/>
              <w:ind w:left="0"/>
              <w:jc w:val="left"/>
              <w:rPr>
                <w:sz w:val="20"/>
                <w:lang w:val="en-US"/>
              </w:rPr>
            </w:pPr>
            <w:r w:rsidRPr="0098052A">
              <w:rPr>
                <w:sz w:val="20"/>
              </w:rPr>
              <w:t>Shelter meeting national (and provincial?) minimum norms and standards (</w:t>
            </w:r>
            <w:r w:rsidR="00222541">
              <w:rPr>
                <w:sz w:val="20"/>
              </w:rPr>
              <w:t>min</w:t>
            </w:r>
            <w:r w:rsidRPr="0098052A">
              <w:rPr>
                <w:sz w:val="20"/>
              </w:rPr>
              <w:t xml:space="preserve"> of 42m2).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427193CB" w14:textId="77777777" w:rsidR="007569FE" w:rsidRPr="0098052A" w:rsidRDefault="007569FE" w:rsidP="003A0CCC">
            <w:pPr>
              <w:pStyle w:val="body1"/>
              <w:spacing w:before="0" w:after="0" w:line="240" w:lineRule="auto"/>
              <w:ind w:left="0"/>
              <w:jc w:val="left"/>
              <w:rPr>
                <w:sz w:val="20"/>
                <w:lang w:val="en-US"/>
              </w:rPr>
            </w:pPr>
            <w:r w:rsidRPr="0098052A">
              <w:rPr>
                <w:sz w:val="20"/>
              </w:rPr>
              <w:t xml:space="preserve">Self-Build / Frame and Roof / Wet Core. </w:t>
            </w:r>
          </w:p>
        </w:tc>
      </w:tr>
    </w:tbl>
    <w:p w14:paraId="6EB0622E" w14:textId="77777777" w:rsidR="00777E03" w:rsidRDefault="00777E03" w:rsidP="00540DD7">
      <w:pPr>
        <w:pStyle w:val="Heading2"/>
        <w:numPr>
          <w:ilvl w:val="0"/>
          <w:numId w:val="0"/>
        </w:numPr>
        <w:ind w:left="510"/>
      </w:pPr>
      <w:bookmarkStart w:id="115" w:name="_Toc261617592"/>
      <w:bookmarkStart w:id="116" w:name="_Toc262067806"/>
    </w:p>
    <w:p w14:paraId="7FB36ECD" w14:textId="77777777" w:rsidR="00777E03" w:rsidRDefault="00777E03" w:rsidP="00777E03"/>
    <w:p w14:paraId="21AEA47D" w14:textId="77777777" w:rsidR="00777E03" w:rsidRPr="00777E03" w:rsidRDefault="00777E03" w:rsidP="00777E03"/>
    <w:p w14:paraId="3F7604E4" w14:textId="6E91B48C" w:rsidR="009047BA" w:rsidRPr="009834FE" w:rsidRDefault="009047BA" w:rsidP="00540DD7">
      <w:pPr>
        <w:pStyle w:val="Heading2"/>
        <w:rPr>
          <w:strike/>
        </w:rPr>
      </w:pPr>
      <w:bookmarkStart w:id="117" w:name="_Toc270946022"/>
      <w:r>
        <w:lastRenderedPageBreak/>
        <w:t>Alternative Approaches to Informal Settlement Upgrading</w:t>
      </w:r>
      <w:bookmarkEnd w:id="115"/>
      <w:bookmarkEnd w:id="116"/>
      <w:bookmarkEnd w:id="117"/>
      <w:r w:rsidR="00F8348E">
        <w:t xml:space="preserve"> </w:t>
      </w:r>
    </w:p>
    <w:p w14:paraId="1A478171" w14:textId="77777777" w:rsidR="00777E03" w:rsidRDefault="00777E03" w:rsidP="00263297">
      <w:pPr>
        <w:spacing w:line="360" w:lineRule="auto"/>
        <w:rPr>
          <w:rFonts w:cs="Arial"/>
          <w:szCs w:val="22"/>
        </w:rPr>
      </w:pPr>
    </w:p>
    <w:p w14:paraId="05FE1435" w14:textId="4E0D2F57" w:rsidR="00C4577C" w:rsidRPr="00235012" w:rsidRDefault="00C4577C" w:rsidP="00263297">
      <w:pPr>
        <w:spacing w:line="360" w:lineRule="auto"/>
        <w:rPr>
          <w:rFonts w:cs="Arial"/>
          <w:szCs w:val="22"/>
          <w:highlight w:val="yellow"/>
        </w:rPr>
      </w:pPr>
      <w:r w:rsidRPr="00C4577C">
        <w:rPr>
          <w:rFonts w:cs="Arial"/>
          <w:szCs w:val="22"/>
        </w:rPr>
        <w:t>Currently, a number of different approaches</w:t>
      </w:r>
      <w:r w:rsidR="002A4CAD">
        <w:rPr>
          <w:rFonts w:cs="Arial"/>
          <w:szCs w:val="22"/>
        </w:rPr>
        <w:t>, which can be</w:t>
      </w:r>
      <w:r w:rsidRPr="00C4577C">
        <w:rPr>
          <w:rFonts w:cs="Arial"/>
          <w:szCs w:val="22"/>
        </w:rPr>
        <w:t xml:space="preserve"> loosely grouped under the term </w:t>
      </w:r>
      <w:r w:rsidRPr="00235012">
        <w:rPr>
          <w:rFonts w:cs="Arial"/>
          <w:szCs w:val="22"/>
          <w:highlight w:val="yellow"/>
        </w:rPr>
        <w:t xml:space="preserve">‘Informal Settlement </w:t>
      </w:r>
      <w:r w:rsidR="00B31EA3" w:rsidRPr="00235012">
        <w:rPr>
          <w:rFonts w:cs="Arial"/>
          <w:szCs w:val="22"/>
          <w:highlight w:val="yellow"/>
        </w:rPr>
        <w:t>Upgrading’,</w:t>
      </w:r>
      <w:r w:rsidRPr="00235012">
        <w:rPr>
          <w:rFonts w:cs="Arial"/>
          <w:szCs w:val="22"/>
          <w:highlight w:val="yellow"/>
        </w:rPr>
        <w:t xml:space="preserve"> are applied in South Africa and internationally. These include:</w:t>
      </w:r>
    </w:p>
    <w:p w14:paraId="1BD6ACA2" w14:textId="27A4C273" w:rsidR="00C4577C" w:rsidRPr="00235012" w:rsidRDefault="00C4577C" w:rsidP="0055634E">
      <w:pPr>
        <w:pStyle w:val="ListParagraph"/>
        <w:numPr>
          <w:ilvl w:val="0"/>
          <w:numId w:val="6"/>
        </w:numPr>
        <w:ind w:left="720"/>
        <w:rPr>
          <w:highlight w:val="yellow"/>
        </w:rPr>
      </w:pPr>
      <w:r w:rsidRPr="00235012">
        <w:rPr>
          <w:b/>
          <w:highlight w:val="yellow"/>
        </w:rPr>
        <w:t>Clearance</w:t>
      </w:r>
      <w:r w:rsidRPr="00235012">
        <w:rPr>
          <w:highlight w:val="yellow"/>
        </w:rPr>
        <w:t xml:space="preserve">: Clearing households from informal settlements without providing alternative accommodation for </w:t>
      </w:r>
      <w:r w:rsidR="00FD5A75" w:rsidRPr="00235012">
        <w:rPr>
          <w:highlight w:val="yellow"/>
        </w:rPr>
        <w:t xml:space="preserve">the </w:t>
      </w:r>
      <w:r w:rsidRPr="00235012">
        <w:rPr>
          <w:highlight w:val="yellow"/>
        </w:rPr>
        <w:t>residents.</w:t>
      </w:r>
    </w:p>
    <w:p w14:paraId="5C5A676E" w14:textId="40A32D6C" w:rsidR="00C4577C" w:rsidRPr="00235012" w:rsidRDefault="00C4577C" w:rsidP="0055634E">
      <w:pPr>
        <w:pStyle w:val="ListParagraph"/>
        <w:numPr>
          <w:ilvl w:val="0"/>
          <w:numId w:val="6"/>
        </w:numPr>
        <w:ind w:left="720"/>
        <w:rPr>
          <w:highlight w:val="yellow"/>
        </w:rPr>
      </w:pPr>
      <w:r w:rsidRPr="00235012">
        <w:rPr>
          <w:b/>
          <w:highlight w:val="yellow"/>
        </w:rPr>
        <w:t>Relocation</w:t>
      </w:r>
      <w:r w:rsidRPr="00235012">
        <w:rPr>
          <w:highlight w:val="yellow"/>
        </w:rPr>
        <w:t xml:space="preserve">: </w:t>
      </w:r>
      <w:r w:rsidR="00882136" w:rsidRPr="00235012">
        <w:rPr>
          <w:highlight w:val="yellow"/>
        </w:rPr>
        <w:t xml:space="preserve">This refers to the placement of households from informal settlements in other accommodation </w:t>
      </w:r>
      <w:r w:rsidR="002A4CAD" w:rsidRPr="00235012">
        <w:rPr>
          <w:highlight w:val="yellow"/>
        </w:rPr>
        <w:t xml:space="preserve">and </w:t>
      </w:r>
      <w:r w:rsidR="00882136" w:rsidRPr="00235012">
        <w:rPr>
          <w:highlight w:val="yellow"/>
        </w:rPr>
        <w:t>alternative human settlement developments.</w:t>
      </w:r>
    </w:p>
    <w:p w14:paraId="0B8C966F" w14:textId="4F126BAA" w:rsidR="00C4577C" w:rsidRPr="00235012" w:rsidRDefault="00C4577C" w:rsidP="0055634E">
      <w:pPr>
        <w:pStyle w:val="ListParagraph"/>
        <w:numPr>
          <w:ilvl w:val="0"/>
          <w:numId w:val="6"/>
        </w:numPr>
        <w:ind w:left="720"/>
        <w:rPr>
          <w:highlight w:val="yellow"/>
        </w:rPr>
      </w:pPr>
      <w:r w:rsidRPr="00235012">
        <w:rPr>
          <w:b/>
          <w:highlight w:val="yellow"/>
        </w:rPr>
        <w:t>Rollover</w:t>
      </w:r>
      <w:r w:rsidRPr="00235012">
        <w:rPr>
          <w:highlight w:val="yellow"/>
        </w:rPr>
        <w:t xml:space="preserve">: </w:t>
      </w:r>
      <w:r w:rsidR="00882136" w:rsidRPr="00235012">
        <w:rPr>
          <w:highlight w:val="yellow"/>
        </w:rPr>
        <w:t>R</w:t>
      </w:r>
      <w:r w:rsidRPr="00235012">
        <w:rPr>
          <w:highlight w:val="yellow"/>
        </w:rPr>
        <w:t xml:space="preserve">emoval of households from an informal settlement to temporary accommodation, clearing of existing structures and redevelopment of the original site as conventional serviced sites and/or </w:t>
      </w:r>
      <w:r w:rsidR="00E01C9B" w:rsidRPr="00235012">
        <w:rPr>
          <w:highlight w:val="yellow"/>
        </w:rPr>
        <w:t>subsidized</w:t>
      </w:r>
      <w:r w:rsidRPr="00235012">
        <w:rPr>
          <w:highlight w:val="yellow"/>
        </w:rPr>
        <w:t xml:space="preserve"> houses, prior to resettlement of original beneficiaries.</w:t>
      </w:r>
    </w:p>
    <w:p w14:paraId="3E6A8E98" w14:textId="10B93406" w:rsidR="00C4577C" w:rsidRPr="00235012" w:rsidRDefault="00C4577C" w:rsidP="0055634E">
      <w:pPr>
        <w:pStyle w:val="ListParagraph"/>
        <w:numPr>
          <w:ilvl w:val="0"/>
          <w:numId w:val="6"/>
        </w:numPr>
        <w:ind w:left="720"/>
        <w:rPr>
          <w:highlight w:val="yellow"/>
        </w:rPr>
      </w:pPr>
      <w:r w:rsidRPr="00235012">
        <w:rPr>
          <w:b/>
          <w:highlight w:val="yellow"/>
        </w:rPr>
        <w:t>In</w:t>
      </w:r>
      <w:r w:rsidR="002A4CAD" w:rsidRPr="00235012">
        <w:rPr>
          <w:b/>
          <w:highlight w:val="yellow"/>
        </w:rPr>
        <w:t xml:space="preserve"> </w:t>
      </w:r>
      <w:r w:rsidRPr="00235012">
        <w:rPr>
          <w:b/>
          <w:highlight w:val="yellow"/>
        </w:rPr>
        <w:t>situ upgrading</w:t>
      </w:r>
      <w:r w:rsidRPr="00235012">
        <w:rPr>
          <w:highlight w:val="yellow"/>
        </w:rPr>
        <w:t xml:space="preserve"> of informal settlements, with minimal disruption to existing layouts and households.</w:t>
      </w:r>
      <w:r w:rsidR="00A25EF0" w:rsidRPr="00235012">
        <w:rPr>
          <w:highlight w:val="yellow"/>
        </w:rPr>
        <w:t xml:space="preserve"> </w:t>
      </w:r>
      <w:r w:rsidR="007816AB" w:rsidRPr="00235012">
        <w:rPr>
          <w:highlight w:val="yellow"/>
        </w:rPr>
        <w:t xml:space="preserve">It is recognized that </w:t>
      </w:r>
      <w:r w:rsidR="00531F39" w:rsidRPr="00235012">
        <w:rPr>
          <w:highlight w:val="yellow"/>
        </w:rPr>
        <w:t xml:space="preserve">in situ upgrading </w:t>
      </w:r>
      <w:r w:rsidR="007816AB" w:rsidRPr="00235012">
        <w:rPr>
          <w:highlight w:val="yellow"/>
        </w:rPr>
        <w:t>m</w:t>
      </w:r>
      <w:r w:rsidR="00A25EF0" w:rsidRPr="00235012">
        <w:rPr>
          <w:highlight w:val="yellow"/>
        </w:rPr>
        <w:t xml:space="preserve">ay involve some </w:t>
      </w:r>
      <w:r w:rsidR="008323F7" w:rsidRPr="00235012">
        <w:rPr>
          <w:b/>
          <w:highlight w:val="yellow"/>
        </w:rPr>
        <w:t>r</w:t>
      </w:r>
      <w:r w:rsidR="00A25EF0" w:rsidRPr="00235012">
        <w:rPr>
          <w:b/>
          <w:highlight w:val="yellow"/>
        </w:rPr>
        <w:t>eblocking</w:t>
      </w:r>
      <w:r w:rsidR="007816AB" w:rsidRPr="00235012">
        <w:rPr>
          <w:b/>
          <w:highlight w:val="yellow"/>
        </w:rPr>
        <w:t xml:space="preserve">, </w:t>
      </w:r>
      <w:r w:rsidR="007816AB" w:rsidRPr="00235012">
        <w:rPr>
          <w:highlight w:val="yellow"/>
        </w:rPr>
        <w:t>which entails the</w:t>
      </w:r>
      <w:r w:rsidR="007816AB" w:rsidRPr="00235012">
        <w:rPr>
          <w:b/>
          <w:highlight w:val="yellow"/>
        </w:rPr>
        <w:t xml:space="preserve"> </w:t>
      </w:r>
      <w:r w:rsidR="00531F39" w:rsidRPr="00235012">
        <w:rPr>
          <w:highlight w:val="yellow"/>
        </w:rPr>
        <w:t>internal movement</w:t>
      </w:r>
      <w:r w:rsidR="00531F39" w:rsidRPr="00235012">
        <w:rPr>
          <w:b/>
          <w:highlight w:val="yellow"/>
        </w:rPr>
        <w:t xml:space="preserve"> </w:t>
      </w:r>
      <w:r w:rsidR="00A25EF0" w:rsidRPr="00235012">
        <w:rPr>
          <w:highlight w:val="yellow"/>
        </w:rPr>
        <w:t>of households from all or part of an informal settlement for the purposes of re-defining in</w:t>
      </w:r>
      <w:r w:rsidR="00531F39" w:rsidRPr="00235012">
        <w:rPr>
          <w:highlight w:val="yellow"/>
        </w:rPr>
        <w:t>frastructure and site boundaries</w:t>
      </w:r>
      <w:r w:rsidR="00A25EF0" w:rsidRPr="00235012">
        <w:rPr>
          <w:highlight w:val="yellow"/>
        </w:rPr>
        <w:t>.</w:t>
      </w:r>
      <w:r w:rsidR="00A25EF0" w:rsidRPr="00235012">
        <w:rPr>
          <w:color w:val="FF0000"/>
          <w:highlight w:val="yellow"/>
        </w:rPr>
        <w:t xml:space="preserve"> </w:t>
      </w:r>
    </w:p>
    <w:p w14:paraId="727B170A" w14:textId="7817B470" w:rsidR="00FD5A75" w:rsidRDefault="00C4577C" w:rsidP="00263297">
      <w:pPr>
        <w:spacing w:line="360" w:lineRule="auto"/>
        <w:rPr>
          <w:rFonts w:cs="Arial"/>
          <w:szCs w:val="22"/>
        </w:rPr>
      </w:pPr>
      <w:r w:rsidRPr="00235012">
        <w:rPr>
          <w:rFonts w:cs="Arial"/>
          <w:szCs w:val="22"/>
          <w:highlight w:val="yellow"/>
        </w:rPr>
        <w:t xml:space="preserve">It is the </w:t>
      </w:r>
      <w:r w:rsidR="002A4CAD" w:rsidRPr="00235012">
        <w:rPr>
          <w:rFonts w:cs="Arial"/>
          <w:b/>
          <w:szCs w:val="22"/>
          <w:highlight w:val="yellow"/>
        </w:rPr>
        <w:t>i</w:t>
      </w:r>
      <w:r w:rsidR="00FD5A75" w:rsidRPr="00235012">
        <w:rPr>
          <w:rFonts w:cs="Arial"/>
          <w:b/>
          <w:szCs w:val="22"/>
          <w:highlight w:val="yellow"/>
        </w:rPr>
        <w:t>n</w:t>
      </w:r>
      <w:r w:rsidR="002A4CAD" w:rsidRPr="00235012">
        <w:rPr>
          <w:rFonts w:cs="Arial"/>
          <w:b/>
          <w:szCs w:val="22"/>
          <w:highlight w:val="yellow"/>
        </w:rPr>
        <w:t xml:space="preserve"> </w:t>
      </w:r>
      <w:r w:rsidR="00FD5A75" w:rsidRPr="00235012">
        <w:rPr>
          <w:rFonts w:cs="Arial"/>
          <w:b/>
          <w:szCs w:val="22"/>
          <w:highlight w:val="yellow"/>
        </w:rPr>
        <w:t>situ upgrading</w:t>
      </w:r>
      <w:r w:rsidRPr="00235012">
        <w:rPr>
          <w:rFonts w:cs="Arial"/>
          <w:szCs w:val="22"/>
          <w:highlight w:val="yellow"/>
        </w:rPr>
        <w:t xml:space="preserve"> methodology that this document </w:t>
      </w:r>
      <w:r w:rsidR="0097412E" w:rsidRPr="00235012">
        <w:rPr>
          <w:rFonts w:cs="Arial"/>
          <w:szCs w:val="22"/>
          <w:highlight w:val="yellow"/>
        </w:rPr>
        <w:t>is concerned with</w:t>
      </w:r>
      <w:r w:rsidRPr="00235012">
        <w:rPr>
          <w:rFonts w:cs="Arial"/>
          <w:szCs w:val="22"/>
          <w:highlight w:val="yellow"/>
        </w:rPr>
        <w:t>.</w:t>
      </w:r>
      <w:r w:rsidR="00882136" w:rsidRPr="00235012">
        <w:rPr>
          <w:rFonts w:cs="Arial"/>
          <w:szCs w:val="22"/>
          <w:highlight w:val="yellow"/>
        </w:rPr>
        <w:t xml:space="preserve">  However, </w:t>
      </w:r>
      <w:r w:rsidR="00FD5A75" w:rsidRPr="00235012">
        <w:rPr>
          <w:rFonts w:cs="Arial"/>
          <w:szCs w:val="22"/>
          <w:highlight w:val="yellow"/>
        </w:rPr>
        <w:t>in many circumstances it may be necessary to execute part of the in situ upgrade using relocation and rollover methodologies</w:t>
      </w:r>
      <w:r w:rsidR="00FD5A75">
        <w:rPr>
          <w:rFonts w:cs="Arial"/>
          <w:szCs w:val="22"/>
        </w:rPr>
        <w:t xml:space="preserve">. </w:t>
      </w:r>
      <w:r w:rsidR="00C52E98">
        <w:rPr>
          <w:rFonts w:cs="Arial"/>
          <w:szCs w:val="22"/>
        </w:rPr>
        <w:t>This not</w:t>
      </w:r>
      <w:r w:rsidR="00FD5A75">
        <w:rPr>
          <w:rFonts w:cs="Arial"/>
          <w:szCs w:val="22"/>
        </w:rPr>
        <w:t xml:space="preserve">withstanding our focus will be on Informal settlement upgrading projects </w:t>
      </w:r>
      <w:r w:rsidR="00C52E98">
        <w:rPr>
          <w:rFonts w:cs="Arial"/>
          <w:szCs w:val="22"/>
        </w:rPr>
        <w:t xml:space="preserve">where the </w:t>
      </w:r>
      <w:r w:rsidR="00FD5A75">
        <w:rPr>
          <w:rFonts w:cs="Arial"/>
          <w:szCs w:val="22"/>
        </w:rPr>
        <w:t>in situ mode is the predominant methodology.</w:t>
      </w:r>
    </w:p>
    <w:p w14:paraId="4E46AE22" w14:textId="0F8DD765" w:rsidR="00083319" w:rsidRPr="001D590D" w:rsidRDefault="00083319" w:rsidP="004C6311">
      <w:pPr>
        <w:pStyle w:val="Heading3"/>
      </w:pPr>
      <w:bookmarkStart w:id="118" w:name="_Toc261617593"/>
      <w:bookmarkStart w:id="119" w:name="_Toc262067807"/>
      <w:bookmarkStart w:id="120" w:name="_Toc262068133"/>
      <w:r w:rsidRPr="001D590D">
        <w:t xml:space="preserve">Settlement </w:t>
      </w:r>
      <w:r w:rsidR="002339EC">
        <w:t>C</w:t>
      </w:r>
      <w:r w:rsidRPr="001D590D">
        <w:t>learance</w:t>
      </w:r>
      <w:bookmarkEnd w:id="118"/>
      <w:bookmarkEnd w:id="119"/>
      <w:bookmarkEnd w:id="120"/>
      <w:r w:rsidRPr="001D590D">
        <w:t xml:space="preserve"> </w:t>
      </w:r>
    </w:p>
    <w:p w14:paraId="089323B3" w14:textId="1526D78F" w:rsidR="00083319" w:rsidRDefault="00EE7F92" w:rsidP="00E32EAE">
      <w:pPr>
        <w:spacing w:line="360" w:lineRule="auto"/>
        <w:rPr>
          <w:rFonts w:cs="Arial"/>
          <w:szCs w:val="22"/>
        </w:rPr>
      </w:pPr>
      <w:r>
        <w:rPr>
          <w:rFonts w:cs="Arial"/>
          <w:szCs w:val="22"/>
        </w:rPr>
        <w:t>Clearance of informal settlements is not common in South Africa, given the protection of peoples’ constitutional rights to housing. Households may only be relocated if similar, or better accommodation is available to them.</w:t>
      </w:r>
    </w:p>
    <w:p w14:paraId="70F0F5F3" w14:textId="74F42744" w:rsidR="00882136" w:rsidRDefault="00882136" w:rsidP="004C6311">
      <w:pPr>
        <w:pStyle w:val="Heading3"/>
      </w:pPr>
      <w:bookmarkStart w:id="121" w:name="_Toc261617594"/>
      <w:bookmarkStart w:id="122" w:name="_Toc262067808"/>
      <w:bookmarkStart w:id="123" w:name="_Toc262068134"/>
      <w:r>
        <w:t>Relocation</w:t>
      </w:r>
      <w:bookmarkEnd w:id="121"/>
      <w:bookmarkEnd w:id="122"/>
      <w:bookmarkEnd w:id="123"/>
      <w:r>
        <w:t xml:space="preserve"> </w:t>
      </w:r>
    </w:p>
    <w:p w14:paraId="181C5383" w14:textId="28E91CF4" w:rsidR="00EE7F92" w:rsidRDefault="00882136" w:rsidP="00250EA9">
      <w:pPr>
        <w:spacing w:line="360" w:lineRule="auto"/>
        <w:rPr>
          <w:rFonts w:cs="Arial"/>
          <w:szCs w:val="22"/>
        </w:rPr>
      </w:pPr>
      <w:r w:rsidRPr="008F460F">
        <w:rPr>
          <w:rFonts w:cs="Arial"/>
          <w:szCs w:val="22"/>
        </w:rPr>
        <w:t xml:space="preserve">In the South African context, this generally includes identifying all or some members of an informal settlement, and relocating these households to a separate </w:t>
      </w:r>
      <w:r w:rsidR="00E01C9B">
        <w:rPr>
          <w:rFonts w:cs="Arial"/>
          <w:szCs w:val="22"/>
        </w:rPr>
        <w:t>subsidized</w:t>
      </w:r>
      <w:r w:rsidRPr="008F460F">
        <w:rPr>
          <w:rFonts w:cs="Arial"/>
          <w:szCs w:val="22"/>
        </w:rPr>
        <w:t xml:space="preserve"> housing development</w:t>
      </w:r>
      <w:r w:rsidR="001368C4" w:rsidRPr="008F460F">
        <w:rPr>
          <w:rFonts w:cs="Arial"/>
          <w:szCs w:val="22"/>
        </w:rPr>
        <w:t xml:space="preserve">, or a Temporary Relocation Area </w:t>
      </w:r>
      <w:r w:rsidR="00E32EAE">
        <w:rPr>
          <w:rFonts w:cs="Arial"/>
          <w:szCs w:val="22"/>
        </w:rPr>
        <w:t xml:space="preserve">(TRA) </w:t>
      </w:r>
      <w:r w:rsidR="001368C4" w:rsidRPr="008F460F">
        <w:rPr>
          <w:rFonts w:cs="Arial"/>
          <w:szCs w:val="22"/>
        </w:rPr>
        <w:t xml:space="preserve">while waiting for suitable alternative accommodation to become available.  </w:t>
      </w:r>
      <w:r w:rsidR="00E32EAE">
        <w:rPr>
          <w:rFonts w:cs="Arial"/>
          <w:szCs w:val="22"/>
        </w:rPr>
        <w:t xml:space="preserve">In 2008 </w:t>
      </w:r>
      <w:r w:rsidR="00EE7F92" w:rsidRPr="006443CF">
        <w:rPr>
          <w:rFonts w:cs="Arial"/>
          <w:szCs w:val="22"/>
        </w:rPr>
        <w:t xml:space="preserve">NUSP, </w:t>
      </w:r>
      <w:r w:rsidR="00E32EAE">
        <w:rPr>
          <w:rFonts w:cs="Arial"/>
          <w:szCs w:val="22"/>
        </w:rPr>
        <w:t>(</w:t>
      </w:r>
      <w:r w:rsidR="00EE7F92" w:rsidRPr="006443CF">
        <w:rPr>
          <w:rFonts w:cs="Arial"/>
          <w:szCs w:val="22"/>
        </w:rPr>
        <w:t>p5</w:t>
      </w:r>
      <w:r w:rsidR="00E32EAE">
        <w:rPr>
          <w:rFonts w:cs="Arial"/>
          <w:szCs w:val="22"/>
        </w:rPr>
        <w:t>)</w:t>
      </w:r>
      <w:r w:rsidR="00EE7F92" w:rsidRPr="001D590D">
        <w:rPr>
          <w:rFonts w:cs="Arial"/>
          <w:szCs w:val="22"/>
        </w:rPr>
        <w:t xml:space="preserve"> found that</w:t>
      </w:r>
      <w:r w:rsidR="00EE7F92">
        <w:rPr>
          <w:rFonts w:cs="Arial"/>
          <w:szCs w:val="22"/>
        </w:rPr>
        <w:t>:</w:t>
      </w:r>
      <w:r w:rsidR="00EE7F92" w:rsidRPr="001D590D">
        <w:rPr>
          <w:rFonts w:cs="Arial"/>
          <w:szCs w:val="22"/>
        </w:rPr>
        <w:t xml:space="preserve"> </w:t>
      </w:r>
      <w:r w:rsidR="00E32EAE">
        <w:rPr>
          <w:rFonts w:cs="Arial"/>
          <w:i/>
          <w:szCs w:val="22"/>
        </w:rPr>
        <w:t>‘</w:t>
      </w:r>
      <w:r w:rsidR="00F64654">
        <w:rPr>
          <w:rFonts w:cs="Arial"/>
          <w:i/>
          <w:szCs w:val="22"/>
        </w:rPr>
        <w:t>…</w:t>
      </w:r>
      <w:r w:rsidR="00EE7F92" w:rsidRPr="00C4577C">
        <w:rPr>
          <w:rFonts w:cs="Arial"/>
          <w:i/>
          <w:szCs w:val="22"/>
        </w:rPr>
        <w:t xml:space="preserve">contrary to the recommendations of NHC Part 3 of the National Housing Code, </w:t>
      </w:r>
      <w:r w:rsidR="00EE7F92" w:rsidRPr="00235012">
        <w:rPr>
          <w:rFonts w:cs="Arial"/>
          <w:i/>
          <w:szCs w:val="22"/>
          <w:highlight w:val="yellow"/>
        </w:rPr>
        <w:t xml:space="preserve">municipalities are approaching </w:t>
      </w:r>
      <w:r w:rsidR="00EE7F92" w:rsidRPr="00235012">
        <w:rPr>
          <w:rFonts w:cs="Arial"/>
          <w:i/>
          <w:szCs w:val="22"/>
          <w:highlight w:val="yellow"/>
        </w:rPr>
        <w:lastRenderedPageBreak/>
        <w:t>informal settlement upgrading mainly on the basis of large scale relocation of resident households to greenfield sites.“</w:t>
      </w:r>
      <w:r w:rsidR="00EE7F92" w:rsidRPr="001D590D">
        <w:rPr>
          <w:rFonts w:cs="Arial"/>
          <w:szCs w:val="22"/>
        </w:rPr>
        <w:t xml:space="preserve"> </w:t>
      </w:r>
    </w:p>
    <w:p w14:paraId="0A717264" w14:textId="520FB276" w:rsidR="00035902" w:rsidRPr="00C52E98" w:rsidRDefault="00035902" w:rsidP="00E32EAE">
      <w:pPr>
        <w:spacing w:line="360" w:lineRule="auto"/>
        <w:rPr>
          <w:rFonts w:cs="Arial"/>
          <w:szCs w:val="22"/>
        </w:rPr>
      </w:pPr>
      <w:r w:rsidRPr="00C52E98">
        <w:rPr>
          <w:rFonts w:cs="Arial"/>
          <w:szCs w:val="22"/>
        </w:rPr>
        <w:t>Relocation of informal settlers to alternative accommodation must meet the following preconditions:</w:t>
      </w:r>
    </w:p>
    <w:p w14:paraId="562E06C1" w14:textId="56A2E6D9" w:rsidR="00035902" w:rsidRPr="00035902" w:rsidRDefault="00035902" w:rsidP="00E32EAE">
      <w:pPr>
        <w:numPr>
          <w:ilvl w:val="1"/>
          <w:numId w:val="1"/>
        </w:numPr>
        <w:spacing w:line="360" w:lineRule="auto"/>
        <w:ind w:left="720"/>
        <w:rPr>
          <w:rFonts w:cs="Arial"/>
          <w:b/>
          <w:szCs w:val="22"/>
        </w:rPr>
      </w:pPr>
      <w:r>
        <w:rPr>
          <w:rFonts w:cs="Arial"/>
          <w:b/>
          <w:szCs w:val="22"/>
        </w:rPr>
        <w:t xml:space="preserve">Conclusive Motivation: </w:t>
      </w:r>
      <w:r>
        <w:rPr>
          <w:rFonts w:cs="Arial"/>
          <w:szCs w:val="22"/>
        </w:rPr>
        <w:t xml:space="preserve">The motive for relocation should not be based on the apparent ease of providing accommodation elsewhere.  However, good reasons for relocation do exist, specifically as a sub-strategy of ensuring reasonable densities and the ability to install required infrastructure. </w:t>
      </w:r>
    </w:p>
    <w:p w14:paraId="6FB964F2" w14:textId="29D495E0" w:rsidR="00035902" w:rsidRDefault="00C52E98" w:rsidP="00E32EAE">
      <w:pPr>
        <w:numPr>
          <w:ilvl w:val="1"/>
          <w:numId w:val="1"/>
        </w:numPr>
        <w:spacing w:line="360" w:lineRule="auto"/>
        <w:ind w:left="720"/>
        <w:rPr>
          <w:rFonts w:cs="Arial"/>
          <w:b/>
          <w:szCs w:val="22"/>
        </w:rPr>
      </w:pPr>
      <w:r>
        <w:rPr>
          <w:rFonts w:cs="Arial"/>
          <w:b/>
          <w:szCs w:val="22"/>
        </w:rPr>
        <w:t xml:space="preserve">Community Support: </w:t>
      </w:r>
      <w:r w:rsidR="00253AA9">
        <w:rPr>
          <w:rFonts w:cs="Arial"/>
          <w:szCs w:val="22"/>
        </w:rPr>
        <w:t>Relocation is a disruptive process that seriously impacts on f</w:t>
      </w:r>
      <w:r w:rsidR="00E32EAE">
        <w:rPr>
          <w:rFonts w:cs="Arial"/>
          <w:szCs w:val="22"/>
        </w:rPr>
        <w:t>am</w:t>
      </w:r>
      <w:r w:rsidR="00253AA9">
        <w:rPr>
          <w:rFonts w:cs="Arial"/>
          <w:szCs w:val="22"/>
        </w:rPr>
        <w:t>ilial and other social networks established in informal settlements. Therefore, relocation of some or all of a settlement requires very close engagement and approval.</w:t>
      </w:r>
    </w:p>
    <w:p w14:paraId="3EC5F05B" w14:textId="36629412" w:rsidR="00035902" w:rsidRPr="00235012" w:rsidRDefault="00035902" w:rsidP="00E32EAE">
      <w:pPr>
        <w:numPr>
          <w:ilvl w:val="1"/>
          <w:numId w:val="1"/>
        </w:numPr>
        <w:spacing w:line="360" w:lineRule="auto"/>
        <w:ind w:left="720"/>
        <w:rPr>
          <w:rFonts w:cs="Arial"/>
          <w:b/>
          <w:szCs w:val="22"/>
          <w:highlight w:val="yellow"/>
        </w:rPr>
      </w:pPr>
      <w:r w:rsidRPr="00235012">
        <w:rPr>
          <w:rFonts w:cs="Arial"/>
          <w:b/>
          <w:szCs w:val="22"/>
          <w:highlight w:val="yellow"/>
        </w:rPr>
        <w:t xml:space="preserve">Alternative Accommodation: </w:t>
      </w:r>
      <w:r w:rsidRPr="00235012">
        <w:rPr>
          <w:rFonts w:cs="Arial"/>
          <w:szCs w:val="22"/>
          <w:highlight w:val="yellow"/>
        </w:rPr>
        <w:t>Permanent relocation must be supported by the ability to offer displaced households similar or better circumstances to that which will be provided in their original settlement.</w:t>
      </w:r>
    </w:p>
    <w:p w14:paraId="0FCD393C" w14:textId="22E1F5BE" w:rsidR="00083319" w:rsidRPr="00235012" w:rsidRDefault="00C52E98" w:rsidP="004C6311">
      <w:pPr>
        <w:pStyle w:val="Heading3"/>
        <w:rPr>
          <w:highlight w:val="yellow"/>
        </w:rPr>
      </w:pPr>
      <w:bookmarkStart w:id="124" w:name="_Toc261617595"/>
      <w:r w:rsidRPr="001D590D">
        <w:t xml:space="preserve"> </w:t>
      </w:r>
      <w:bookmarkStart w:id="125" w:name="_Toc262067809"/>
      <w:bookmarkStart w:id="126" w:name="_Toc262068135"/>
      <w:r w:rsidR="00083319" w:rsidRPr="00235012">
        <w:rPr>
          <w:highlight w:val="yellow"/>
        </w:rPr>
        <w:t xml:space="preserve">‘Rollover’ </w:t>
      </w:r>
      <w:r w:rsidR="00882136" w:rsidRPr="00235012">
        <w:rPr>
          <w:highlight w:val="yellow"/>
        </w:rPr>
        <w:t>Upgrading</w:t>
      </w:r>
      <w:bookmarkEnd w:id="124"/>
      <w:bookmarkEnd w:id="125"/>
      <w:bookmarkEnd w:id="126"/>
      <w:r w:rsidR="00083319" w:rsidRPr="00235012">
        <w:rPr>
          <w:highlight w:val="yellow"/>
        </w:rPr>
        <w:t xml:space="preserve"> </w:t>
      </w:r>
    </w:p>
    <w:p w14:paraId="45271E95" w14:textId="120890F0" w:rsidR="00D520DF" w:rsidRDefault="001368C4" w:rsidP="00E32EAE">
      <w:pPr>
        <w:spacing w:line="360" w:lineRule="auto"/>
        <w:rPr>
          <w:rFonts w:cs="Arial"/>
          <w:szCs w:val="22"/>
        </w:rPr>
      </w:pPr>
      <w:r w:rsidRPr="00235012">
        <w:rPr>
          <w:rFonts w:cs="Arial"/>
          <w:szCs w:val="22"/>
          <w:highlight w:val="yellow"/>
        </w:rPr>
        <w:t xml:space="preserve">Rollover upgrading involves </w:t>
      </w:r>
      <w:r w:rsidR="00C74EC9" w:rsidRPr="00235012">
        <w:rPr>
          <w:rFonts w:cs="Arial"/>
          <w:szCs w:val="22"/>
          <w:highlight w:val="yellow"/>
        </w:rPr>
        <w:t xml:space="preserve">a ‘quasi in-situ’, </w:t>
      </w:r>
      <w:r w:rsidR="00083319" w:rsidRPr="00235012">
        <w:rPr>
          <w:rFonts w:cs="Arial"/>
          <w:szCs w:val="22"/>
          <w:highlight w:val="yellow"/>
        </w:rPr>
        <w:t>block</w:t>
      </w:r>
      <w:r w:rsidRPr="00235012">
        <w:rPr>
          <w:rFonts w:cs="Arial"/>
          <w:szCs w:val="22"/>
          <w:highlight w:val="yellow"/>
        </w:rPr>
        <w:t>-</w:t>
      </w:r>
      <w:r w:rsidR="00083319" w:rsidRPr="00235012">
        <w:rPr>
          <w:rFonts w:cs="Arial"/>
          <w:szCs w:val="22"/>
          <w:highlight w:val="yellow"/>
        </w:rPr>
        <w:t xml:space="preserve">based </w:t>
      </w:r>
      <w:r w:rsidR="00D520DF" w:rsidRPr="00235012">
        <w:rPr>
          <w:rFonts w:cs="Arial"/>
          <w:szCs w:val="22"/>
          <w:highlight w:val="yellow"/>
        </w:rPr>
        <w:t xml:space="preserve">relocation of households into a Temporary Relocation Area (TRA), the </w:t>
      </w:r>
      <w:r w:rsidR="00083319" w:rsidRPr="00235012">
        <w:rPr>
          <w:rFonts w:cs="Arial"/>
          <w:szCs w:val="22"/>
          <w:highlight w:val="yellow"/>
        </w:rPr>
        <w:t xml:space="preserve">clearance of </w:t>
      </w:r>
      <w:r w:rsidR="00D520DF" w:rsidRPr="00235012">
        <w:rPr>
          <w:rFonts w:cs="Arial"/>
          <w:szCs w:val="22"/>
          <w:highlight w:val="yellow"/>
        </w:rPr>
        <w:t>the vacated area, and then the development of serviced sites (and houses, if included in the development)</w:t>
      </w:r>
      <w:r w:rsidR="00061509" w:rsidRPr="00235012">
        <w:rPr>
          <w:rFonts w:cs="Arial"/>
          <w:highlight w:val="yellow"/>
          <w:vertAlign w:val="superscript"/>
        </w:rPr>
        <w:footnoteReference w:id="7"/>
      </w:r>
      <w:r w:rsidR="00D520DF" w:rsidRPr="00235012">
        <w:rPr>
          <w:rFonts w:cs="Arial"/>
          <w:szCs w:val="22"/>
          <w:highlight w:val="yellow"/>
          <w:vertAlign w:val="superscript"/>
        </w:rPr>
        <w:t>.</w:t>
      </w:r>
      <w:r w:rsidR="00D520DF" w:rsidRPr="00235012">
        <w:rPr>
          <w:rFonts w:cs="Arial"/>
          <w:szCs w:val="22"/>
          <w:highlight w:val="yellow"/>
        </w:rPr>
        <w:t xml:space="preserve">  Once completed, identified households are moved back onto the original </w:t>
      </w:r>
      <w:r w:rsidR="00E32EAE" w:rsidRPr="00235012">
        <w:rPr>
          <w:rFonts w:cs="Arial"/>
          <w:szCs w:val="22"/>
          <w:highlight w:val="yellow"/>
        </w:rPr>
        <w:t>location</w:t>
      </w:r>
      <w:r w:rsidR="00D520DF" w:rsidRPr="00235012">
        <w:rPr>
          <w:rFonts w:cs="Arial"/>
          <w:szCs w:val="22"/>
          <w:highlight w:val="yellow"/>
        </w:rPr>
        <w:t xml:space="preserve">, </w:t>
      </w:r>
      <w:r w:rsidR="00EE7F92" w:rsidRPr="00235012">
        <w:rPr>
          <w:rFonts w:cs="Arial"/>
          <w:szCs w:val="22"/>
          <w:highlight w:val="yellow"/>
        </w:rPr>
        <w:t>on to</w:t>
      </w:r>
      <w:r w:rsidR="00D520DF" w:rsidRPr="00235012">
        <w:rPr>
          <w:rFonts w:cs="Arial"/>
          <w:szCs w:val="22"/>
          <w:highlight w:val="yellow"/>
        </w:rPr>
        <w:t xml:space="preserve"> the newly developed sites.</w:t>
      </w:r>
      <w:r w:rsidR="00D520DF">
        <w:rPr>
          <w:rFonts w:cs="Arial"/>
          <w:szCs w:val="22"/>
        </w:rPr>
        <w:t xml:space="preserve"> </w:t>
      </w:r>
    </w:p>
    <w:p w14:paraId="34482C32" w14:textId="473CB1AC" w:rsidR="009047BA" w:rsidRPr="00C52E98" w:rsidRDefault="009047BA" w:rsidP="00E32EAE">
      <w:pPr>
        <w:spacing w:line="360" w:lineRule="auto"/>
        <w:rPr>
          <w:rFonts w:cs="Arial"/>
          <w:szCs w:val="22"/>
        </w:rPr>
      </w:pPr>
      <w:r w:rsidRPr="00C74EC9">
        <w:rPr>
          <w:rFonts w:cs="Arial"/>
          <w:szCs w:val="22"/>
        </w:rPr>
        <w:t xml:space="preserve">A </w:t>
      </w:r>
      <w:r w:rsidR="00083319" w:rsidRPr="00C74EC9">
        <w:rPr>
          <w:rFonts w:cs="Arial"/>
          <w:szCs w:val="22"/>
        </w:rPr>
        <w:t>NUSP assessment of 16 pilot projects for the UISP in 2008</w:t>
      </w:r>
      <w:r w:rsidRPr="00C74EC9">
        <w:rPr>
          <w:rFonts w:cs="Arial"/>
          <w:szCs w:val="22"/>
        </w:rPr>
        <w:t xml:space="preserve"> n</w:t>
      </w:r>
      <w:r w:rsidR="00083319" w:rsidRPr="00C74EC9">
        <w:rPr>
          <w:rFonts w:cs="Arial"/>
          <w:szCs w:val="22"/>
        </w:rPr>
        <w:t xml:space="preserve">oted </w:t>
      </w:r>
      <w:r w:rsidRPr="00C74EC9">
        <w:rPr>
          <w:rFonts w:cs="Arial"/>
          <w:szCs w:val="22"/>
        </w:rPr>
        <w:t xml:space="preserve">a </w:t>
      </w:r>
      <w:r w:rsidR="00083319" w:rsidRPr="00C74EC9">
        <w:rPr>
          <w:rFonts w:cs="Arial"/>
          <w:szCs w:val="22"/>
        </w:rPr>
        <w:t>predominance of rollover and relocation approaches in their sample</w:t>
      </w:r>
      <w:r w:rsidR="00DC2312">
        <w:rPr>
          <w:rFonts w:cs="Arial"/>
          <w:szCs w:val="22"/>
        </w:rPr>
        <w:t>:</w:t>
      </w:r>
      <w:r w:rsidR="00083319" w:rsidRPr="00C74EC9">
        <w:rPr>
          <w:rFonts w:cs="Arial"/>
          <w:szCs w:val="22"/>
        </w:rPr>
        <w:t xml:space="preserve"> </w:t>
      </w:r>
      <w:r w:rsidR="00E32EAE">
        <w:rPr>
          <w:rFonts w:cs="Arial"/>
          <w:i/>
          <w:szCs w:val="22"/>
        </w:rPr>
        <w:t>‘</w:t>
      </w:r>
      <w:r w:rsidR="00083319" w:rsidRPr="00253AA9">
        <w:rPr>
          <w:rFonts w:cs="Arial"/>
          <w:i/>
          <w:szCs w:val="22"/>
        </w:rPr>
        <w:t xml:space="preserve">Even in municipalities where something of an upgrading approach was being adopted or is being proposed, the methodology (with possibly two exceptions in Colesberg and Witbank), was not what could be considered to be bona fide in-situ upgrading, but one which instead involved the removal of households and their shacks to </w:t>
      </w:r>
      <w:r w:rsidR="00EE7F92" w:rsidRPr="00253AA9">
        <w:rPr>
          <w:rFonts w:cs="Arial"/>
          <w:i/>
          <w:szCs w:val="22"/>
        </w:rPr>
        <w:lastRenderedPageBreak/>
        <w:t>TRAs</w:t>
      </w:r>
      <w:r w:rsidR="00083319" w:rsidRPr="00253AA9">
        <w:rPr>
          <w:rFonts w:cs="Arial"/>
          <w:i/>
          <w:szCs w:val="22"/>
        </w:rPr>
        <w:t xml:space="preserve"> pending completion of any requisite site formation works and the introduction of infrastructure and services</w:t>
      </w:r>
      <w:r w:rsidRPr="00253AA9">
        <w:rPr>
          <w:rFonts w:cs="Arial"/>
          <w:i/>
          <w:szCs w:val="22"/>
        </w:rPr>
        <w:t>”</w:t>
      </w:r>
      <w:r w:rsidR="00AB242A" w:rsidRPr="00C52E98">
        <w:rPr>
          <w:rFonts w:cs="Arial"/>
          <w:szCs w:val="22"/>
        </w:rPr>
        <w:t xml:space="preserve"> (NUSP, 2008, p5)</w:t>
      </w:r>
      <w:r w:rsidRPr="00C52E98">
        <w:rPr>
          <w:rFonts w:cs="Arial"/>
          <w:szCs w:val="22"/>
        </w:rPr>
        <w:t>.</w:t>
      </w:r>
    </w:p>
    <w:p w14:paraId="19F415A0" w14:textId="244EE03E" w:rsidR="00083319" w:rsidRPr="00235012" w:rsidRDefault="00C839FA" w:rsidP="00E32EAE">
      <w:pPr>
        <w:spacing w:line="360" w:lineRule="auto"/>
        <w:rPr>
          <w:rFonts w:cs="Arial"/>
          <w:szCs w:val="22"/>
          <w:highlight w:val="yellow"/>
        </w:rPr>
      </w:pPr>
      <w:r w:rsidRPr="00235012">
        <w:rPr>
          <w:rFonts w:cs="Arial"/>
          <w:color w:val="244061" w:themeColor="accent1" w:themeShade="80"/>
          <w:szCs w:val="22"/>
          <w:highlight w:val="yellow"/>
        </w:rPr>
        <w:t>T</w:t>
      </w:r>
      <w:r w:rsidR="00083319" w:rsidRPr="00235012">
        <w:rPr>
          <w:rFonts w:cs="Arial"/>
          <w:szCs w:val="22"/>
          <w:highlight w:val="yellow"/>
        </w:rPr>
        <w:t xml:space="preserve">here is </w:t>
      </w:r>
      <w:r w:rsidR="009047BA" w:rsidRPr="00235012">
        <w:rPr>
          <w:rFonts w:cs="Arial"/>
          <w:szCs w:val="22"/>
          <w:highlight w:val="yellow"/>
        </w:rPr>
        <w:t>little</w:t>
      </w:r>
      <w:r w:rsidR="00083319" w:rsidRPr="00235012">
        <w:rPr>
          <w:rFonts w:cs="Arial"/>
          <w:szCs w:val="22"/>
          <w:highlight w:val="yellow"/>
        </w:rPr>
        <w:t xml:space="preserve"> doubt that this ‘temporary’ relocation of households and dismantling of existing structures greatly facilitates the introduction of infrastructure and services, as well as the creation of regular formal planning layouts based on standard residential stand sizes. However, this approach has a number of disadvantages: </w:t>
      </w:r>
    </w:p>
    <w:p w14:paraId="43EE53D9" w14:textId="60B92B6D" w:rsidR="00083319" w:rsidRPr="00CC67C7" w:rsidRDefault="00C74EC9" w:rsidP="00E32EAE">
      <w:pPr>
        <w:numPr>
          <w:ilvl w:val="1"/>
          <w:numId w:val="1"/>
        </w:numPr>
        <w:spacing w:line="360" w:lineRule="auto"/>
        <w:ind w:left="720"/>
        <w:rPr>
          <w:rFonts w:cs="Arial"/>
          <w:szCs w:val="22"/>
        </w:rPr>
      </w:pPr>
      <w:r w:rsidRPr="00235012">
        <w:rPr>
          <w:b/>
          <w:szCs w:val="22"/>
          <w:highlight w:val="yellow"/>
        </w:rPr>
        <w:t>Loss of Household Investment</w:t>
      </w:r>
      <w:r w:rsidRPr="00235012">
        <w:rPr>
          <w:szCs w:val="22"/>
          <w:highlight w:val="yellow"/>
        </w:rPr>
        <w:t>: I</w:t>
      </w:r>
      <w:r w:rsidR="009047BA" w:rsidRPr="00235012">
        <w:rPr>
          <w:szCs w:val="22"/>
          <w:highlight w:val="yellow"/>
        </w:rPr>
        <w:t>n</w:t>
      </w:r>
      <w:r w:rsidR="00083319" w:rsidRPr="00235012">
        <w:rPr>
          <w:rFonts w:cs="Arial"/>
          <w:szCs w:val="22"/>
          <w:highlight w:val="yellow"/>
        </w:rPr>
        <w:t xml:space="preserve"> many cases temporary relocation involves the dismantling and removal of structures which are built of permanent or semi-permanent building materials, </w:t>
      </w:r>
      <w:r w:rsidRPr="00235012">
        <w:rPr>
          <w:rFonts w:cs="Arial"/>
          <w:szCs w:val="22"/>
          <w:highlight w:val="yellow"/>
        </w:rPr>
        <w:t>as well as removal of structures that</w:t>
      </w:r>
      <w:r w:rsidR="00083319" w:rsidRPr="00235012">
        <w:rPr>
          <w:rFonts w:cs="Arial"/>
          <w:szCs w:val="22"/>
          <w:highlight w:val="yellow"/>
        </w:rPr>
        <w:t xml:space="preserve"> are substantially larger than the proposed </w:t>
      </w:r>
      <w:r w:rsidRPr="00235012">
        <w:rPr>
          <w:rFonts w:cs="Arial"/>
          <w:szCs w:val="22"/>
          <w:highlight w:val="yellow"/>
        </w:rPr>
        <w:t xml:space="preserve">temporary </w:t>
      </w:r>
      <w:r w:rsidR="00083319" w:rsidRPr="00235012">
        <w:rPr>
          <w:rFonts w:cs="Arial"/>
          <w:szCs w:val="22"/>
          <w:highlight w:val="yellow"/>
        </w:rPr>
        <w:t xml:space="preserve">accommodation (and often larger than the proposed </w:t>
      </w:r>
      <w:r w:rsidR="00E01C9B" w:rsidRPr="00235012">
        <w:rPr>
          <w:rFonts w:cs="Arial"/>
          <w:szCs w:val="22"/>
          <w:highlight w:val="yellow"/>
        </w:rPr>
        <w:t>subsidized</w:t>
      </w:r>
      <w:r w:rsidR="00083319" w:rsidRPr="00235012">
        <w:rPr>
          <w:rFonts w:cs="Arial"/>
          <w:szCs w:val="22"/>
          <w:highlight w:val="yellow"/>
        </w:rPr>
        <w:t xml:space="preserve"> housing unit)</w:t>
      </w:r>
      <w:r w:rsidR="00E32EAE" w:rsidRPr="00235012">
        <w:rPr>
          <w:rFonts w:cs="Arial"/>
          <w:szCs w:val="22"/>
          <w:highlight w:val="yellow"/>
        </w:rPr>
        <w:t>, which may mean that households lose whatever investment they may have made in terms of time and material during the rollover process</w:t>
      </w:r>
      <w:r w:rsidR="00E32EAE">
        <w:rPr>
          <w:rFonts w:cs="Arial"/>
          <w:szCs w:val="22"/>
        </w:rPr>
        <w:t xml:space="preserve"> (</w:t>
      </w:r>
      <w:r w:rsidR="00E32EAE" w:rsidRPr="00CC67C7">
        <w:rPr>
          <w:rFonts w:cs="Arial"/>
          <w:szCs w:val="22"/>
        </w:rPr>
        <w:t xml:space="preserve">NUSP </w:t>
      </w:r>
      <w:r w:rsidR="00E32EAE">
        <w:rPr>
          <w:rFonts w:cs="Arial"/>
          <w:szCs w:val="22"/>
        </w:rPr>
        <w:t>2008, p</w:t>
      </w:r>
      <w:r w:rsidR="00E32EAE" w:rsidRPr="00CC67C7">
        <w:rPr>
          <w:rFonts w:cs="Arial"/>
          <w:szCs w:val="22"/>
        </w:rPr>
        <w:t>9</w:t>
      </w:r>
      <w:r w:rsidR="00E32EAE">
        <w:rPr>
          <w:rFonts w:cs="Arial"/>
          <w:szCs w:val="22"/>
        </w:rPr>
        <w:t>)</w:t>
      </w:r>
      <w:r w:rsidR="00E32EAE" w:rsidRPr="00CC67C7">
        <w:rPr>
          <w:rFonts w:cs="Arial"/>
          <w:szCs w:val="22"/>
        </w:rPr>
        <w:t xml:space="preserve"> </w:t>
      </w:r>
      <w:r w:rsidR="00083319" w:rsidRPr="00CC67C7">
        <w:rPr>
          <w:rFonts w:cs="Arial"/>
          <w:szCs w:val="22"/>
        </w:rPr>
        <w:t xml:space="preserve"> </w:t>
      </w:r>
    </w:p>
    <w:p w14:paraId="29137291" w14:textId="0A1793B6" w:rsidR="00083319" w:rsidRPr="00CC67C7" w:rsidRDefault="00C74EC9" w:rsidP="00E32EAE">
      <w:pPr>
        <w:numPr>
          <w:ilvl w:val="1"/>
          <w:numId w:val="1"/>
        </w:numPr>
        <w:spacing w:line="360" w:lineRule="auto"/>
        <w:ind w:left="720"/>
        <w:rPr>
          <w:rFonts w:cs="Arial"/>
          <w:szCs w:val="22"/>
        </w:rPr>
      </w:pPr>
      <w:r w:rsidRPr="00235012">
        <w:rPr>
          <w:rFonts w:cs="Arial"/>
          <w:b/>
          <w:szCs w:val="22"/>
          <w:highlight w:val="yellow"/>
        </w:rPr>
        <w:t>Community Disruption</w:t>
      </w:r>
      <w:r w:rsidRPr="00235012">
        <w:rPr>
          <w:rFonts w:cs="Arial"/>
          <w:szCs w:val="22"/>
          <w:highlight w:val="yellow"/>
        </w:rPr>
        <w:t xml:space="preserve">: </w:t>
      </w:r>
      <w:r w:rsidR="00083319" w:rsidRPr="00235012">
        <w:rPr>
          <w:rFonts w:cs="Arial"/>
          <w:szCs w:val="22"/>
          <w:highlight w:val="yellow"/>
        </w:rPr>
        <w:t xml:space="preserve">As </w:t>
      </w:r>
      <w:r w:rsidRPr="00235012">
        <w:rPr>
          <w:rFonts w:cs="Arial"/>
          <w:szCs w:val="22"/>
          <w:highlight w:val="yellow"/>
        </w:rPr>
        <w:t>with</w:t>
      </w:r>
      <w:r w:rsidR="00083319" w:rsidRPr="00235012">
        <w:rPr>
          <w:rFonts w:cs="Arial"/>
          <w:szCs w:val="22"/>
          <w:highlight w:val="yellow"/>
        </w:rPr>
        <w:t xml:space="preserve"> permanent relocation, temporary removal and resettlement of households is extremely disruptive and traumatic for targeted communities. Furthermore</w:t>
      </w:r>
      <w:r w:rsidR="00E32EAE" w:rsidRPr="00235012">
        <w:rPr>
          <w:rFonts w:cs="Arial"/>
          <w:szCs w:val="22"/>
          <w:highlight w:val="yellow"/>
        </w:rPr>
        <w:t>,</w:t>
      </w:r>
      <w:r w:rsidR="00083319" w:rsidRPr="00235012">
        <w:rPr>
          <w:rFonts w:cs="Arial"/>
          <w:szCs w:val="22"/>
          <w:highlight w:val="yellow"/>
        </w:rPr>
        <w:t xml:space="preserve"> it breaks down the social capital invariably found in existing, well-established communities formed through family ties, neighbourhood linkages and community </w:t>
      </w:r>
      <w:r w:rsidR="008B47BF" w:rsidRPr="00235012">
        <w:rPr>
          <w:rFonts w:cs="Arial"/>
          <w:szCs w:val="22"/>
          <w:highlight w:val="yellow"/>
        </w:rPr>
        <w:t>organization</w:t>
      </w:r>
      <w:r w:rsidR="00083319" w:rsidRPr="00235012">
        <w:rPr>
          <w:rFonts w:cs="Arial"/>
          <w:szCs w:val="22"/>
          <w:highlight w:val="yellow"/>
        </w:rPr>
        <w:t>s.</w:t>
      </w:r>
      <w:r w:rsidR="00C52E98" w:rsidRPr="00235012">
        <w:rPr>
          <w:rFonts w:cs="Arial"/>
          <w:szCs w:val="22"/>
          <w:highlight w:val="yellow"/>
        </w:rPr>
        <w:t>”</w:t>
      </w:r>
      <w:r w:rsidR="00C52E98">
        <w:rPr>
          <w:rFonts w:cs="Arial"/>
          <w:szCs w:val="22"/>
        </w:rPr>
        <w:t xml:space="preserve"> </w:t>
      </w:r>
      <w:r w:rsidR="00E32EAE">
        <w:rPr>
          <w:rFonts w:cs="Arial"/>
          <w:szCs w:val="22"/>
        </w:rPr>
        <w:t>(</w:t>
      </w:r>
      <w:r w:rsidR="0047610A">
        <w:rPr>
          <w:rFonts w:cs="Arial"/>
          <w:szCs w:val="22"/>
        </w:rPr>
        <w:t>Ibid.</w:t>
      </w:r>
      <w:r w:rsidR="00E32EAE">
        <w:rPr>
          <w:rFonts w:cs="Arial"/>
          <w:szCs w:val="22"/>
        </w:rPr>
        <w:t>.)</w:t>
      </w:r>
    </w:p>
    <w:p w14:paraId="2DB162FA" w14:textId="6666B2E2" w:rsidR="008F460F" w:rsidRPr="00235012" w:rsidRDefault="00C74EC9" w:rsidP="00E32EAE">
      <w:pPr>
        <w:numPr>
          <w:ilvl w:val="1"/>
          <w:numId w:val="1"/>
        </w:numPr>
        <w:spacing w:line="360" w:lineRule="auto"/>
        <w:ind w:left="720"/>
        <w:rPr>
          <w:rFonts w:cs="Arial"/>
          <w:i/>
          <w:highlight w:val="yellow"/>
        </w:rPr>
      </w:pPr>
      <w:r w:rsidRPr="00235012">
        <w:rPr>
          <w:rFonts w:cs="Arial"/>
          <w:b/>
          <w:szCs w:val="22"/>
          <w:highlight w:val="yellow"/>
        </w:rPr>
        <w:t xml:space="preserve">Length of  </w:t>
      </w:r>
      <w:r w:rsidR="0089567C" w:rsidRPr="00235012">
        <w:rPr>
          <w:rFonts w:cs="Arial"/>
          <w:b/>
          <w:szCs w:val="22"/>
          <w:highlight w:val="yellow"/>
        </w:rPr>
        <w:t>“</w:t>
      </w:r>
      <w:r w:rsidRPr="00235012">
        <w:rPr>
          <w:rFonts w:cs="Arial"/>
          <w:b/>
          <w:szCs w:val="22"/>
          <w:highlight w:val="yellow"/>
        </w:rPr>
        <w:t>Temporary</w:t>
      </w:r>
      <w:r w:rsidR="0089567C" w:rsidRPr="00235012">
        <w:rPr>
          <w:rFonts w:cs="Arial"/>
          <w:b/>
          <w:szCs w:val="22"/>
          <w:highlight w:val="yellow"/>
        </w:rPr>
        <w:t>”</w:t>
      </w:r>
      <w:r w:rsidRPr="00235012">
        <w:rPr>
          <w:rFonts w:cs="Arial"/>
          <w:b/>
          <w:szCs w:val="22"/>
          <w:highlight w:val="yellow"/>
        </w:rPr>
        <w:t xml:space="preserve"> Stay</w:t>
      </w:r>
      <w:r w:rsidR="00FF69EF" w:rsidRPr="00235012">
        <w:rPr>
          <w:rFonts w:cs="Arial"/>
          <w:b/>
          <w:szCs w:val="22"/>
          <w:highlight w:val="yellow"/>
        </w:rPr>
        <w:t xml:space="preserve"> / Displacement</w:t>
      </w:r>
      <w:r w:rsidRPr="00235012">
        <w:rPr>
          <w:rFonts w:cs="Arial"/>
          <w:szCs w:val="22"/>
          <w:highlight w:val="yellow"/>
        </w:rPr>
        <w:t xml:space="preserve">: </w:t>
      </w:r>
      <w:r w:rsidR="00083319" w:rsidRPr="00235012">
        <w:rPr>
          <w:rFonts w:cs="Arial"/>
          <w:szCs w:val="22"/>
          <w:highlight w:val="yellow"/>
        </w:rPr>
        <w:t>Although originally intended as temporary relocation, resettlement can often prove semi-permanent</w:t>
      </w:r>
      <w:r w:rsidRPr="00235012">
        <w:rPr>
          <w:rFonts w:cs="Arial"/>
          <w:szCs w:val="22"/>
          <w:highlight w:val="yellow"/>
        </w:rPr>
        <w:t xml:space="preserve">. </w:t>
      </w:r>
      <w:r w:rsidR="00FF69EF" w:rsidRPr="00235012">
        <w:rPr>
          <w:rFonts w:cs="Arial"/>
          <w:szCs w:val="22"/>
          <w:highlight w:val="yellow"/>
        </w:rPr>
        <w:t>Thi</w:t>
      </w:r>
      <w:r w:rsidR="00391BAE" w:rsidRPr="00235012">
        <w:rPr>
          <w:rFonts w:cs="Arial"/>
          <w:szCs w:val="22"/>
          <w:highlight w:val="yellow"/>
        </w:rPr>
        <w:t>s</w:t>
      </w:r>
      <w:r w:rsidR="00FF69EF" w:rsidRPr="00235012">
        <w:rPr>
          <w:rFonts w:cs="Arial"/>
          <w:szCs w:val="22"/>
          <w:highlight w:val="yellow"/>
        </w:rPr>
        <w:t xml:space="preserve"> is either due to delays in developing the original site, or due to the refusal of relocate</w:t>
      </w:r>
      <w:r w:rsidR="00E32EAE" w:rsidRPr="00235012">
        <w:rPr>
          <w:rFonts w:cs="Arial"/>
          <w:szCs w:val="22"/>
          <w:highlight w:val="yellow"/>
        </w:rPr>
        <w:t>e</w:t>
      </w:r>
      <w:r w:rsidR="00FF69EF" w:rsidRPr="00235012">
        <w:rPr>
          <w:rFonts w:cs="Arial"/>
          <w:szCs w:val="22"/>
          <w:highlight w:val="yellow"/>
        </w:rPr>
        <w:t>s to vacate the TRA.</w:t>
      </w:r>
      <w:r w:rsidR="00B55E77" w:rsidRPr="00235012">
        <w:rPr>
          <w:rFonts w:cs="Arial"/>
          <w:szCs w:val="22"/>
          <w:highlight w:val="yellow"/>
        </w:rPr>
        <w:t xml:space="preserve"> </w:t>
      </w:r>
    </w:p>
    <w:p w14:paraId="23A46019" w14:textId="50682341" w:rsidR="00083319" w:rsidRPr="00235012" w:rsidRDefault="00C74EC9" w:rsidP="00250EA9">
      <w:pPr>
        <w:spacing w:line="360" w:lineRule="auto"/>
        <w:rPr>
          <w:rFonts w:cs="Arial"/>
          <w:szCs w:val="22"/>
          <w:highlight w:val="yellow"/>
        </w:rPr>
      </w:pPr>
      <w:r w:rsidRPr="00235012">
        <w:rPr>
          <w:rFonts w:cs="Arial"/>
          <w:szCs w:val="22"/>
          <w:highlight w:val="yellow"/>
        </w:rPr>
        <w:t>The following preconditions are necessary to ensure a successful rollover project:</w:t>
      </w:r>
    </w:p>
    <w:p w14:paraId="590C8571" w14:textId="315DD475" w:rsidR="00C74EC9" w:rsidRPr="00235012" w:rsidRDefault="00C74EC9" w:rsidP="00E32EAE">
      <w:pPr>
        <w:numPr>
          <w:ilvl w:val="1"/>
          <w:numId w:val="1"/>
        </w:numPr>
        <w:spacing w:line="360" w:lineRule="auto"/>
        <w:ind w:left="720"/>
        <w:rPr>
          <w:rFonts w:cs="Arial"/>
          <w:b/>
          <w:szCs w:val="22"/>
          <w:highlight w:val="yellow"/>
        </w:rPr>
      </w:pPr>
      <w:r w:rsidRPr="00235012">
        <w:rPr>
          <w:rFonts w:cs="Arial"/>
          <w:b/>
          <w:szCs w:val="22"/>
          <w:highlight w:val="yellow"/>
        </w:rPr>
        <w:t xml:space="preserve">Conclusive </w:t>
      </w:r>
      <w:r w:rsidR="00B55E77" w:rsidRPr="00235012">
        <w:rPr>
          <w:rFonts w:cs="Arial"/>
          <w:b/>
          <w:szCs w:val="22"/>
          <w:highlight w:val="yellow"/>
        </w:rPr>
        <w:t>Motivation</w:t>
      </w:r>
      <w:r w:rsidRPr="00235012">
        <w:rPr>
          <w:rFonts w:cs="Arial"/>
          <w:b/>
          <w:szCs w:val="22"/>
          <w:highlight w:val="yellow"/>
        </w:rPr>
        <w:t xml:space="preserve">: </w:t>
      </w:r>
      <w:r w:rsidRPr="00235012">
        <w:rPr>
          <w:rFonts w:cs="Arial"/>
          <w:szCs w:val="22"/>
          <w:highlight w:val="yellow"/>
        </w:rPr>
        <w:t>There should be a clear motivation for why normal upgrading processes cannot be used in a specific informal settlement. This may include topographic issues, extreme densities within the settlement, or serious health and safety concerns.</w:t>
      </w:r>
    </w:p>
    <w:p w14:paraId="6194C0A3" w14:textId="0CE97833" w:rsidR="00C74EC9" w:rsidRPr="00235012" w:rsidRDefault="00C74EC9" w:rsidP="00E32EAE">
      <w:pPr>
        <w:numPr>
          <w:ilvl w:val="1"/>
          <w:numId w:val="1"/>
        </w:numPr>
        <w:spacing w:line="360" w:lineRule="auto"/>
        <w:ind w:left="720"/>
        <w:rPr>
          <w:rFonts w:cs="Arial"/>
          <w:b/>
          <w:szCs w:val="22"/>
          <w:highlight w:val="yellow"/>
        </w:rPr>
      </w:pPr>
      <w:r w:rsidRPr="00235012">
        <w:rPr>
          <w:rFonts w:cs="Arial"/>
          <w:b/>
          <w:szCs w:val="22"/>
          <w:highlight w:val="yellow"/>
        </w:rPr>
        <w:t xml:space="preserve">Community Support: </w:t>
      </w:r>
      <w:r w:rsidRPr="00235012">
        <w:rPr>
          <w:rFonts w:cs="Arial"/>
          <w:szCs w:val="22"/>
          <w:highlight w:val="yellow"/>
        </w:rPr>
        <w:t xml:space="preserve">The target community must support the </w:t>
      </w:r>
      <w:r w:rsidR="0089567C" w:rsidRPr="00235012">
        <w:rPr>
          <w:rFonts w:cs="Arial"/>
          <w:szCs w:val="22"/>
          <w:highlight w:val="yellow"/>
        </w:rPr>
        <w:t xml:space="preserve">proposed </w:t>
      </w:r>
      <w:r w:rsidRPr="00235012">
        <w:rPr>
          <w:rFonts w:cs="Arial"/>
          <w:szCs w:val="22"/>
          <w:highlight w:val="yellow"/>
        </w:rPr>
        <w:t xml:space="preserve">rollover process  </w:t>
      </w:r>
    </w:p>
    <w:p w14:paraId="34A69FB8" w14:textId="77777777" w:rsidR="00B55E77" w:rsidRPr="00235012" w:rsidRDefault="00C74EC9" w:rsidP="00E32EAE">
      <w:pPr>
        <w:numPr>
          <w:ilvl w:val="1"/>
          <w:numId w:val="1"/>
        </w:numPr>
        <w:spacing w:line="360" w:lineRule="auto"/>
        <w:ind w:left="720"/>
        <w:rPr>
          <w:rFonts w:cs="Arial"/>
          <w:b/>
          <w:szCs w:val="22"/>
          <w:highlight w:val="yellow"/>
        </w:rPr>
      </w:pPr>
      <w:r w:rsidRPr="00235012">
        <w:rPr>
          <w:rFonts w:cs="Arial"/>
          <w:b/>
          <w:szCs w:val="22"/>
          <w:highlight w:val="yellow"/>
        </w:rPr>
        <w:t xml:space="preserve">TRA Availability: </w:t>
      </w:r>
      <w:r w:rsidRPr="00235012">
        <w:rPr>
          <w:rFonts w:cs="Arial"/>
          <w:szCs w:val="22"/>
          <w:highlight w:val="yellow"/>
        </w:rPr>
        <w:t>A suitable TRA, in close proximity to the target community must be available, and this must offer reasonable temporary facilities</w:t>
      </w:r>
      <w:r w:rsidR="00B55E77" w:rsidRPr="00235012">
        <w:rPr>
          <w:rFonts w:cs="Arial"/>
          <w:szCs w:val="22"/>
          <w:highlight w:val="yellow"/>
        </w:rPr>
        <w:t xml:space="preserve"> and accommodation.</w:t>
      </w:r>
    </w:p>
    <w:p w14:paraId="452852CE" w14:textId="52EFBBF7" w:rsidR="00FF69EF" w:rsidRPr="00235012" w:rsidRDefault="00083319" w:rsidP="00E32EAE">
      <w:pPr>
        <w:numPr>
          <w:ilvl w:val="1"/>
          <w:numId w:val="1"/>
        </w:numPr>
        <w:spacing w:line="360" w:lineRule="auto"/>
        <w:ind w:left="720"/>
        <w:rPr>
          <w:rFonts w:cs="Arial"/>
          <w:szCs w:val="22"/>
          <w:highlight w:val="yellow"/>
        </w:rPr>
      </w:pPr>
      <w:r w:rsidRPr="00235012">
        <w:rPr>
          <w:rFonts w:cs="Arial"/>
          <w:b/>
          <w:szCs w:val="22"/>
          <w:highlight w:val="yellow"/>
        </w:rPr>
        <w:lastRenderedPageBreak/>
        <w:t xml:space="preserve">Subsidy </w:t>
      </w:r>
      <w:r w:rsidR="00FF69EF" w:rsidRPr="00235012">
        <w:rPr>
          <w:rFonts w:cs="Arial"/>
          <w:b/>
          <w:szCs w:val="22"/>
          <w:highlight w:val="yellow"/>
        </w:rPr>
        <w:t>Q</w:t>
      </w:r>
      <w:r w:rsidRPr="00235012">
        <w:rPr>
          <w:rFonts w:cs="Arial"/>
          <w:b/>
          <w:szCs w:val="22"/>
          <w:highlight w:val="yellow"/>
        </w:rPr>
        <w:t>ualification</w:t>
      </w:r>
      <w:r w:rsidR="00FF69EF" w:rsidRPr="00235012">
        <w:rPr>
          <w:rFonts w:cs="Arial"/>
          <w:b/>
          <w:szCs w:val="22"/>
          <w:highlight w:val="yellow"/>
        </w:rPr>
        <w:t xml:space="preserve">: </w:t>
      </w:r>
      <w:r w:rsidR="00FF69EF" w:rsidRPr="00235012">
        <w:rPr>
          <w:rFonts w:cs="Arial"/>
          <w:szCs w:val="22"/>
          <w:highlight w:val="yellow"/>
        </w:rPr>
        <w:t>All relocates should qualify for top structure subsidies, in order that they will be relocated into superior quality accommodation.</w:t>
      </w:r>
    </w:p>
    <w:p w14:paraId="4E404283" w14:textId="73B4E5CF" w:rsidR="00FF69EF" w:rsidRPr="00235012" w:rsidRDefault="00FF69EF" w:rsidP="0089567C">
      <w:pPr>
        <w:numPr>
          <w:ilvl w:val="1"/>
          <w:numId w:val="1"/>
        </w:numPr>
        <w:spacing w:line="360" w:lineRule="auto"/>
        <w:ind w:left="720"/>
        <w:rPr>
          <w:rFonts w:cs="Arial"/>
          <w:szCs w:val="22"/>
          <w:highlight w:val="yellow"/>
        </w:rPr>
      </w:pPr>
      <w:r w:rsidRPr="00235012">
        <w:rPr>
          <w:rFonts w:cs="Arial"/>
          <w:b/>
          <w:szCs w:val="22"/>
          <w:highlight w:val="yellow"/>
        </w:rPr>
        <w:t>Protection of Equity:</w:t>
      </w:r>
      <w:r w:rsidRPr="00235012">
        <w:rPr>
          <w:rFonts w:cs="Arial"/>
          <w:szCs w:val="22"/>
          <w:highlight w:val="yellow"/>
        </w:rPr>
        <w:t xml:space="preserve"> Where households’ original structures are removed or destroyed, adequate compensation for this lost</w:t>
      </w:r>
      <w:r w:rsidR="0089567C" w:rsidRPr="00235012">
        <w:rPr>
          <w:rFonts w:cs="Arial"/>
          <w:szCs w:val="22"/>
          <w:highlight w:val="yellow"/>
        </w:rPr>
        <w:t xml:space="preserve"> of</w:t>
      </w:r>
      <w:r w:rsidRPr="00235012">
        <w:rPr>
          <w:rFonts w:cs="Arial"/>
          <w:szCs w:val="22"/>
          <w:highlight w:val="yellow"/>
        </w:rPr>
        <w:t xml:space="preserve"> equity should be guaranteed, especially where top structures will not be </w:t>
      </w:r>
      <w:r w:rsidR="00E01C9B" w:rsidRPr="00235012">
        <w:rPr>
          <w:rFonts w:cs="Arial"/>
          <w:szCs w:val="22"/>
          <w:highlight w:val="yellow"/>
        </w:rPr>
        <w:t>subsidized</w:t>
      </w:r>
      <w:r w:rsidRPr="00235012">
        <w:rPr>
          <w:rFonts w:cs="Arial"/>
          <w:szCs w:val="22"/>
          <w:highlight w:val="yellow"/>
        </w:rPr>
        <w:t>.</w:t>
      </w:r>
    </w:p>
    <w:p w14:paraId="20BB8A7B" w14:textId="48641E56" w:rsidR="00083319" w:rsidRPr="00235012" w:rsidRDefault="00391BAE" w:rsidP="0089567C">
      <w:pPr>
        <w:numPr>
          <w:ilvl w:val="1"/>
          <w:numId w:val="1"/>
        </w:numPr>
        <w:spacing w:line="360" w:lineRule="auto"/>
        <w:ind w:left="720"/>
        <w:rPr>
          <w:rFonts w:cs="Arial"/>
          <w:b/>
          <w:szCs w:val="22"/>
          <w:highlight w:val="yellow"/>
        </w:rPr>
      </w:pPr>
      <w:r w:rsidRPr="00235012">
        <w:rPr>
          <w:rFonts w:cs="Arial"/>
          <w:b/>
          <w:szCs w:val="22"/>
          <w:highlight w:val="yellow"/>
        </w:rPr>
        <w:t xml:space="preserve">Displacement: </w:t>
      </w:r>
      <w:r w:rsidR="00083319" w:rsidRPr="00235012">
        <w:rPr>
          <w:rFonts w:cs="Arial"/>
          <w:szCs w:val="22"/>
          <w:highlight w:val="yellow"/>
        </w:rPr>
        <w:t xml:space="preserve">Densities </w:t>
      </w:r>
      <w:r w:rsidRPr="00235012">
        <w:rPr>
          <w:rFonts w:cs="Arial"/>
          <w:szCs w:val="22"/>
          <w:highlight w:val="yellow"/>
        </w:rPr>
        <w:t xml:space="preserve">at least </w:t>
      </w:r>
      <w:r w:rsidR="00083319" w:rsidRPr="00235012">
        <w:rPr>
          <w:rFonts w:cs="Arial"/>
          <w:szCs w:val="22"/>
          <w:highlight w:val="yellow"/>
        </w:rPr>
        <w:t>equal to the pre</w:t>
      </w:r>
      <w:r w:rsidRPr="00235012">
        <w:rPr>
          <w:rFonts w:cs="Arial"/>
          <w:szCs w:val="22"/>
          <w:highlight w:val="yellow"/>
        </w:rPr>
        <w:t>-</w:t>
      </w:r>
      <w:r w:rsidR="00083319" w:rsidRPr="00235012">
        <w:rPr>
          <w:rFonts w:cs="Arial"/>
          <w:szCs w:val="22"/>
          <w:highlight w:val="yellow"/>
        </w:rPr>
        <w:t xml:space="preserve">rollover densities in the relocated block can be achieved within the </w:t>
      </w:r>
      <w:r w:rsidRPr="00235012">
        <w:rPr>
          <w:rFonts w:cs="Arial"/>
          <w:szCs w:val="22"/>
          <w:highlight w:val="yellow"/>
        </w:rPr>
        <w:t xml:space="preserve">project’s parameters, and that these meet </w:t>
      </w:r>
      <w:r w:rsidR="00035902" w:rsidRPr="00235012">
        <w:rPr>
          <w:rFonts w:cs="Arial"/>
          <w:szCs w:val="22"/>
          <w:highlight w:val="yellow"/>
        </w:rPr>
        <w:t>natio</w:t>
      </w:r>
      <w:r w:rsidR="00083319" w:rsidRPr="00235012">
        <w:rPr>
          <w:rFonts w:cs="Arial"/>
          <w:szCs w:val="22"/>
          <w:highlight w:val="yellow"/>
        </w:rPr>
        <w:t>nal minimum norms and standards and NHBRC requirements</w:t>
      </w:r>
      <w:r w:rsidR="00083319" w:rsidRPr="00235012">
        <w:rPr>
          <w:rFonts w:cs="Arial"/>
          <w:b/>
          <w:szCs w:val="22"/>
          <w:highlight w:val="yellow"/>
        </w:rPr>
        <w:t xml:space="preserve">.  </w:t>
      </w:r>
    </w:p>
    <w:p w14:paraId="7CF68F11" w14:textId="640C47B9" w:rsidR="007A7171" w:rsidRPr="007816AB" w:rsidRDefault="007816AB" w:rsidP="00540DD7">
      <w:pPr>
        <w:pStyle w:val="Heading2"/>
      </w:pPr>
      <w:bookmarkStart w:id="127" w:name="_Toc261617597"/>
      <w:bookmarkStart w:id="128" w:name="_Toc262067810"/>
      <w:bookmarkStart w:id="129" w:name="_Toc270946023"/>
      <w:r>
        <w:t>South Africa’s ISU Experience</w:t>
      </w:r>
      <w:r w:rsidR="00713A71">
        <w:t xml:space="preserve"> &amp; Practice</w:t>
      </w:r>
      <w:bookmarkEnd w:id="127"/>
      <w:bookmarkEnd w:id="128"/>
      <w:bookmarkEnd w:id="129"/>
    </w:p>
    <w:p w14:paraId="577E4EAC" w14:textId="77777777" w:rsidR="0089567C" w:rsidRDefault="0089567C" w:rsidP="00250EA9">
      <w:pPr>
        <w:spacing w:after="0" w:line="360" w:lineRule="auto"/>
        <w:rPr>
          <w:rFonts w:cs="Arial"/>
          <w:szCs w:val="22"/>
        </w:rPr>
      </w:pPr>
    </w:p>
    <w:p w14:paraId="611BA04C" w14:textId="599D028D" w:rsidR="00713A71" w:rsidRDefault="00713A71" w:rsidP="00250EA9">
      <w:pPr>
        <w:spacing w:after="0" w:line="360" w:lineRule="auto"/>
        <w:rPr>
          <w:rFonts w:cs="Arial"/>
          <w:szCs w:val="22"/>
        </w:rPr>
      </w:pPr>
      <w:r w:rsidRPr="00713A71">
        <w:rPr>
          <w:rFonts w:cs="Arial"/>
          <w:szCs w:val="22"/>
        </w:rPr>
        <w:t xml:space="preserve">The key objective </w:t>
      </w:r>
      <w:r w:rsidR="00C52E98">
        <w:rPr>
          <w:rFonts w:cs="Arial"/>
          <w:szCs w:val="22"/>
        </w:rPr>
        <w:t xml:space="preserve">of the UISP </w:t>
      </w:r>
      <w:r w:rsidRPr="00713A71">
        <w:rPr>
          <w:rFonts w:cs="Arial"/>
          <w:szCs w:val="22"/>
        </w:rPr>
        <w:t xml:space="preserve">is to </w:t>
      </w:r>
      <w:r w:rsidR="008D7B57">
        <w:rPr>
          <w:rFonts w:cs="Arial"/>
          <w:i/>
          <w:szCs w:val="22"/>
        </w:rPr>
        <w:t>“</w:t>
      </w:r>
      <w:r w:rsidRPr="00713A71">
        <w:rPr>
          <w:rFonts w:cs="Arial"/>
          <w:i/>
          <w:szCs w:val="22"/>
        </w:rPr>
        <w:t xml:space="preserve">facilitate the structured </w:t>
      </w:r>
      <w:r w:rsidRPr="00C52E98">
        <w:rPr>
          <w:rFonts w:cs="Arial"/>
          <w:b/>
          <w:i/>
          <w:szCs w:val="22"/>
        </w:rPr>
        <w:t>in situ upgrading</w:t>
      </w:r>
      <w:r w:rsidRPr="00713A71">
        <w:rPr>
          <w:rFonts w:cs="Arial"/>
          <w:i/>
          <w:szCs w:val="22"/>
        </w:rPr>
        <w:t xml:space="preserve"> of informal settlements as opposed to relocation”</w:t>
      </w:r>
      <w:r w:rsidRPr="00713A71">
        <w:rPr>
          <w:rFonts w:cs="Arial"/>
          <w:szCs w:val="22"/>
        </w:rPr>
        <w:t xml:space="preserve"> and that settlement relocation is to be only considered </w:t>
      </w:r>
      <w:r w:rsidRPr="0082696F">
        <w:rPr>
          <w:rFonts w:cs="Arial"/>
          <w:i/>
          <w:szCs w:val="22"/>
        </w:rPr>
        <w:t>“as a last resort, in exceptional circumstances”</w:t>
      </w:r>
      <w:r>
        <w:rPr>
          <w:rFonts w:cs="Arial"/>
          <w:i/>
          <w:szCs w:val="22"/>
        </w:rPr>
        <w:t xml:space="preserve"> </w:t>
      </w:r>
      <w:r>
        <w:rPr>
          <w:rFonts w:cs="Arial"/>
          <w:szCs w:val="22"/>
        </w:rPr>
        <w:t>(</w:t>
      </w:r>
      <w:r w:rsidR="0089567C">
        <w:rPr>
          <w:rFonts w:cs="Arial"/>
          <w:szCs w:val="22"/>
        </w:rPr>
        <w:t xml:space="preserve">National Housing </w:t>
      </w:r>
      <w:r>
        <w:rPr>
          <w:rFonts w:cs="Arial"/>
          <w:szCs w:val="22"/>
        </w:rPr>
        <w:t xml:space="preserve">Code, </w:t>
      </w:r>
      <w:r w:rsidR="0089567C">
        <w:rPr>
          <w:rFonts w:cs="Arial"/>
          <w:szCs w:val="22"/>
        </w:rPr>
        <w:t xml:space="preserve">2009, </w:t>
      </w:r>
      <w:r w:rsidRPr="00713A71">
        <w:rPr>
          <w:rFonts w:cs="Arial"/>
          <w:szCs w:val="22"/>
        </w:rPr>
        <w:t>p</w:t>
      </w:r>
      <w:r>
        <w:rPr>
          <w:rFonts w:cs="Arial"/>
          <w:szCs w:val="22"/>
        </w:rPr>
        <w:t>p9-</w:t>
      </w:r>
      <w:r w:rsidRPr="00713A71">
        <w:rPr>
          <w:rFonts w:cs="Arial"/>
          <w:szCs w:val="22"/>
        </w:rPr>
        <w:t>13</w:t>
      </w:r>
      <w:r>
        <w:rPr>
          <w:rFonts w:cs="Arial"/>
          <w:szCs w:val="22"/>
        </w:rPr>
        <w:t>).</w:t>
      </w:r>
      <w:r w:rsidRPr="00713A71">
        <w:rPr>
          <w:rFonts w:cs="Arial"/>
          <w:szCs w:val="22"/>
        </w:rPr>
        <w:t xml:space="preserve"> </w:t>
      </w:r>
    </w:p>
    <w:p w14:paraId="239CF1C1" w14:textId="77777777" w:rsidR="0089567C" w:rsidRPr="00713A71" w:rsidRDefault="0089567C" w:rsidP="00250EA9">
      <w:pPr>
        <w:spacing w:after="0" w:line="360" w:lineRule="auto"/>
        <w:rPr>
          <w:rFonts w:cs="Arial"/>
          <w:szCs w:val="22"/>
        </w:rPr>
      </w:pPr>
    </w:p>
    <w:p w14:paraId="6BB943F5" w14:textId="3C5860F4" w:rsidR="0089567C" w:rsidRDefault="00713A71" w:rsidP="00250EA9">
      <w:pPr>
        <w:spacing w:after="0" w:line="360" w:lineRule="auto"/>
        <w:rPr>
          <w:rFonts w:cs="Arial"/>
          <w:szCs w:val="22"/>
        </w:rPr>
      </w:pPr>
      <w:r w:rsidRPr="00713A71">
        <w:rPr>
          <w:rFonts w:cs="Arial"/>
          <w:szCs w:val="22"/>
        </w:rPr>
        <w:t>Although a systematic survey of the application of the different upgrading approaches in recent SA practice does not exist</w:t>
      </w:r>
      <w:r w:rsidR="00F7693F">
        <w:rPr>
          <w:rFonts w:cs="Arial"/>
          <w:szCs w:val="22"/>
        </w:rPr>
        <w:t xml:space="preserve">, </w:t>
      </w:r>
      <w:r w:rsidR="008D7B57">
        <w:rPr>
          <w:rFonts w:cs="Arial"/>
          <w:szCs w:val="22"/>
        </w:rPr>
        <w:t xml:space="preserve">it appears that currently most projects utilise a </w:t>
      </w:r>
      <w:r w:rsidR="00F7693F" w:rsidRPr="007816AB">
        <w:rPr>
          <w:rFonts w:cs="Arial"/>
          <w:szCs w:val="22"/>
        </w:rPr>
        <w:t xml:space="preserve">dual project approach that sees either the development of serviced sites, and then the implementation of completed top structures using alternative funding sources as a separate project, or a rollover development approach where a full IRDP product can be implemented on land vacated by </w:t>
      </w:r>
      <w:r w:rsidR="0082696F">
        <w:rPr>
          <w:rFonts w:cs="Arial"/>
          <w:szCs w:val="22"/>
        </w:rPr>
        <w:t>relocated households</w:t>
      </w:r>
      <w:r w:rsidR="00F7693F" w:rsidRPr="007816AB">
        <w:rPr>
          <w:rFonts w:cs="Arial"/>
          <w:szCs w:val="22"/>
        </w:rPr>
        <w:t>.</w:t>
      </w:r>
      <w:r w:rsidR="0089567C">
        <w:rPr>
          <w:rFonts w:cs="Arial"/>
          <w:szCs w:val="22"/>
        </w:rPr>
        <w:t xml:space="preserve"> </w:t>
      </w:r>
    </w:p>
    <w:p w14:paraId="347A4197" w14:textId="77777777" w:rsidR="0089567C" w:rsidRDefault="0089567C" w:rsidP="00250EA9">
      <w:pPr>
        <w:spacing w:after="0" w:line="360" w:lineRule="auto"/>
        <w:rPr>
          <w:rFonts w:cs="Arial"/>
          <w:szCs w:val="22"/>
        </w:rPr>
      </w:pPr>
    </w:p>
    <w:p w14:paraId="087DA006" w14:textId="39E53BC4" w:rsidR="00713A71" w:rsidRPr="008D7B57" w:rsidRDefault="0089567C" w:rsidP="00250EA9">
      <w:pPr>
        <w:spacing w:after="0" w:line="360" w:lineRule="auto"/>
        <w:rPr>
          <w:rFonts w:cs="Arial"/>
          <w:szCs w:val="22"/>
        </w:rPr>
      </w:pPr>
      <w:r>
        <w:rPr>
          <w:rFonts w:cs="Arial"/>
          <w:szCs w:val="22"/>
        </w:rPr>
        <w:t>A</w:t>
      </w:r>
      <w:r w:rsidR="00713A71" w:rsidRPr="00713A71">
        <w:rPr>
          <w:rFonts w:cs="Arial"/>
          <w:szCs w:val="22"/>
        </w:rPr>
        <w:t xml:space="preserve"> NUSP assessment of 16 pilot projects for the UISP in 2008 noted a predominance of rollover and relocati</w:t>
      </w:r>
      <w:r w:rsidR="008D7B57">
        <w:rPr>
          <w:rFonts w:cs="Arial"/>
          <w:szCs w:val="22"/>
        </w:rPr>
        <w:t xml:space="preserve">on approaches in their sample and that </w:t>
      </w:r>
      <w:r>
        <w:rPr>
          <w:rFonts w:cs="Arial"/>
          <w:i/>
          <w:szCs w:val="22"/>
        </w:rPr>
        <w:t>‘</w:t>
      </w:r>
      <w:r w:rsidR="00713A71" w:rsidRPr="00894940">
        <w:rPr>
          <w:rFonts w:cs="Arial"/>
          <w:i/>
          <w:szCs w:val="22"/>
        </w:rPr>
        <w:t>…contrary to the recommendations of NHC Part 3 of the National Housing Code, municipalities are approaching informal settlement upgrading mainly on the basis of large scale relocation of resident h</w:t>
      </w:r>
      <w:r w:rsidR="008D7B57" w:rsidRPr="00894940">
        <w:rPr>
          <w:rFonts w:cs="Arial"/>
          <w:i/>
          <w:szCs w:val="22"/>
        </w:rPr>
        <w:t>ouseholds to greenfield sites</w:t>
      </w:r>
      <w:r w:rsidR="008D7B57">
        <w:rPr>
          <w:rFonts w:cs="Arial"/>
          <w:szCs w:val="22"/>
        </w:rPr>
        <w:t>.</w:t>
      </w:r>
      <w:r w:rsidR="008D7B57" w:rsidRPr="008D7B57">
        <w:rPr>
          <w:rFonts w:cs="Arial"/>
          <w:szCs w:val="22"/>
        </w:rPr>
        <w:t xml:space="preserve"> </w:t>
      </w:r>
    </w:p>
    <w:p w14:paraId="5670B6E2" w14:textId="77777777" w:rsidR="00713A71" w:rsidRPr="008D7B57" w:rsidRDefault="00713A71" w:rsidP="00250EA9">
      <w:pPr>
        <w:spacing w:after="0" w:line="360" w:lineRule="auto"/>
        <w:rPr>
          <w:rFonts w:cs="Arial"/>
          <w:szCs w:val="22"/>
        </w:rPr>
      </w:pPr>
    </w:p>
    <w:p w14:paraId="49920BD3" w14:textId="7529F033" w:rsidR="00713A71" w:rsidRPr="004C1914" w:rsidRDefault="00713A71" w:rsidP="00250EA9">
      <w:pPr>
        <w:spacing w:after="0" w:line="360" w:lineRule="auto"/>
        <w:rPr>
          <w:rFonts w:cs="Arial"/>
          <w:color w:val="1F497D" w:themeColor="text2"/>
          <w:szCs w:val="22"/>
          <w:highlight w:val="cyan"/>
        </w:rPr>
      </w:pPr>
      <w:r w:rsidRPr="00650303">
        <w:rPr>
          <w:rFonts w:cs="Arial"/>
          <w:i/>
          <w:szCs w:val="22"/>
          <w:highlight w:val="yellow"/>
        </w:rPr>
        <w:t>Even in municipalities where something of an upgrading approach was being adopted or is being proposed, the methodology (with possibly two exceptions in Colesberg and Witbank), was not what could be considered to be bona fide in</w:t>
      </w:r>
      <w:r w:rsidR="0089567C" w:rsidRPr="00650303">
        <w:rPr>
          <w:rFonts w:cs="Arial"/>
          <w:i/>
          <w:szCs w:val="22"/>
          <w:highlight w:val="yellow"/>
        </w:rPr>
        <w:t xml:space="preserve"> </w:t>
      </w:r>
      <w:r w:rsidRPr="00650303">
        <w:rPr>
          <w:rFonts w:cs="Arial"/>
          <w:i/>
          <w:szCs w:val="22"/>
          <w:highlight w:val="yellow"/>
        </w:rPr>
        <w:t>situ upgrading, but one which instead involved the removal of households and their shacks to TRAs pending completion of any requisite site formation works and the introduction of infrastructure and services</w:t>
      </w:r>
      <w:r w:rsidR="0089567C" w:rsidRPr="00650303">
        <w:rPr>
          <w:rFonts w:cs="Arial"/>
          <w:i/>
          <w:szCs w:val="22"/>
          <w:highlight w:val="yellow"/>
        </w:rPr>
        <w:t>’</w:t>
      </w:r>
      <w:r w:rsidRPr="008D7B57">
        <w:rPr>
          <w:rFonts w:cs="Arial"/>
          <w:szCs w:val="22"/>
        </w:rPr>
        <w:t xml:space="preserve"> </w:t>
      </w:r>
      <w:r w:rsidR="0089567C" w:rsidRPr="008D7B57">
        <w:rPr>
          <w:rFonts w:cs="Arial"/>
          <w:szCs w:val="22"/>
        </w:rPr>
        <w:t>(NUSP, 2008, p5).</w:t>
      </w:r>
    </w:p>
    <w:p w14:paraId="7374FF81" w14:textId="58D78B6A" w:rsidR="00F7693F" w:rsidRDefault="00F7693F" w:rsidP="004C6311">
      <w:pPr>
        <w:pStyle w:val="Heading3"/>
      </w:pPr>
      <w:bookmarkStart w:id="130" w:name="_Toc261617598"/>
      <w:bookmarkStart w:id="131" w:name="_Toc262067811"/>
      <w:bookmarkStart w:id="132" w:name="_Toc262068137"/>
      <w:r>
        <w:lastRenderedPageBreak/>
        <w:t xml:space="preserve">Reasons for </w:t>
      </w:r>
      <w:r w:rsidR="006E19F0">
        <w:t xml:space="preserve">the predominance of relocation and rollover </w:t>
      </w:r>
      <w:bookmarkEnd w:id="130"/>
      <w:r w:rsidR="006E19F0">
        <w:t>approaches</w:t>
      </w:r>
      <w:bookmarkEnd w:id="131"/>
      <w:bookmarkEnd w:id="132"/>
    </w:p>
    <w:p w14:paraId="02DC8462" w14:textId="075A0D75" w:rsidR="00713A71" w:rsidRPr="00713A71" w:rsidRDefault="00713A71" w:rsidP="0089567C">
      <w:pPr>
        <w:spacing w:line="360" w:lineRule="auto"/>
        <w:rPr>
          <w:rFonts w:cs="Arial"/>
          <w:szCs w:val="22"/>
        </w:rPr>
      </w:pPr>
      <w:r w:rsidRPr="00713A71">
        <w:rPr>
          <w:rFonts w:cs="Arial"/>
          <w:szCs w:val="22"/>
        </w:rPr>
        <w:t xml:space="preserve">Given the negative consequences of the relocation and rollover </w:t>
      </w:r>
      <w:r w:rsidR="003A6161" w:rsidRPr="00713A71">
        <w:rPr>
          <w:rFonts w:cs="Arial"/>
          <w:szCs w:val="22"/>
        </w:rPr>
        <w:t>upgrading and</w:t>
      </w:r>
      <w:r w:rsidRPr="00713A71">
        <w:rPr>
          <w:rFonts w:cs="Arial"/>
          <w:szCs w:val="22"/>
        </w:rPr>
        <w:t xml:space="preserve"> the policy </w:t>
      </w:r>
      <w:r w:rsidR="006E19F0">
        <w:rPr>
          <w:rFonts w:cs="Arial"/>
          <w:szCs w:val="22"/>
        </w:rPr>
        <w:t xml:space="preserve">emphasis on in situ </w:t>
      </w:r>
      <w:r w:rsidR="006443CF">
        <w:rPr>
          <w:rFonts w:cs="Arial"/>
          <w:szCs w:val="22"/>
        </w:rPr>
        <w:t>methodologies,</w:t>
      </w:r>
      <w:r w:rsidRPr="00713A71">
        <w:rPr>
          <w:rFonts w:cs="Arial"/>
          <w:szCs w:val="22"/>
        </w:rPr>
        <w:t xml:space="preserve"> why </w:t>
      </w:r>
      <w:r w:rsidR="0089567C">
        <w:rPr>
          <w:rFonts w:cs="Arial"/>
          <w:szCs w:val="22"/>
        </w:rPr>
        <w:t xml:space="preserve">do </w:t>
      </w:r>
      <w:r w:rsidRPr="00713A71">
        <w:rPr>
          <w:rFonts w:cs="Arial"/>
          <w:szCs w:val="22"/>
        </w:rPr>
        <w:t>relocation and rollover upgrading modes</w:t>
      </w:r>
      <w:r w:rsidR="0089567C">
        <w:rPr>
          <w:rFonts w:cs="Arial"/>
          <w:szCs w:val="22"/>
        </w:rPr>
        <w:t xml:space="preserve"> currently predominate</w:t>
      </w:r>
      <w:r w:rsidRPr="00713A71">
        <w:rPr>
          <w:rFonts w:cs="Arial"/>
          <w:szCs w:val="22"/>
        </w:rPr>
        <w:t xml:space="preserve">? </w:t>
      </w:r>
      <w:r w:rsidR="003A6161">
        <w:rPr>
          <w:rFonts w:cs="Arial"/>
          <w:szCs w:val="22"/>
        </w:rPr>
        <w:t>There seem to be a number of different driving factors at play:</w:t>
      </w:r>
    </w:p>
    <w:p w14:paraId="18D9A9F1" w14:textId="21AF6220" w:rsidR="003A6161" w:rsidRDefault="003A6161" w:rsidP="0055634E">
      <w:pPr>
        <w:pStyle w:val="ListParagraph"/>
        <w:numPr>
          <w:ilvl w:val="0"/>
          <w:numId w:val="11"/>
        </w:numPr>
        <w:ind w:left="720"/>
        <w:rPr>
          <w:rFonts w:cs="Arial"/>
        </w:rPr>
      </w:pPr>
      <w:r>
        <w:rPr>
          <w:rFonts w:cs="Arial"/>
          <w:b/>
        </w:rPr>
        <w:t xml:space="preserve">Newness of Approach: </w:t>
      </w:r>
      <w:r>
        <w:rPr>
          <w:rFonts w:cs="Arial"/>
        </w:rPr>
        <w:t xml:space="preserve">ISU is still a new settlement provision methodology in South Africa, and it is not yet as well understood as other, longer-serving and more traditional housing delivery programmes such as the IRDP.  </w:t>
      </w:r>
    </w:p>
    <w:p w14:paraId="310DDAC2" w14:textId="70BBAD3B" w:rsidR="00F7693F" w:rsidRPr="00713A71" w:rsidRDefault="00F7693F" w:rsidP="0055634E">
      <w:pPr>
        <w:pStyle w:val="ListParagraph"/>
        <w:numPr>
          <w:ilvl w:val="0"/>
          <w:numId w:val="11"/>
        </w:numPr>
        <w:ind w:left="720"/>
        <w:rPr>
          <w:rFonts w:cs="Arial"/>
          <w:b/>
        </w:rPr>
      </w:pPr>
      <w:r>
        <w:rPr>
          <w:rFonts w:cs="Arial"/>
          <w:b/>
        </w:rPr>
        <w:t xml:space="preserve">Housing </w:t>
      </w:r>
      <w:r w:rsidRPr="00713A71">
        <w:rPr>
          <w:rFonts w:cs="Arial"/>
          <w:b/>
        </w:rPr>
        <w:t>Code</w:t>
      </w:r>
      <w:r>
        <w:rPr>
          <w:rFonts w:cs="Arial"/>
          <w:b/>
        </w:rPr>
        <w:t xml:space="preserve">: </w:t>
      </w:r>
      <w:r>
        <w:rPr>
          <w:rFonts w:cs="Arial"/>
        </w:rPr>
        <w:t xml:space="preserve">The current </w:t>
      </w:r>
      <w:r w:rsidR="0082696F">
        <w:rPr>
          <w:rFonts w:cs="Arial"/>
        </w:rPr>
        <w:t>wave of UISP projects is</w:t>
      </w:r>
      <w:r>
        <w:rPr>
          <w:rFonts w:cs="Arial"/>
        </w:rPr>
        <w:t xml:space="preserve"> being implemented according to a new chapter in the Housing Code. Some of these rules and procedures are not yet optimally structured to facilitate appropriate ISU projects</w:t>
      </w:r>
      <w:r w:rsidRPr="003A6161">
        <w:rPr>
          <w:rFonts w:cs="Arial"/>
          <w:b/>
        </w:rPr>
        <w:t>.</w:t>
      </w:r>
    </w:p>
    <w:p w14:paraId="287D58B4" w14:textId="76EB7222" w:rsidR="00D82895" w:rsidRPr="00D82895" w:rsidRDefault="00D82895" w:rsidP="0055634E">
      <w:pPr>
        <w:pStyle w:val="ListParagraph"/>
        <w:numPr>
          <w:ilvl w:val="0"/>
          <w:numId w:val="11"/>
        </w:numPr>
        <w:ind w:left="720"/>
        <w:rPr>
          <w:rFonts w:cs="Arial"/>
        </w:rPr>
      </w:pPr>
      <w:r w:rsidRPr="00D82895">
        <w:rPr>
          <w:rFonts w:cs="Arial"/>
          <w:b/>
        </w:rPr>
        <w:t xml:space="preserve">Current Dual Project Methodology: </w:t>
      </w:r>
      <w:r>
        <w:rPr>
          <w:rFonts w:cs="Arial"/>
        </w:rPr>
        <w:t>The current approach to implementing sites and houses through the phased delivery of two separate subsidy interventions (namely UISP phases one to three and then a separate Phase Four house subsidy project intervention) may</w:t>
      </w:r>
      <w:r w:rsidRPr="00D82895">
        <w:rPr>
          <w:rFonts w:cs="Arial"/>
        </w:rPr>
        <w:t xml:space="preserve"> prove </w:t>
      </w:r>
      <w:r>
        <w:rPr>
          <w:rFonts w:cs="Arial"/>
        </w:rPr>
        <w:t xml:space="preserve">more </w:t>
      </w:r>
      <w:r w:rsidRPr="00D82895">
        <w:rPr>
          <w:rFonts w:cs="Arial"/>
        </w:rPr>
        <w:t>costly than</w:t>
      </w:r>
      <w:r>
        <w:rPr>
          <w:rFonts w:cs="Arial"/>
        </w:rPr>
        <w:t xml:space="preserve"> a straight IRDP </w:t>
      </w:r>
      <w:r w:rsidRPr="00D82895">
        <w:rPr>
          <w:rFonts w:cs="Arial"/>
        </w:rPr>
        <w:t>housing development</w:t>
      </w:r>
      <w:r>
        <w:rPr>
          <w:rFonts w:cs="Arial"/>
        </w:rPr>
        <w:t>.</w:t>
      </w:r>
      <w:r w:rsidRPr="00D82895">
        <w:rPr>
          <w:rFonts w:cs="Arial"/>
        </w:rPr>
        <w:t xml:space="preserve"> This in turn supports </w:t>
      </w:r>
      <w:r>
        <w:rPr>
          <w:rFonts w:cs="Arial"/>
        </w:rPr>
        <w:t xml:space="preserve">the adoption of </w:t>
      </w:r>
      <w:r w:rsidRPr="00D82895">
        <w:rPr>
          <w:rFonts w:cs="Arial"/>
        </w:rPr>
        <w:t>‘greenfields’ implementation methodologies such as relocation and rollover development, as it is easier to deliver serviced sites plus houses (with highly regulated standards</w:t>
      </w:r>
      <w:r>
        <w:rPr>
          <w:rFonts w:cs="Arial"/>
        </w:rPr>
        <w:t xml:space="preserve"> and tight budgets</w:t>
      </w:r>
      <w:r w:rsidRPr="00D82895">
        <w:rPr>
          <w:rFonts w:cs="Arial"/>
        </w:rPr>
        <w:t>) in this standardised, often faster and cheaper way.</w:t>
      </w:r>
    </w:p>
    <w:p w14:paraId="6C511A15" w14:textId="50C3E544" w:rsidR="003A6161" w:rsidRDefault="003A6161" w:rsidP="0055634E">
      <w:pPr>
        <w:pStyle w:val="ListParagraph"/>
        <w:numPr>
          <w:ilvl w:val="0"/>
          <w:numId w:val="11"/>
        </w:numPr>
        <w:ind w:left="720"/>
        <w:rPr>
          <w:rFonts w:cs="Arial"/>
        </w:rPr>
      </w:pPr>
      <w:r>
        <w:rPr>
          <w:rFonts w:cs="Arial"/>
          <w:b/>
        </w:rPr>
        <w:t>Project Implementation Time Scale</w:t>
      </w:r>
      <w:r w:rsidR="004A6CCD">
        <w:rPr>
          <w:rFonts w:cs="Arial"/>
          <w:b/>
        </w:rPr>
        <w:t>s</w:t>
      </w:r>
      <w:r>
        <w:rPr>
          <w:rFonts w:cs="Arial"/>
          <w:b/>
        </w:rPr>
        <w:t xml:space="preserve">:  </w:t>
      </w:r>
      <w:r>
        <w:rPr>
          <w:rFonts w:cs="Arial"/>
        </w:rPr>
        <w:t xml:space="preserve">South Africa’s quantitative drive for housing provision is at odds with a more qualitative delivery approach as espoused in the UISP.  </w:t>
      </w:r>
      <w:r w:rsidRPr="00650303">
        <w:rPr>
          <w:rFonts w:cs="Arial"/>
          <w:highlight w:val="yellow"/>
        </w:rPr>
        <w:t xml:space="preserve">It is widely acknowledged that UISP projects are likely to take between five and seven years to implement, often a few years longer than more traditional approaches. Therefore, many provinces rather adopt implementation methodologies that are perceived to be quicker (such as </w:t>
      </w:r>
      <w:r w:rsidR="008D7B57" w:rsidRPr="00650303">
        <w:rPr>
          <w:rFonts w:cs="Arial"/>
          <w:highlight w:val="yellow"/>
        </w:rPr>
        <w:t>rollover or</w:t>
      </w:r>
      <w:r w:rsidRPr="00650303">
        <w:rPr>
          <w:rFonts w:cs="Arial"/>
          <w:highlight w:val="yellow"/>
        </w:rPr>
        <w:t xml:space="preserve"> relocation) in order that delivery targets may be reached.</w:t>
      </w:r>
    </w:p>
    <w:p w14:paraId="04010D00" w14:textId="2CD55A29" w:rsidR="00713A71" w:rsidRPr="003A6161" w:rsidRDefault="00713A71" w:rsidP="0055634E">
      <w:pPr>
        <w:pStyle w:val="ListParagraph"/>
        <w:numPr>
          <w:ilvl w:val="0"/>
          <w:numId w:val="11"/>
        </w:numPr>
        <w:ind w:left="720"/>
        <w:rPr>
          <w:rFonts w:cs="Arial"/>
        </w:rPr>
      </w:pPr>
      <w:r w:rsidRPr="00713A71">
        <w:rPr>
          <w:rFonts w:cs="Arial"/>
          <w:b/>
        </w:rPr>
        <w:t>Regulation</w:t>
      </w:r>
      <w:r w:rsidR="003A6161">
        <w:rPr>
          <w:rFonts w:cs="Arial"/>
          <w:b/>
        </w:rPr>
        <w:t xml:space="preserve">s </w:t>
      </w:r>
      <w:r w:rsidRPr="00713A71">
        <w:rPr>
          <w:rFonts w:cs="Arial"/>
          <w:b/>
        </w:rPr>
        <w:t>/</w:t>
      </w:r>
      <w:r w:rsidR="003A6161">
        <w:rPr>
          <w:rFonts w:cs="Arial"/>
          <w:b/>
        </w:rPr>
        <w:t xml:space="preserve"> </w:t>
      </w:r>
      <w:r w:rsidRPr="00713A71">
        <w:rPr>
          <w:rFonts w:cs="Arial"/>
          <w:b/>
        </w:rPr>
        <w:t>Standards</w:t>
      </w:r>
      <w:r>
        <w:rPr>
          <w:rFonts w:cs="Arial"/>
          <w:b/>
        </w:rPr>
        <w:t xml:space="preserve">: </w:t>
      </w:r>
      <w:r w:rsidR="003A6161">
        <w:rPr>
          <w:rFonts w:cs="Arial"/>
        </w:rPr>
        <w:t>There is still a level of in</w:t>
      </w:r>
      <w:r w:rsidRPr="003A6161">
        <w:rPr>
          <w:rFonts w:cs="Arial"/>
        </w:rPr>
        <w:t>tolerance of informality</w:t>
      </w:r>
      <w:r w:rsidR="003A6161">
        <w:rPr>
          <w:rFonts w:cs="Arial"/>
        </w:rPr>
        <w:t xml:space="preserve"> in South Africa’s implementation frameworks</w:t>
      </w:r>
      <w:r w:rsidR="004A6CCD">
        <w:rPr>
          <w:rFonts w:cs="Arial"/>
        </w:rPr>
        <w:t>, which creates resistance to, and difficulty in implementing UISP programmes</w:t>
      </w:r>
      <w:r w:rsidR="003A6161">
        <w:rPr>
          <w:rFonts w:cs="Arial"/>
        </w:rPr>
        <w:t xml:space="preserve">. </w:t>
      </w:r>
      <w:r w:rsidR="004A6CCD">
        <w:rPr>
          <w:rFonts w:cs="Arial"/>
        </w:rPr>
        <w:t>These include t</w:t>
      </w:r>
      <w:r w:rsidRPr="003A6161">
        <w:rPr>
          <w:rFonts w:cs="Arial"/>
        </w:rPr>
        <w:t>own planning regulations</w:t>
      </w:r>
      <w:r w:rsidR="003A6161">
        <w:rPr>
          <w:rFonts w:cs="Arial"/>
        </w:rPr>
        <w:t xml:space="preserve">, building standards and requirements for completing projects (such </w:t>
      </w:r>
      <w:r w:rsidR="006E19F0">
        <w:rPr>
          <w:rFonts w:cs="Arial"/>
        </w:rPr>
        <w:t>as NHBRC</w:t>
      </w:r>
      <w:r w:rsidR="004A6CCD">
        <w:rPr>
          <w:rFonts w:cs="Arial"/>
        </w:rPr>
        <w:t xml:space="preserve"> registrations</w:t>
      </w:r>
      <w:r w:rsidRPr="003A6161">
        <w:rPr>
          <w:rFonts w:cs="Arial"/>
        </w:rPr>
        <w:t>).</w:t>
      </w:r>
    </w:p>
    <w:p w14:paraId="3F6E1DD9" w14:textId="68455B72" w:rsidR="004A6CCD" w:rsidRDefault="004A6CCD" w:rsidP="0055634E">
      <w:pPr>
        <w:pStyle w:val="ListParagraph"/>
        <w:numPr>
          <w:ilvl w:val="0"/>
          <w:numId w:val="11"/>
        </w:numPr>
        <w:ind w:left="720"/>
        <w:rPr>
          <w:rFonts w:cs="Arial"/>
        </w:rPr>
      </w:pPr>
      <w:r>
        <w:rPr>
          <w:rFonts w:cs="Arial"/>
          <w:b/>
        </w:rPr>
        <w:t xml:space="preserve">Beneficiary </w:t>
      </w:r>
      <w:r w:rsidR="00713A71" w:rsidRPr="00713A71">
        <w:rPr>
          <w:rFonts w:cs="Arial"/>
          <w:b/>
        </w:rPr>
        <w:t>Expectations</w:t>
      </w:r>
      <w:r w:rsidR="00713A71">
        <w:rPr>
          <w:rFonts w:cs="Arial"/>
          <w:b/>
        </w:rPr>
        <w:t xml:space="preserve">: </w:t>
      </w:r>
      <w:r w:rsidRPr="004A6CCD">
        <w:rPr>
          <w:rFonts w:cs="Arial"/>
        </w:rPr>
        <w:t xml:space="preserve">Linked to the above, beneficiary communities may also resist UISP interventions if they are perceived as inferior to other housing delivery modalities. </w:t>
      </w:r>
      <w:r>
        <w:rPr>
          <w:rFonts w:cs="Arial"/>
        </w:rPr>
        <w:t xml:space="preserve">The two-decade reliance on fully </w:t>
      </w:r>
      <w:r w:rsidR="00E01C9B">
        <w:rPr>
          <w:rFonts w:cs="Arial"/>
        </w:rPr>
        <w:t>subsidized</w:t>
      </w:r>
      <w:r>
        <w:rPr>
          <w:rFonts w:cs="Arial"/>
        </w:rPr>
        <w:t xml:space="preserve"> house delivery creates a difficult precedent for UISP to overcome, especially in contexts where other communities are still </w:t>
      </w:r>
      <w:r>
        <w:rPr>
          <w:rFonts w:cs="Arial"/>
        </w:rPr>
        <w:lastRenderedPageBreak/>
        <w:t xml:space="preserve">benefiting from fully </w:t>
      </w:r>
      <w:r w:rsidR="00E01C9B">
        <w:rPr>
          <w:rFonts w:cs="Arial"/>
        </w:rPr>
        <w:t>subsidized</w:t>
      </w:r>
      <w:r>
        <w:rPr>
          <w:rFonts w:cs="Arial"/>
        </w:rPr>
        <w:t>, greenfields houses. It takes specific effort to inculcate co-production of housing within this context.</w:t>
      </w:r>
    </w:p>
    <w:p w14:paraId="0AF78739" w14:textId="5551D781" w:rsidR="003A6161" w:rsidRPr="00F0718F" w:rsidRDefault="00A61910" w:rsidP="0055634E">
      <w:pPr>
        <w:pStyle w:val="ListParagraph"/>
        <w:numPr>
          <w:ilvl w:val="0"/>
          <w:numId w:val="11"/>
        </w:numPr>
        <w:ind w:left="720"/>
        <w:rPr>
          <w:rFonts w:cs="Arial"/>
          <w:b/>
        </w:rPr>
      </w:pPr>
      <w:r>
        <w:rPr>
          <w:rFonts w:cs="Arial"/>
          <w:b/>
        </w:rPr>
        <w:t xml:space="preserve">Implementation </w:t>
      </w:r>
      <w:r w:rsidR="003A6161" w:rsidRPr="003A6161">
        <w:rPr>
          <w:rFonts w:cs="Arial"/>
          <w:b/>
        </w:rPr>
        <w:t>Cost</w:t>
      </w:r>
      <w:r>
        <w:rPr>
          <w:rFonts w:cs="Arial"/>
          <w:b/>
        </w:rPr>
        <w:t xml:space="preserve">: </w:t>
      </w:r>
      <w:r>
        <w:rPr>
          <w:rFonts w:cs="Arial"/>
        </w:rPr>
        <w:t xml:space="preserve"> The</w:t>
      </w:r>
      <w:r w:rsidR="006443CF">
        <w:rPr>
          <w:rFonts w:cs="Arial"/>
        </w:rPr>
        <w:t xml:space="preserve"> </w:t>
      </w:r>
      <w:r w:rsidR="00984D57">
        <w:rPr>
          <w:rFonts w:cs="Arial"/>
        </w:rPr>
        <w:t>i</w:t>
      </w:r>
      <w:r w:rsidR="006443CF">
        <w:rPr>
          <w:rFonts w:cs="Arial"/>
        </w:rPr>
        <w:t>n</w:t>
      </w:r>
      <w:r w:rsidR="00984D57">
        <w:rPr>
          <w:rFonts w:cs="Arial"/>
        </w:rPr>
        <w:t xml:space="preserve"> </w:t>
      </w:r>
      <w:r w:rsidR="006443CF">
        <w:rPr>
          <w:rFonts w:cs="Arial"/>
        </w:rPr>
        <w:t>situ</w:t>
      </w:r>
      <w:r>
        <w:rPr>
          <w:rFonts w:cs="Arial"/>
        </w:rPr>
        <w:t xml:space="preserve"> method is necessarily hands-on, and requires constant proper engagement with communities to be successful.  In addition, the technical solutions required in each settlement may differ depending on the specific conditions faced (see </w:t>
      </w:r>
      <w:r w:rsidR="006443CF">
        <w:rPr>
          <w:rFonts w:cs="Arial"/>
        </w:rPr>
        <w:t>Annexure 3)</w:t>
      </w:r>
      <w:r>
        <w:rPr>
          <w:rFonts w:cs="Arial"/>
        </w:rPr>
        <w:t>, implying that generic design solutions are not possible. These factors may lead to cost pressures or overruns within UISP projects, which in turn may sway implementers to choose more generic solutions (such as rollover or relocation / greenfields developments).</w:t>
      </w:r>
    </w:p>
    <w:p w14:paraId="65A0435C" w14:textId="77777777" w:rsidR="00F0718F" w:rsidRDefault="00F0718F" w:rsidP="004C6311">
      <w:pPr>
        <w:pStyle w:val="Heading3"/>
      </w:pPr>
      <w:bookmarkStart w:id="133" w:name="_Toc261617596"/>
      <w:bookmarkStart w:id="134" w:name="_Toc262067812"/>
      <w:bookmarkStart w:id="135" w:name="_Toc262068138"/>
      <w:r>
        <w:t>Implications of Alternative ISU Approaches for House Consolidation</w:t>
      </w:r>
      <w:bookmarkEnd w:id="133"/>
      <w:bookmarkEnd w:id="134"/>
      <w:bookmarkEnd w:id="135"/>
      <w:r w:rsidRPr="001D590D">
        <w:t xml:space="preserve"> </w:t>
      </w:r>
    </w:p>
    <w:p w14:paraId="50450C51" w14:textId="3FA47F96" w:rsidR="00F0718F" w:rsidRDefault="00F0718F" w:rsidP="00E25DCA">
      <w:pPr>
        <w:spacing w:line="360" w:lineRule="auto"/>
        <w:rPr>
          <w:rFonts w:cs="Arial"/>
          <w:szCs w:val="22"/>
        </w:rPr>
      </w:pPr>
      <w:r w:rsidRPr="001D590D">
        <w:rPr>
          <w:rFonts w:cs="Arial"/>
          <w:szCs w:val="22"/>
        </w:rPr>
        <w:t>T</w:t>
      </w:r>
      <w:r>
        <w:rPr>
          <w:rFonts w:cs="Arial"/>
          <w:szCs w:val="22"/>
        </w:rPr>
        <w:t xml:space="preserve">he abovementioned alternative approaches to ISU can significantly influence whether, and how beneficiary households consolidate their </w:t>
      </w:r>
      <w:r w:rsidR="001E7EFE">
        <w:rPr>
          <w:rFonts w:cs="Arial"/>
          <w:szCs w:val="22"/>
        </w:rPr>
        <w:t>houses over time</w:t>
      </w:r>
      <w:r>
        <w:rPr>
          <w:rFonts w:cs="Arial"/>
          <w:szCs w:val="22"/>
        </w:rPr>
        <w:t xml:space="preserve">. </w:t>
      </w:r>
      <w:r w:rsidR="00F8635A">
        <w:rPr>
          <w:rFonts w:cs="Arial"/>
          <w:szCs w:val="22"/>
        </w:rPr>
        <w:t xml:space="preserve">Table 3 indicates the potential implications for the beneficiary household’s physical location on a site, what happens to their original investment in their accommodation, and how this can influence the future approach to top structure development and consolidation, in relation to the predominant approaches adopted to in-situ upgrading in South Africa.  </w:t>
      </w:r>
      <w:r>
        <w:rPr>
          <w:rFonts w:cs="Arial"/>
          <w:szCs w:val="22"/>
        </w:rPr>
        <w:t>The following parameters are relevant:</w:t>
      </w:r>
    </w:p>
    <w:p w14:paraId="20073222" w14:textId="2A42E9FF" w:rsidR="00F0718F" w:rsidRDefault="00F0718F" w:rsidP="0055634E">
      <w:pPr>
        <w:pStyle w:val="ListParagraph"/>
        <w:numPr>
          <w:ilvl w:val="0"/>
          <w:numId w:val="7"/>
        </w:numPr>
        <w:ind w:left="720"/>
        <w:rPr>
          <w:rFonts w:cs="Arial"/>
        </w:rPr>
      </w:pPr>
      <w:r w:rsidRPr="00A40EAF">
        <w:rPr>
          <w:rFonts w:cs="Arial"/>
          <w:b/>
        </w:rPr>
        <w:t>In</w:t>
      </w:r>
      <w:r w:rsidR="00E25DCA">
        <w:rPr>
          <w:rFonts w:cs="Arial"/>
          <w:b/>
        </w:rPr>
        <w:t xml:space="preserve"> </w:t>
      </w:r>
      <w:r w:rsidRPr="00A40EAF">
        <w:rPr>
          <w:rFonts w:cs="Arial"/>
          <w:b/>
        </w:rPr>
        <w:t>Situ or Relocation</w:t>
      </w:r>
      <w:r>
        <w:rPr>
          <w:rFonts w:cs="Arial"/>
        </w:rPr>
        <w:t>:</w:t>
      </w:r>
      <w:r w:rsidRPr="003E72D7">
        <w:rPr>
          <w:rFonts w:cs="Arial"/>
        </w:rPr>
        <w:t xml:space="preserve"> </w:t>
      </w:r>
      <w:r>
        <w:rPr>
          <w:rFonts w:cs="Arial"/>
        </w:rPr>
        <w:t xml:space="preserve">Whether a household is </w:t>
      </w:r>
      <w:r w:rsidRPr="00A40EAF">
        <w:rPr>
          <w:rFonts w:cs="Arial"/>
        </w:rPr>
        <w:t>relocated</w:t>
      </w:r>
      <w:r>
        <w:rPr>
          <w:rFonts w:cs="Arial"/>
        </w:rPr>
        <w:t xml:space="preserve"> from their original site determines whether their original structure will be intact once they are resettled.</w:t>
      </w:r>
    </w:p>
    <w:p w14:paraId="4F1AF7C6" w14:textId="77777777" w:rsidR="00F0718F" w:rsidRDefault="00F0718F" w:rsidP="0055634E">
      <w:pPr>
        <w:pStyle w:val="ListParagraph"/>
        <w:numPr>
          <w:ilvl w:val="0"/>
          <w:numId w:val="7"/>
        </w:numPr>
        <w:ind w:left="720"/>
        <w:rPr>
          <w:rFonts w:cs="Arial"/>
        </w:rPr>
      </w:pPr>
      <w:r w:rsidRPr="00A40EAF">
        <w:rPr>
          <w:rFonts w:cs="Arial"/>
          <w:b/>
        </w:rPr>
        <w:t>Investment Protection</w:t>
      </w:r>
      <w:r>
        <w:rPr>
          <w:rFonts w:cs="Arial"/>
        </w:rPr>
        <w:t>: Whether the original house investment is protected or destroyed (whether in materials or monetary form) determines their investment base, as well as how they approach (re) development of their house.</w:t>
      </w:r>
    </w:p>
    <w:p w14:paraId="58A05453" w14:textId="77777777" w:rsidR="00F0718F" w:rsidRDefault="00F0718F" w:rsidP="0055634E">
      <w:pPr>
        <w:pStyle w:val="ListParagraph"/>
        <w:numPr>
          <w:ilvl w:val="0"/>
          <w:numId w:val="7"/>
        </w:numPr>
        <w:ind w:left="720"/>
        <w:rPr>
          <w:rFonts w:cs="Arial"/>
        </w:rPr>
      </w:pPr>
      <w:r w:rsidRPr="00A40EAF">
        <w:rPr>
          <w:rFonts w:cs="Arial"/>
          <w:b/>
        </w:rPr>
        <w:t>House Subsidies</w:t>
      </w:r>
      <w:r>
        <w:rPr>
          <w:rFonts w:cs="Arial"/>
        </w:rPr>
        <w:t>: Whether state resources are available (such as subsidies) for the part or complete construction of houses.</w:t>
      </w:r>
    </w:p>
    <w:p w14:paraId="19CFD57D" w14:textId="640E6B56" w:rsidR="00F0718F" w:rsidRDefault="00F0718F" w:rsidP="0055634E">
      <w:pPr>
        <w:pStyle w:val="ListParagraph"/>
        <w:numPr>
          <w:ilvl w:val="0"/>
          <w:numId w:val="7"/>
        </w:numPr>
        <w:ind w:left="720"/>
        <w:rPr>
          <w:rFonts w:cs="Arial"/>
        </w:rPr>
      </w:pPr>
      <w:r w:rsidRPr="00A40EAF">
        <w:rPr>
          <w:rFonts w:cs="Arial"/>
          <w:b/>
        </w:rPr>
        <w:t>Facilitative Support:</w:t>
      </w:r>
      <w:r>
        <w:rPr>
          <w:rFonts w:cs="Arial"/>
        </w:rPr>
        <w:t xml:space="preserve"> Whether facilitative supports</w:t>
      </w:r>
      <w:r w:rsidR="001E7EFE">
        <w:rPr>
          <w:rFonts w:cs="Arial"/>
        </w:rPr>
        <w:t xml:space="preserve"> </w:t>
      </w:r>
      <w:r w:rsidR="00F8635A">
        <w:rPr>
          <w:rFonts w:cs="Arial"/>
        </w:rPr>
        <w:t>(</w:t>
      </w:r>
      <w:r w:rsidR="001E7EFE">
        <w:rPr>
          <w:rFonts w:cs="Arial"/>
        </w:rPr>
        <w:t>such as access to knowledge, resources, finance and contractors)</w:t>
      </w:r>
      <w:r>
        <w:rPr>
          <w:rFonts w:cs="Arial"/>
        </w:rPr>
        <w:t xml:space="preserve"> are provided as a part of the </w:t>
      </w:r>
      <w:r w:rsidR="00894940">
        <w:rPr>
          <w:rFonts w:cs="Arial"/>
        </w:rPr>
        <w:t>I</w:t>
      </w:r>
      <w:r>
        <w:rPr>
          <w:rFonts w:cs="Arial"/>
        </w:rPr>
        <w:t>SU methodology for post-infrastructure installation house consolidation.</w:t>
      </w:r>
    </w:p>
    <w:p w14:paraId="378BB627" w14:textId="77777777" w:rsidR="009D020F" w:rsidRDefault="009D020F" w:rsidP="009D020F">
      <w:pPr>
        <w:rPr>
          <w:rFonts w:cs="Arial"/>
        </w:rPr>
      </w:pPr>
    </w:p>
    <w:p w14:paraId="31B45A3E" w14:textId="77777777" w:rsidR="009D020F" w:rsidRDefault="009D020F" w:rsidP="009D020F">
      <w:pPr>
        <w:rPr>
          <w:rFonts w:cs="Arial"/>
        </w:rPr>
      </w:pPr>
    </w:p>
    <w:p w14:paraId="6EF6C99F" w14:textId="77777777" w:rsidR="009D020F" w:rsidRDefault="009D020F" w:rsidP="009D020F">
      <w:pPr>
        <w:rPr>
          <w:rFonts w:cs="Arial"/>
        </w:rPr>
      </w:pPr>
    </w:p>
    <w:p w14:paraId="0CA1D572" w14:textId="77777777" w:rsidR="009D020F" w:rsidRDefault="009D020F" w:rsidP="009D020F">
      <w:pPr>
        <w:rPr>
          <w:rFonts w:cs="Arial"/>
        </w:rPr>
      </w:pPr>
    </w:p>
    <w:p w14:paraId="3786337B" w14:textId="77777777" w:rsidR="009D020F" w:rsidRPr="009D020F" w:rsidRDefault="009D020F" w:rsidP="009D020F">
      <w:pPr>
        <w:rPr>
          <w:rFonts w:cs="Arial"/>
        </w:rPr>
      </w:pPr>
    </w:p>
    <w:p w14:paraId="2A5405D7" w14:textId="79C88B9D" w:rsidR="00F0718F" w:rsidRPr="008F460F" w:rsidRDefault="004A5492" w:rsidP="00CF1919">
      <w:pPr>
        <w:pStyle w:val="Caption"/>
      </w:pPr>
      <w:bookmarkStart w:id="136" w:name="_Toc270945494"/>
      <w:r w:rsidRPr="00894940">
        <w:lastRenderedPageBreak/>
        <w:t xml:space="preserve">Table </w:t>
      </w:r>
      <w:r w:rsidRPr="00894940">
        <w:fldChar w:fldCharType="begin"/>
      </w:r>
      <w:r w:rsidRPr="00894940">
        <w:instrText xml:space="preserve"> SEQ Table \* ARABIC </w:instrText>
      </w:r>
      <w:r w:rsidRPr="00894940">
        <w:fldChar w:fldCharType="separate"/>
      </w:r>
      <w:r w:rsidR="00E9048A">
        <w:rPr>
          <w:noProof/>
        </w:rPr>
        <w:t>3</w:t>
      </w:r>
      <w:r w:rsidRPr="00894940">
        <w:rPr>
          <w:noProof/>
        </w:rPr>
        <w:fldChar w:fldCharType="end"/>
      </w:r>
      <w:r w:rsidRPr="00894940">
        <w:t xml:space="preserve">: </w:t>
      </w:r>
      <w:r w:rsidR="00894940" w:rsidRPr="004C0139">
        <w:rPr>
          <w:highlight w:val="yellow"/>
        </w:rPr>
        <w:t>Impact of Alternative Approaches to Informal Settlement Upgrading on House Consolidation</w:t>
      </w:r>
      <w:bookmarkEnd w:id="136"/>
      <w:r w:rsidR="00F0718F" w:rsidRPr="008F460F">
        <w:t xml:space="preserve"> </w:t>
      </w:r>
    </w:p>
    <w:tbl>
      <w:tblPr>
        <w:tblStyle w:val="TableGrid"/>
        <w:tblW w:w="0" w:type="auto"/>
        <w:tblInd w:w="85" w:type="dxa"/>
        <w:tblLook w:val="04A0" w:firstRow="1" w:lastRow="0" w:firstColumn="1" w:lastColumn="0" w:noHBand="0" w:noVBand="1"/>
      </w:tblPr>
      <w:tblGrid>
        <w:gridCol w:w="1620"/>
        <w:gridCol w:w="2086"/>
        <w:gridCol w:w="1853"/>
        <w:gridCol w:w="1853"/>
        <w:gridCol w:w="1853"/>
      </w:tblGrid>
      <w:tr w:rsidR="00F0718F" w:rsidRPr="00E25DCA" w14:paraId="132A993E" w14:textId="77777777" w:rsidTr="00250EA9">
        <w:tc>
          <w:tcPr>
            <w:tcW w:w="1620" w:type="dxa"/>
            <w:shd w:val="clear" w:color="auto" w:fill="D9D9D9"/>
          </w:tcPr>
          <w:p w14:paraId="7470CDF6" w14:textId="77777777" w:rsidR="00F0718F" w:rsidRPr="00250EA9" w:rsidRDefault="00F0718F" w:rsidP="00222541">
            <w:pPr>
              <w:jc w:val="left"/>
              <w:rPr>
                <w:rFonts w:asciiTheme="minorHAnsi" w:hAnsiTheme="minorHAnsi" w:cs="Arial"/>
                <w:b/>
                <w:sz w:val="20"/>
                <w:szCs w:val="20"/>
              </w:rPr>
            </w:pPr>
            <w:r w:rsidRPr="00250EA9">
              <w:rPr>
                <w:rFonts w:asciiTheme="minorHAnsi" w:hAnsiTheme="minorHAnsi" w:cs="Arial"/>
                <w:b/>
                <w:sz w:val="20"/>
                <w:szCs w:val="20"/>
              </w:rPr>
              <w:t>Approach to ISU</w:t>
            </w:r>
          </w:p>
        </w:tc>
        <w:tc>
          <w:tcPr>
            <w:tcW w:w="2086" w:type="dxa"/>
            <w:shd w:val="clear" w:color="auto" w:fill="D9D9D9"/>
          </w:tcPr>
          <w:p w14:paraId="269A53CD" w14:textId="77777777" w:rsidR="00F0718F" w:rsidRPr="00250EA9" w:rsidRDefault="00F0718F" w:rsidP="00222541">
            <w:pPr>
              <w:jc w:val="left"/>
              <w:rPr>
                <w:rFonts w:asciiTheme="minorHAnsi" w:hAnsiTheme="minorHAnsi" w:cs="Arial"/>
                <w:b/>
                <w:sz w:val="20"/>
                <w:szCs w:val="20"/>
              </w:rPr>
            </w:pPr>
            <w:r w:rsidRPr="00250EA9">
              <w:rPr>
                <w:rFonts w:asciiTheme="minorHAnsi" w:hAnsiTheme="minorHAnsi" w:cs="Arial"/>
                <w:b/>
                <w:sz w:val="20"/>
                <w:szCs w:val="20"/>
              </w:rPr>
              <w:t>Original Stand</w:t>
            </w:r>
          </w:p>
        </w:tc>
        <w:tc>
          <w:tcPr>
            <w:tcW w:w="1853" w:type="dxa"/>
            <w:shd w:val="clear" w:color="auto" w:fill="D9D9D9"/>
          </w:tcPr>
          <w:p w14:paraId="098D9580" w14:textId="77777777" w:rsidR="00F0718F" w:rsidRPr="00250EA9" w:rsidRDefault="00F0718F" w:rsidP="00222541">
            <w:pPr>
              <w:jc w:val="left"/>
              <w:rPr>
                <w:rFonts w:asciiTheme="minorHAnsi" w:hAnsiTheme="minorHAnsi" w:cs="Arial"/>
                <w:b/>
                <w:sz w:val="20"/>
                <w:szCs w:val="20"/>
              </w:rPr>
            </w:pPr>
            <w:r w:rsidRPr="00250EA9">
              <w:rPr>
                <w:rFonts w:asciiTheme="minorHAnsi" w:hAnsiTheme="minorHAnsi" w:cs="Arial"/>
                <w:b/>
                <w:sz w:val="20"/>
                <w:szCs w:val="20"/>
              </w:rPr>
              <w:t>Original House Investment</w:t>
            </w:r>
          </w:p>
        </w:tc>
        <w:tc>
          <w:tcPr>
            <w:tcW w:w="1853" w:type="dxa"/>
            <w:shd w:val="clear" w:color="auto" w:fill="D9D9D9"/>
          </w:tcPr>
          <w:p w14:paraId="17AD018E" w14:textId="77777777" w:rsidR="00F0718F" w:rsidRPr="00250EA9" w:rsidRDefault="00F0718F" w:rsidP="00222541">
            <w:pPr>
              <w:jc w:val="left"/>
              <w:rPr>
                <w:rFonts w:asciiTheme="minorHAnsi" w:hAnsiTheme="minorHAnsi" w:cs="Arial"/>
                <w:b/>
                <w:sz w:val="20"/>
                <w:szCs w:val="20"/>
              </w:rPr>
            </w:pPr>
            <w:r w:rsidRPr="00250EA9">
              <w:rPr>
                <w:rFonts w:asciiTheme="minorHAnsi" w:hAnsiTheme="minorHAnsi" w:cs="Arial"/>
                <w:b/>
                <w:sz w:val="20"/>
                <w:szCs w:val="20"/>
              </w:rPr>
              <w:t>Project Approach</w:t>
            </w:r>
          </w:p>
        </w:tc>
        <w:tc>
          <w:tcPr>
            <w:tcW w:w="1853" w:type="dxa"/>
            <w:shd w:val="clear" w:color="auto" w:fill="D9D9D9"/>
          </w:tcPr>
          <w:p w14:paraId="632164F3" w14:textId="77777777" w:rsidR="00F0718F" w:rsidRPr="00250EA9" w:rsidRDefault="00F0718F" w:rsidP="00222541">
            <w:pPr>
              <w:jc w:val="left"/>
              <w:rPr>
                <w:rFonts w:asciiTheme="minorHAnsi" w:hAnsiTheme="minorHAnsi" w:cs="Arial"/>
                <w:b/>
                <w:sz w:val="20"/>
                <w:szCs w:val="20"/>
              </w:rPr>
            </w:pPr>
            <w:r w:rsidRPr="00250EA9">
              <w:rPr>
                <w:rFonts w:asciiTheme="minorHAnsi" w:hAnsiTheme="minorHAnsi" w:cs="Arial"/>
                <w:b/>
                <w:sz w:val="20"/>
                <w:szCs w:val="20"/>
              </w:rPr>
              <w:t>Top Structure Approach</w:t>
            </w:r>
          </w:p>
        </w:tc>
      </w:tr>
      <w:tr w:rsidR="00F0718F" w:rsidRPr="00E25DCA" w14:paraId="4C61857E" w14:textId="77777777" w:rsidTr="00250EA9">
        <w:tc>
          <w:tcPr>
            <w:tcW w:w="1620" w:type="dxa"/>
          </w:tcPr>
          <w:p w14:paraId="6445A6A1" w14:textId="77777777" w:rsidR="00F0718F" w:rsidRPr="00250EA9" w:rsidRDefault="00F0718F" w:rsidP="00514F80">
            <w:pPr>
              <w:rPr>
                <w:rFonts w:asciiTheme="minorHAnsi" w:hAnsiTheme="minorHAnsi" w:cs="Arial"/>
                <w:b/>
                <w:sz w:val="20"/>
                <w:szCs w:val="20"/>
              </w:rPr>
            </w:pPr>
            <w:r w:rsidRPr="00250EA9">
              <w:rPr>
                <w:rFonts w:asciiTheme="minorHAnsi" w:hAnsiTheme="minorHAnsi" w:cs="Arial"/>
                <w:b/>
                <w:sz w:val="20"/>
                <w:szCs w:val="20"/>
              </w:rPr>
              <w:t>Clearance</w:t>
            </w:r>
          </w:p>
        </w:tc>
        <w:tc>
          <w:tcPr>
            <w:tcW w:w="2086" w:type="dxa"/>
          </w:tcPr>
          <w:p w14:paraId="5F1656C9"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Relocated to different geographic area.</w:t>
            </w:r>
          </w:p>
        </w:tc>
        <w:tc>
          <w:tcPr>
            <w:tcW w:w="1853" w:type="dxa"/>
          </w:tcPr>
          <w:p w14:paraId="770C5739"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Lost. Possible compensation for equity or relocation of house materials.</w:t>
            </w:r>
          </w:p>
        </w:tc>
        <w:tc>
          <w:tcPr>
            <w:tcW w:w="1853" w:type="dxa"/>
          </w:tcPr>
          <w:p w14:paraId="2F7B2FBA"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Relocation to TRA or other housing project.</w:t>
            </w:r>
          </w:p>
        </w:tc>
        <w:tc>
          <w:tcPr>
            <w:tcW w:w="1853" w:type="dxa"/>
          </w:tcPr>
          <w:p w14:paraId="23E2BC60"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Depends on relocation area project type. Reconstruction of houses, or TRA shelters.</w:t>
            </w:r>
          </w:p>
        </w:tc>
      </w:tr>
      <w:tr w:rsidR="00F0718F" w:rsidRPr="00E25DCA" w14:paraId="0F04CB7A" w14:textId="77777777" w:rsidTr="00250EA9">
        <w:tc>
          <w:tcPr>
            <w:tcW w:w="1620" w:type="dxa"/>
          </w:tcPr>
          <w:p w14:paraId="544B0BB6" w14:textId="77777777" w:rsidR="00F0718F" w:rsidRPr="00250EA9" w:rsidRDefault="00F0718F" w:rsidP="00514F80">
            <w:pPr>
              <w:rPr>
                <w:rFonts w:asciiTheme="minorHAnsi" w:hAnsiTheme="minorHAnsi" w:cs="Arial"/>
                <w:b/>
                <w:sz w:val="20"/>
                <w:szCs w:val="20"/>
              </w:rPr>
            </w:pPr>
            <w:r w:rsidRPr="00250EA9">
              <w:rPr>
                <w:rFonts w:asciiTheme="minorHAnsi" w:hAnsiTheme="minorHAnsi" w:cs="Arial"/>
                <w:b/>
                <w:sz w:val="20"/>
                <w:szCs w:val="20"/>
              </w:rPr>
              <w:t>Relocation</w:t>
            </w:r>
          </w:p>
        </w:tc>
        <w:tc>
          <w:tcPr>
            <w:tcW w:w="2086" w:type="dxa"/>
          </w:tcPr>
          <w:p w14:paraId="5E0D3642"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Relocated to different geographic area.</w:t>
            </w:r>
          </w:p>
        </w:tc>
        <w:tc>
          <w:tcPr>
            <w:tcW w:w="1853" w:type="dxa"/>
          </w:tcPr>
          <w:p w14:paraId="3BE76675"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Lost. Possible compensation for equity or relocation of house materials.</w:t>
            </w:r>
          </w:p>
        </w:tc>
        <w:tc>
          <w:tcPr>
            <w:tcW w:w="1853" w:type="dxa"/>
          </w:tcPr>
          <w:p w14:paraId="3752603C"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Relocation to TRA or other housing project.</w:t>
            </w:r>
          </w:p>
        </w:tc>
        <w:tc>
          <w:tcPr>
            <w:tcW w:w="1853" w:type="dxa"/>
          </w:tcPr>
          <w:p w14:paraId="6E42AD71"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Depends on relocation area project type. Should be similar to original area’s project scope.</w:t>
            </w:r>
          </w:p>
        </w:tc>
      </w:tr>
      <w:tr w:rsidR="00F0718F" w:rsidRPr="00E25DCA" w14:paraId="0840AD3D" w14:textId="77777777" w:rsidTr="00250EA9">
        <w:tc>
          <w:tcPr>
            <w:tcW w:w="1620" w:type="dxa"/>
          </w:tcPr>
          <w:p w14:paraId="45FED1B9" w14:textId="77777777" w:rsidR="00F0718F" w:rsidRPr="00250EA9" w:rsidRDefault="00F0718F" w:rsidP="00514F80">
            <w:pPr>
              <w:rPr>
                <w:rFonts w:asciiTheme="minorHAnsi" w:hAnsiTheme="minorHAnsi" w:cs="Arial"/>
                <w:b/>
                <w:sz w:val="20"/>
                <w:szCs w:val="20"/>
              </w:rPr>
            </w:pPr>
            <w:r w:rsidRPr="00250EA9">
              <w:rPr>
                <w:rFonts w:asciiTheme="minorHAnsi" w:hAnsiTheme="minorHAnsi" w:cs="Arial"/>
                <w:b/>
                <w:sz w:val="20"/>
                <w:szCs w:val="20"/>
              </w:rPr>
              <w:t>Rollover</w:t>
            </w:r>
          </w:p>
        </w:tc>
        <w:tc>
          <w:tcPr>
            <w:tcW w:w="2086" w:type="dxa"/>
          </w:tcPr>
          <w:p w14:paraId="5BC08E35"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Relocated, but back to similar neighbourhood area</w:t>
            </w:r>
          </w:p>
        </w:tc>
        <w:tc>
          <w:tcPr>
            <w:tcW w:w="1853" w:type="dxa"/>
          </w:tcPr>
          <w:p w14:paraId="051C6598"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Lost. Possible compensation for equity.</w:t>
            </w:r>
          </w:p>
        </w:tc>
        <w:tc>
          <w:tcPr>
            <w:tcW w:w="1853" w:type="dxa"/>
          </w:tcPr>
          <w:p w14:paraId="2D721FA2"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 xml:space="preserve">UISP and/or IRDP. </w:t>
            </w:r>
          </w:p>
        </w:tc>
        <w:tc>
          <w:tcPr>
            <w:tcW w:w="1853" w:type="dxa"/>
          </w:tcPr>
          <w:p w14:paraId="0E345229"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Generally use IRDP or UISP / IRDP combination to develop site plus house as single development.</w:t>
            </w:r>
          </w:p>
        </w:tc>
      </w:tr>
      <w:tr w:rsidR="00F0718F" w:rsidRPr="00E25DCA" w14:paraId="67062941" w14:textId="77777777" w:rsidTr="00250EA9">
        <w:tc>
          <w:tcPr>
            <w:tcW w:w="1620" w:type="dxa"/>
          </w:tcPr>
          <w:p w14:paraId="3442B56F" w14:textId="77777777" w:rsidR="00F0718F" w:rsidRPr="00250EA9" w:rsidRDefault="00F0718F" w:rsidP="00777E03">
            <w:pPr>
              <w:jc w:val="left"/>
              <w:rPr>
                <w:rFonts w:asciiTheme="minorHAnsi" w:hAnsiTheme="minorHAnsi" w:cs="Arial"/>
                <w:b/>
                <w:sz w:val="20"/>
                <w:szCs w:val="20"/>
              </w:rPr>
            </w:pPr>
            <w:r w:rsidRPr="00250EA9">
              <w:rPr>
                <w:rFonts w:asciiTheme="minorHAnsi" w:hAnsiTheme="minorHAnsi" w:cs="Arial"/>
                <w:b/>
                <w:sz w:val="20"/>
                <w:szCs w:val="20"/>
              </w:rPr>
              <w:t>Predominantly in situ Upgrading</w:t>
            </w:r>
          </w:p>
        </w:tc>
        <w:tc>
          <w:tcPr>
            <w:tcW w:w="2086" w:type="dxa"/>
          </w:tcPr>
          <w:p w14:paraId="7E37269B"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Remain on original site (possibly minor boundary changes). Possible use of reblocking within upgrading area.</w:t>
            </w:r>
          </w:p>
        </w:tc>
        <w:tc>
          <w:tcPr>
            <w:tcW w:w="1853" w:type="dxa"/>
          </w:tcPr>
          <w:p w14:paraId="24D10CDC"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 xml:space="preserve">Augmented by state resources. But UISP requires removal of original structure when new house is implemented. </w:t>
            </w:r>
          </w:p>
        </w:tc>
        <w:tc>
          <w:tcPr>
            <w:tcW w:w="1853" w:type="dxa"/>
          </w:tcPr>
          <w:p w14:paraId="02E713D7"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UISP infrastructure. Possible secondary project for ‘Phase 4’ shelter development.</w:t>
            </w:r>
          </w:p>
        </w:tc>
        <w:tc>
          <w:tcPr>
            <w:tcW w:w="1853" w:type="dxa"/>
          </w:tcPr>
          <w:p w14:paraId="75F0D041"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May use PHP or other subsidy instrument for house construction. Code requires removal of original structure.</w:t>
            </w:r>
          </w:p>
          <w:p w14:paraId="327253D0"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Original structure may be available for additional space or rental / business income.</w:t>
            </w:r>
          </w:p>
        </w:tc>
      </w:tr>
      <w:tr w:rsidR="00F0718F" w:rsidRPr="00E25DCA" w14:paraId="36E8D805" w14:textId="77777777" w:rsidTr="00250EA9">
        <w:tc>
          <w:tcPr>
            <w:tcW w:w="1620" w:type="dxa"/>
          </w:tcPr>
          <w:p w14:paraId="72698285" w14:textId="77777777" w:rsidR="00F0718F" w:rsidRPr="00250EA9" w:rsidRDefault="00F0718F" w:rsidP="00514F80">
            <w:pPr>
              <w:rPr>
                <w:rFonts w:asciiTheme="minorHAnsi" w:hAnsiTheme="minorHAnsi" w:cs="Arial"/>
                <w:b/>
                <w:sz w:val="20"/>
                <w:szCs w:val="20"/>
              </w:rPr>
            </w:pPr>
            <w:r w:rsidRPr="00250EA9">
              <w:rPr>
                <w:rFonts w:asciiTheme="minorHAnsi" w:hAnsiTheme="minorHAnsi" w:cs="Arial"/>
                <w:b/>
                <w:sz w:val="20"/>
                <w:szCs w:val="20"/>
              </w:rPr>
              <w:t xml:space="preserve">Reblocking </w:t>
            </w:r>
            <w:r w:rsidRPr="00250EA9">
              <w:rPr>
                <w:rFonts w:asciiTheme="minorHAnsi" w:hAnsiTheme="minorHAnsi" w:cs="Arial"/>
                <w:sz w:val="20"/>
                <w:szCs w:val="20"/>
              </w:rPr>
              <w:t>(as a tool within ISU project areas)</w:t>
            </w:r>
          </w:p>
        </w:tc>
        <w:tc>
          <w:tcPr>
            <w:tcW w:w="2086" w:type="dxa"/>
          </w:tcPr>
          <w:p w14:paraId="54C11556"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Site relocated, but to similar neighbourhood and locality / block.</w:t>
            </w:r>
          </w:p>
        </w:tc>
        <w:tc>
          <w:tcPr>
            <w:tcW w:w="1853" w:type="dxa"/>
          </w:tcPr>
          <w:p w14:paraId="0E5C692D"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Relocated: Possible re-construction of structure using original materials.</w:t>
            </w:r>
          </w:p>
        </w:tc>
        <w:tc>
          <w:tcPr>
            <w:tcW w:w="1853" w:type="dxa"/>
          </w:tcPr>
          <w:p w14:paraId="0A3B8A2A"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UISP infrastructure. Possible secondary project for top structure.</w:t>
            </w:r>
          </w:p>
        </w:tc>
        <w:tc>
          <w:tcPr>
            <w:tcW w:w="1853" w:type="dxa"/>
          </w:tcPr>
          <w:p w14:paraId="2930242F" w14:textId="77777777" w:rsidR="00F0718F" w:rsidRPr="00250EA9" w:rsidRDefault="00F0718F" w:rsidP="00514F80">
            <w:pPr>
              <w:rPr>
                <w:rFonts w:asciiTheme="minorHAnsi" w:hAnsiTheme="minorHAnsi" w:cs="Arial"/>
                <w:sz w:val="20"/>
                <w:szCs w:val="20"/>
              </w:rPr>
            </w:pPr>
            <w:r w:rsidRPr="00250EA9">
              <w:rPr>
                <w:rFonts w:asciiTheme="minorHAnsi" w:hAnsiTheme="minorHAnsi" w:cs="Arial"/>
                <w:sz w:val="20"/>
                <w:szCs w:val="20"/>
              </w:rPr>
              <w:t>Original house reconstructed, or may use PHP or other subsidy instrument for new home construction.</w:t>
            </w:r>
          </w:p>
        </w:tc>
      </w:tr>
    </w:tbl>
    <w:p w14:paraId="22373374" w14:textId="350BBCBB" w:rsidR="00F7693F" w:rsidRPr="00BA0F4E" w:rsidRDefault="00D452ED" w:rsidP="004C6311">
      <w:pPr>
        <w:pStyle w:val="Heading3"/>
      </w:pPr>
      <w:bookmarkStart w:id="137" w:name="_Toc261617599"/>
      <w:bookmarkStart w:id="138" w:name="_Toc262067813"/>
      <w:bookmarkStart w:id="139" w:name="_Toc262068139"/>
      <w:r w:rsidRPr="00BA0F4E">
        <w:t>Top structure development in current IS</w:t>
      </w:r>
      <w:r w:rsidR="00BA0F4E">
        <w:t>U</w:t>
      </w:r>
      <w:r w:rsidRPr="00BA0F4E">
        <w:t xml:space="preserve"> practice in SA</w:t>
      </w:r>
      <w:bookmarkEnd w:id="137"/>
      <w:bookmarkEnd w:id="138"/>
      <w:bookmarkEnd w:id="139"/>
    </w:p>
    <w:p w14:paraId="66941EB8" w14:textId="36B6420B" w:rsidR="00BA0F4E" w:rsidRDefault="00D452ED" w:rsidP="00E25DCA">
      <w:pPr>
        <w:spacing w:line="360" w:lineRule="auto"/>
        <w:rPr>
          <w:rFonts w:cs="Arial"/>
          <w:szCs w:val="22"/>
        </w:rPr>
      </w:pPr>
      <w:r w:rsidRPr="00841F39">
        <w:rPr>
          <w:rFonts w:cs="Arial"/>
          <w:szCs w:val="22"/>
        </w:rPr>
        <w:t xml:space="preserve">A second key feature of </w:t>
      </w:r>
      <w:r w:rsidR="00841F39">
        <w:rPr>
          <w:rFonts w:cs="Arial"/>
          <w:szCs w:val="22"/>
        </w:rPr>
        <w:t xml:space="preserve">current </w:t>
      </w:r>
      <w:r w:rsidRPr="00841F39">
        <w:rPr>
          <w:rFonts w:cs="Arial"/>
          <w:szCs w:val="22"/>
        </w:rPr>
        <w:t>SA upgrading practice is its approach to the residential top structure development</w:t>
      </w:r>
      <w:r w:rsidR="00841F39">
        <w:rPr>
          <w:rFonts w:cs="Arial"/>
          <w:szCs w:val="22"/>
        </w:rPr>
        <w:t xml:space="preserve"> (</w:t>
      </w:r>
      <w:r w:rsidR="009C50BD">
        <w:rPr>
          <w:rFonts w:cs="Arial"/>
          <w:szCs w:val="22"/>
        </w:rPr>
        <w:t xml:space="preserve">that is, </w:t>
      </w:r>
      <w:r w:rsidR="00841F39">
        <w:rPr>
          <w:rFonts w:cs="Arial"/>
          <w:szCs w:val="22"/>
        </w:rPr>
        <w:t>the housing consolidation work</w:t>
      </w:r>
      <w:r w:rsidR="00A564D6">
        <w:rPr>
          <w:rFonts w:cs="Arial"/>
          <w:szCs w:val="22"/>
        </w:rPr>
        <w:t xml:space="preserve"> </w:t>
      </w:r>
      <w:r w:rsidR="00841F39">
        <w:rPr>
          <w:rFonts w:cs="Arial"/>
          <w:szCs w:val="22"/>
        </w:rPr>
        <w:t>stream</w:t>
      </w:r>
      <w:r w:rsidR="00BA0F4E">
        <w:rPr>
          <w:rFonts w:cs="Arial"/>
          <w:szCs w:val="22"/>
        </w:rPr>
        <w:t>)</w:t>
      </w:r>
      <w:r w:rsidR="00841F39">
        <w:rPr>
          <w:rFonts w:cs="Arial"/>
          <w:szCs w:val="22"/>
        </w:rPr>
        <w:t xml:space="preserve">. </w:t>
      </w:r>
      <w:r w:rsidRPr="00841F39">
        <w:rPr>
          <w:rFonts w:cs="Arial"/>
          <w:szCs w:val="22"/>
        </w:rPr>
        <w:t>There can be little doubt that current SA ISU project</w:t>
      </w:r>
      <w:r w:rsidR="00BA0F4E">
        <w:rPr>
          <w:rFonts w:cs="Arial"/>
          <w:szCs w:val="22"/>
        </w:rPr>
        <w:t>s</w:t>
      </w:r>
      <w:r w:rsidRPr="00841F39">
        <w:rPr>
          <w:rFonts w:cs="Arial"/>
          <w:szCs w:val="22"/>
        </w:rPr>
        <w:t xml:space="preserve"> place the provision of a state </w:t>
      </w:r>
      <w:r w:rsidR="00E01C9B">
        <w:rPr>
          <w:rFonts w:cs="Arial"/>
          <w:szCs w:val="22"/>
        </w:rPr>
        <w:t>subsidized</w:t>
      </w:r>
      <w:r w:rsidRPr="00841F39">
        <w:rPr>
          <w:rFonts w:cs="Arial"/>
          <w:szCs w:val="22"/>
        </w:rPr>
        <w:t xml:space="preserve"> top structure conforming </w:t>
      </w:r>
      <w:r w:rsidR="00A564D6">
        <w:rPr>
          <w:rFonts w:cs="Arial"/>
          <w:szCs w:val="22"/>
        </w:rPr>
        <w:lastRenderedPageBreak/>
        <w:t xml:space="preserve">to </w:t>
      </w:r>
      <w:r w:rsidRPr="00841F39">
        <w:rPr>
          <w:rFonts w:cs="Arial"/>
          <w:szCs w:val="22"/>
        </w:rPr>
        <w:t xml:space="preserve">the national norms and standards as the principal objective of </w:t>
      </w:r>
      <w:r w:rsidR="00BA0F4E">
        <w:rPr>
          <w:rFonts w:cs="Arial"/>
          <w:szCs w:val="22"/>
        </w:rPr>
        <w:t xml:space="preserve">the </w:t>
      </w:r>
      <w:r w:rsidRPr="00841F39">
        <w:rPr>
          <w:rFonts w:cs="Arial"/>
          <w:szCs w:val="22"/>
        </w:rPr>
        <w:t>ISU project.</w:t>
      </w:r>
      <w:r w:rsidR="00841F39" w:rsidRPr="00841F39">
        <w:rPr>
          <w:rFonts w:cs="Arial"/>
          <w:szCs w:val="22"/>
        </w:rPr>
        <w:t xml:space="preserve"> In this sense ISU is conceived </w:t>
      </w:r>
      <w:r w:rsidR="00BA0F4E">
        <w:rPr>
          <w:rFonts w:cs="Arial"/>
          <w:szCs w:val="22"/>
        </w:rPr>
        <w:t xml:space="preserve">primarily </w:t>
      </w:r>
      <w:r w:rsidR="00841F39" w:rsidRPr="00841F39">
        <w:rPr>
          <w:rFonts w:cs="Arial"/>
          <w:szCs w:val="22"/>
        </w:rPr>
        <w:t xml:space="preserve">as a process through which shacks in </w:t>
      </w:r>
      <w:r w:rsidR="006443CF">
        <w:rPr>
          <w:rFonts w:cs="Arial"/>
          <w:szCs w:val="22"/>
        </w:rPr>
        <w:t>a</w:t>
      </w:r>
      <w:r w:rsidR="00841F39" w:rsidRPr="00841F39">
        <w:rPr>
          <w:rFonts w:cs="Arial"/>
          <w:szCs w:val="22"/>
        </w:rPr>
        <w:t xml:space="preserve"> settlement are replaced with state provided top structu</w:t>
      </w:r>
      <w:r w:rsidR="00BA0F4E">
        <w:rPr>
          <w:rFonts w:cs="Arial"/>
          <w:szCs w:val="22"/>
        </w:rPr>
        <w:t xml:space="preserve">res, and the other work streams are seen </w:t>
      </w:r>
      <w:r w:rsidR="00A564D6">
        <w:rPr>
          <w:rFonts w:cs="Arial"/>
          <w:szCs w:val="22"/>
        </w:rPr>
        <w:t>as mere</w:t>
      </w:r>
      <w:r w:rsidR="00BA0F4E">
        <w:rPr>
          <w:rFonts w:cs="Arial"/>
          <w:szCs w:val="22"/>
        </w:rPr>
        <w:t xml:space="preserve"> adjuncts. </w:t>
      </w:r>
    </w:p>
    <w:p w14:paraId="07E5FC3D" w14:textId="225F640D" w:rsidR="00841F39" w:rsidRDefault="00BA0F4E" w:rsidP="00E25DCA">
      <w:pPr>
        <w:spacing w:line="360" w:lineRule="auto"/>
        <w:rPr>
          <w:rFonts w:cs="Arial"/>
          <w:szCs w:val="22"/>
        </w:rPr>
      </w:pPr>
      <w:r>
        <w:rPr>
          <w:rFonts w:cs="Arial"/>
          <w:szCs w:val="22"/>
        </w:rPr>
        <w:t>This emphasis is not simply an outcome of the orientation of the project practitioners but is usually embedded in the attitudes and expectations of the target groups, political leadership and the public at large.</w:t>
      </w:r>
    </w:p>
    <w:p w14:paraId="24340C23" w14:textId="0910780A" w:rsidR="00BA0F4E" w:rsidRPr="00841F39" w:rsidRDefault="00BA0F4E" w:rsidP="00A564D6">
      <w:pPr>
        <w:spacing w:line="360" w:lineRule="auto"/>
        <w:rPr>
          <w:rFonts w:cs="Arial"/>
          <w:szCs w:val="22"/>
        </w:rPr>
      </w:pPr>
      <w:r>
        <w:rPr>
          <w:rFonts w:cs="Arial"/>
          <w:szCs w:val="22"/>
        </w:rPr>
        <w:t xml:space="preserve">The placement of the state </w:t>
      </w:r>
      <w:r w:rsidR="00E01C9B">
        <w:rPr>
          <w:rFonts w:cs="Arial"/>
          <w:szCs w:val="22"/>
        </w:rPr>
        <w:t>subsidized</w:t>
      </w:r>
      <w:r>
        <w:rPr>
          <w:rFonts w:cs="Arial"/>
          <w:szCs w:val="22"/>
        </w:rPr>
        <w:t xml:space="preserve"> top structure at the centre of the ISU process brings with it a set of associated, allocative, procedural and technical </w:t>
      </w:r>
      <w:r w:rsidR="009C50BD">
        <w:rPr>
          <w:rFonts w:cs="Arial"/>
          <w:szCs w:val="22"/>
        </w:rPr>
        <w:t>requirements that have important</w:t>
      </w:r>
      <w:r>
        <w:rPr>
          <w:rFonts w:cs="Arial"/>
          <w:szCs w:val="22"/>
        </w:rPr>
        <w:t xml:space="preserve"> spin</w:t>
      </w:r>
      <w:r w:rsidR="009C50BD">
        <w:rPr>
          <w:rFonts w:cs="Arial"/>
          <w:szCs w:val="22"/>
        </w:rPr>
        <w:t>-</w:t>
      </w:r>
      <w:r>
        <w:rPr>
          <w:rFonts w:cs="Arial"/>
          <w:szCs w:val="22"/>
        </w:rPr>
        <w:t xml:space="preserve">offs for how the project proceeds. </w:t>
      </w:r>
    </w:p>
    <w:p w14:paraId="49968302" w14:textId="6C23F298" w:rsidR="00E9242E" w:rsidRPr="00BA0F4E" w:rsidRDefault="00E9242E" w:rsidP="00A564D6">
      <w:pPr>
        <w:spacing w:line="360" w:lineRule="auto"/>
        <w:rPr>
          <w:rFonts w:cs="Arial"/>
          <w:szCs w:val="22"/>
        </w:rPr>
      </w:pPr>
      <w:r w:rsidRPr="00BA0F4E">
        <w:rPr>
          <w:rFonts w:cs="Arial"/>
          <w:szCs w:val="22"/>
        </w:rPr>
        <w:t>Even where alternative subsidy instruments are used</w:t>
      </w:r>
      <w:r w:rsidR="007B4211" w:rsidRPr="00BA0F4E">
        <w:rPr>
          <w:rFonts w:cs="Arial"/>
          <w:szCs w:val="22"/>
        </w:rPr>
        <w:t xml:space="preserve"> for the development of houses</w:t>
      </w:r>
      <w:r w:rsidR="0044136C" w:rsidRPr="00BA0F4E">
        <w:rPr>
          <w:rFonts w:cs="Arial"/>
          <w:szCs w:val="22"/>
        </w:rPr>
        <w:t xml:space="preserve"> </w:t>
      </w:r>
      <w:r w:rsidRPr="00BA0F4E">
        <w:rPr>
          <w:rFonts w:cs="Arial"/>
          <w:szCs w:val="22"/>
        </w:rPr>
        <w:t>that are meant to mobilise private initiative and investment</w:t>
      </w:r>
      <w:r w:rsidR="0044136C" w:rsidRPr="00BA0F4E">
        <w:rPr>
          <w:rFonts w:cs="Arial"/>
          <w:szCs w:val="22"/>
        </w:rPr>
        <w:t xml:space="preserve"> (such as the EPHP),</w:t>
      </w:r>
      <w:r w:rsidRPr="00BA0F4E">
        <w:rPr>
          <w:rFonts w:cs="Arial"/>
          <w:szCs w:val="22"/>
        </w:rPr>
        <w:t xml:space="preserve"> </w:t>
      </w:r>
      <w:r w:rsidRPr="004C0139">
        <w:rPr>
          <w:rFonts w:cs="Arial"/>
          <w:szCs w:val="22"/>
          <w:highlight w:val="yellow"/>
        </w:rPr>
        <w:t xml:space="preserve">most </w:t>
      </w:r>
      <w:r w:rsidR="007B4211" w:rsidRPr="004C0139">
        <w:rPr>
          <w:rFonts w:cs="Arial"/>
          <w:szCs w:val="22"/>
          <w:highlight w:val="yellow"/>
        </w:rPr>
        <w:t xml:space="preserve">projects still </w:t>
      </w:r>
      <w:r w:rsidRPr="004C0139">
        <w:rPr>
          <w:rFonts w:cs="Arial"/>
          <w:szCs w:val="22"/>
          <w:highlight w:val="yellow"/>
        </w:rPr>
        <w:t>end up being primarily dominated by the state subsidy resources available, and many are even implemented in a developer-led way (personal correspondence NDHS).</w:t>
      </w:r>
      <w:r w:rsidRPr="00BA0F4E">
        <w:rPr>
          <w:rFonts w:cs="Arial"/>
          <w:szCs w:val="22"/>
        </w:rPr>
        <w:t xml:space="preserve"> </w:t>
      </w:r>
      <w:r w:rsidR="00301C02" w:rsidRPr="00BA0F4E">
        <w:rPr>
          <w:rFonts w:cs="Arial"/>
          <w:szCs w:val="22"/>
        </w:rPr>
        <w:t xml:space="preserve">The implementation methodology used in turn has important implications for house consolidation in these settlements during and after upgrading has occurred.  </w:t>
      </w:r>
    </w:p>
    <w:p w14:paraId="19DF6848" w14:textId="199A4703" w:rsidR="0044136C" w:rsidRPr="008B4F2C" w:rsidRDefault="00BA0F4E" w:rsidP="00A564D6">
      <w:pPr>
        <w:spacing w:line="360" w:lineRule="auto"/>
        <w:rPr>
          <w:rFonts w:cs="Arial"/>
          <w:szCs w:val="22"/>
        </w:rPr>
      </w:pPr>
      <w:r w:rsidRPr="008B4F2C">
        <w:rPr>
          <w:rFonts w:cs="Arial"/>
          <w:szCs w:val="22"/>
        </w:rPr>
        <w:t xml:space="preserve">We will term </w:t>
      </w:r>
      <w:r w:rsidR="009D020F" w:rsidRPr="008B4F2C">
        <w:rPr>
          <w:rFonts w:cs="Arial"/>
          <w:szCs w:val="22"/>
        </w:rPr>
        <w:t>approaches that</w:t>
      </w:r>
      <w:r w:rsidR="008B4F2C" w:rsidRPr="008B4F2C">
        <w:rPr>
          <w:rFonts w:cs="Arial"/>
          <w:szCs w:val="22"/>
        </w:rPr>
        <w:t xml:space="preserve"> place the provision of state </w:t>
      </w:r>
      <w:r w:rsidR="00E01C9B">
        <w:rPr>
          <w:rFonts w:cs="Arial"/>
          <w:szCs w:val="22"/>
        </w:rPr>
        <w:t>subsidized</w:t>
      </w:r>
      <w:r w:rsidR="008B4F2C" w:rsidRPr="008B4F2C">
        <w:rPr>
          <w:rFonts w:cs="Arial"/>
          <w:szCs w:val="22"/>
        </w:rPr>
        <w:t xml:space="preserve"> top structures as the primary outcome of ISU </w:t>
      </w:r>
      <w:r w:rsidR="00A564D6">
        <w:rPr>
          <w:rFonts w:cs="Arial"/>
          <w:szCs w:val="22"/>
        </w:rPr>
        <w:t xml:space="preserve">as </w:t>
      </w:r>
      <w:r w:rsidR="008B4F2C" w:rsidRPr="008B4F2C">
        <w:rPr>
          <w:rFonts w:cs="Arial"/>
          <w:szCs w:val="22"/>
        </w:rPr>
        <w:t xml:space="preserve">the </w:t>
      </w:r>
      <w:r w:rsidR="008B4F2C" w:rsidRPr="008B4F2C">
        <w:rPr>
          <w:rFonts w:cs="Arial"/>
          <w:b/>
          <w:szCs w:val="22"/>
        </w:rPr>
        <w:t>‘state</w:t>
      </w:r>
      <w:r w:rsidR="00E9242E" w:rsidRPr="008B4F2C">
        <w:rPr>
          <w:rFonts w:cs="Arial"/>
          <w:b/>
          <w:szCs w:val="22"/>
        </w:rPr>
        <w:t xml:space="preserve"> </w:t>
      </w:r>
      <w:r w:rsidR="008B4F2C" w:rsidRPr="008B4F2C">
        <w:rPr>
          <w:rFonts w:cs="Arial"/>
          <w:b/>
          <w:szCs w:val="22"/>
        </w:rPr>
        <w:t xml:space="preserve">funded top structure </w:t>
      </w:r>
      <w:r w:rsidR="00E9242E" w:rsidRPr="008B4F2C">
        <w:rPr>
          <w:rFonts w:cs="Arial"/>
          <w:b/>
          <w:szCs w:val="22"/>
        </w:rPr>
        <w:t>dominant</w:t>
      </w:r>
      <w:r w:rsidR="0044136C" w:rsidRPr="008B4F2C">
        <w:rPr>
          <w:rFonts w:cs="Arial"/>
          <w:b/>
          <w:szCs w:val="22"/>
        </w:rPr>
        <w:t>’</w:t>
      </w:r>
      <w:r w:rsidR="00E9242E" w:rsidRPr="008B4F2C">
        <w:rPr>
          <w:rFonts w:cs="Arial"/>
          <w:szCs w:val="22"/>
        </w:rPr>
        <w:t xml:space="preserve"> mode of </w:t>
      </w:r>
      <w:r w:rsidR="0044136C" w:rsidRPr="008B4F2C">
        <w:rPr>
          <w:rFonts w:cs="Arial"/>
          <w:szCs w:val="22"/>
        </w:rPr>
        <w:t>upgrading</w:t>
      </w:r>
      <w:r w:rsidR="008B4F2C" w:rsidRPr="008B4F2C">
        <w:rPr>
          <w:rFonts w:cs="Arial"/>
          <w:szCs w:val="22"/>
        </w:rPr>
        <w:t>.</w:t>
      </w:r>
      <w:r w:rsidR="0044136C" w:rsidRPr="008B4F2C">
        <w:rPr>
          <w:rFonts w:cs="Arial"/>
          <w:szCs w:val="22"/>
        </w:rPr>
        <w:t xml:space="preserve"> </w:t>
      </w:r>
      <w:r w:rsidR="009C50BD">
        <w:rPr>
          <w:rFonts w:cs="Arial"/>
          <w:szCs w:val="22"/>
        </w:rPr>
        <w:t xml:space="preserve"> </w:t>
      </w:r>
      <w:r w:rsidR="008B4F2C" w:rsidRPr="008B4F2C">
        <w:rPr>
          <w:rFonts w:cs="Arial"/>
          <w:szCs w:val="22"/>
        </w:rPr>
        <w:t xml:space="preserve">The </w:t>
      </w:r>
      <w:r w:rsidR="008B4F2C" w:rsidRPr="008B4F2C">
        <w:rPr>
          <w:rFonts w:cs="Arial"/>
          <w:b/>
          <w:szCs w:val="22"/>
        </w:rPr>
        <w:t>state funded top structure dominant</w:t>
      </w:r>
      <w:r w:rsidR="008B4F2C" w:rsidRPr="008B4F2C">
        <w:rPr>
          <w:rFonts w:cs="Arial"/>
          <w:szCs w:val="22"/>
        </w:rPr>
        <w:t xml:space="preserve"> mode </w:t>
      </w:r>
      <w:r w:rsidR="00B31EA3" w:rsidRPr="008B4F2C">
        <w:rPr>
          <w:rFonts w:cs="Arial"/>
          <w:szCs w:val="22"/>
        </w:rPr>
        <w:t>fosters heavy</w:t>
      </w:r>
      <w:r w:rsidR="007B4211" w:rsidRPr="008B4F2C">
        <w:rPr>
          <w:rFonts w:cs="Arial"/>
          <w:szCs w:val="22"/>
        </w:rPr>
        <w:t xml:space="preserve"> reliance on state for all aspects of housing provision</w:t>
      </w:r>
      <w:r w:rsidR="00D61521" w:rsidRPr="008B4F2C">
        <w:rPr>
          <w:rFonts w:cs="Arial"/>
          <w:szCs w:val="22"/>
        </w:rPr>
        <w:t xml:space="preserve"> by households</w:t>
      </w:r>
      <w:r w:rsidR="0044136C" w:rsidRPr="008B4F2C">
        <w:rPr>
          <w:rFonts w:cs="Arial"/>
          <w:szCs w:val="22"/>
        </w:rPr>
        <w:t xml:space="preserve">, and also focuses implementers’ attentions almost exclusively on </w:t>
      </w:r>
      <w:r w:rsidR="008B3A2A">
        <w:rPr>
          <w:rFonts w:cs="Arial"/>
          <w:szCs w:val="22"/>
        </w:rPr>
        <w:t>delivering</w:t>
      </w:r>
      <w:r w:rsidR="008B3A2A" w:rsidRPr="008B4F2C">
        <w:rPr>
          <w:rFonts w:cs="Arial"/>
          <w:szCs w:val="22"/>
        </w:rPr>
        <w:t xml:space="preserve"> </w:t>
      </w:r>
      <w:r w:rsidR="0044136C" w:rsidRPr="008B4F2C">
        <w:rPr>
          <w:rFonts w:cs="Arial"/>
          <w:szCs w:val="22"/>
        </w:rPr>
        <w:t>state-funded infrastructure and top structures</w:t>
      </w:r>
      <w:r w:rsidR="007B4211" w:rsidRPr="008B4F2C">
        <w:rPr>
          <w:rFonts w:cs="Arial"/>
          <w:szCs w:val="22"/>
        </w:rPr>
        <w:t>. This in turn limits the ability to, and necessity for</w:t>
      </w:r>
      <w:r w:rsidR="006443CF">
        <w:rPr>
          <w:rFonts w:cs="Arial"/>
          <w:szCs w:val="22"/>
        </w:rPr>
        <w:t>,</w:t>
      </w:r>
      <w:r w:rsidR="007B4211" w:rsidRPr="008B4F2C">
        <w:rPr>
          <w:rFonts w:cs="Arial"/>
          <w:szCs w:val="22"/>
        </w:rPr>
        <w:t xml:space="preserve"> individuals and communities to </w:t>
      </w:r>
      <w:r w:rsidR="0044136C" w:rsidRPr="008B4F2C">
        <w:rPr>
          <w:rFonts w:cs="Arial"/>
          <w:szCs w:val="22"/>
        </w:rPr>
        <w:t xml:space="preserve">jointly </w:t>
      </w:r>
      <w:r w:rsidR="007B4211" w:rsidRPr="008B4F2C">
        <w:rPr>
          <w:rFonts w:cs="Arial"/>
          <w:szCs w:val="22"/>
        </w:rPr>
        <w:t xml:space="preserve">engage </w:t>
      </w:r>
      <w:r w:rsidR="0044136C" w:rsidRPr="008B4F2C">
        <w:rPr>
          <w:rFonts w:cs="Arial"/>
          <w:szCs w:val="22"/>
        </w:rPr>
        <w:t xml:space="preserve">with State, NPO and private actors </w:t>
      </w:r>
      <w:r w:rsidR="008B3A2A">
        <w:rPr>
          <w:rFonts w:cs="Arial"/>
          <w:szCs w:val="22"/>
        </w:rPr>
        <w:t xml:space="preserve">and </w:t>
      </w:r>
      <w:r w:rsidR="008B4F2C" w:rsidRPr="008B4F2C">
        <w:rPr>
          <w:rFonts w:cs="Arial"/>
          <w:szCs w:val="22"/>
        </w:rPr>
        <w:t>to mobilise</w:t>
      </w:r>
      <w:r w:rsidR="0044136C" w:rsidRPr="008B4F2C">
        <w:rPr>
          <w:rFonts w:cs="Arial"/>
          <w:szCs w:val="22"/>
        </w:rPr>
        <w:t xml:space="preserve"> resources and </w:t>
      </w:r>
      <w:r w:rsidR="007B4211" w:rsidRPr="008B4F2C">
        <w:rPr>
          <w:rFonts w:cs="Arial"/>
          <w:szCs w:val="22"/>
        </w:rPr>
        <w:t xml:space="preserve">invest in their own housing.  </w:t>
      </w:r>
    </w:p>
    <w:p w14:paraId="0DD41F99" w14:textId="3E78AF8E" w:rsidR="00E9242E" w:rsidRDefault="00321E3F" w:rsidP="00A564D6">
      <w:pPr>
        <w:spacing w:line="360" w:lineRule="auto"/>
        <w:rPr>
          <w:rFonts w:cs="Arial"/>
          <w:szCs w:val="22"/>
        </w:rPr>
      </w:pPr>
      <w:r w:rsidRPr="004C0139">
        <w:rPr>
          <w:rFonts w:cs="Arial"/>
          <w:szCs w:val="22"/>
          <w:highlight w:val="yellow"/>
        </w:rPr>
        <w:t>The outcome of the state-dominant approach is th</w:t>
      </w:r>
      <w:r w:rsidR="00E9242E" w:rsidRPr="004C0139">
        <w:rPr>
          <w:rFonts w:cs="Arial"/>
          <w:szCs w:val="22"/>
          <w:highlight w:val="yellow"/>
        </w:rPr>
        <w:t xml:space="preserve">at </w:t>
      </w:r>
      <w:r w:rsidRPr="004C0139">
        <w:rPr>
          <w:rFonts w:cs="Arial"/>
          <w:szCs w:val="22"/>
          <w:highlight w:val="yellow"/>
        </w:rPr>
        <w:t xml:space="preserve">it </w:t>
      </w:r>
      <w:r w:rsidR="0044136C" w:rsidRPr="004C0139">
        <w:rPr>
          <w:rFonts w:cs="Arial"/>
          <w:szCs w:val="22"/>
          <w:highlight w:val="yellow"/>
        </w:rPr>
        <w:t xml:space="preserve">can limit </w:t>
      </w:r>
      <w:r w:rsidRPr="004C0139">
        <w:rPr>
          <w:rFonts w:cs="Arial"/>
          <w:szCs w:val="22"/>
          <w:highlight w:val="yellow"/>
        </w:rPr>
        <w:t xml:space="preserve">households and communities from </w:t>
      </w:r>
      <w:r w:rsidR="0044136C" w:rsidRPr="004C0139">
        <w:rPr>
          <w:rFonts w:cs="Arial"/>
          <w:szCs w:val="22"/>
          <w:highlight w:val="yellow"/>
        </w:rPr>
        <w:t xml:space="preserve">playing a </w:t>
      </w:r>
      <w:r w:rsidRPr="004C0139">
        <w:rPr>
          <w:rFonts w:cs="Arial"/>
          <w:szCs w:val="22"/>
          <w:highlight w:val="yellow"/>
        </w:rPr>
        <w:t>meaningful role in shelter development. M</w:t>
      </w:r>
      <w:r w:rsidR="00E9242E" w:rsidRPr="004C0139">
        <w:rPr>
          <w:rFonts w:cs="Arial"/>
          <w:szCs w:val="22"/>
          <w:highlight w:val="yellow"/>
        </w:rPr>
        <w:t xml:space="preserve">ost UISP projects </w:t>
      </w:r>
      <w:r w:rsidRPr="004C0139">
        <w:rPr>
          <w:rFonts w:cs="Arial"/>
          <w:szCs w:val="22"/>
          <w:highlight w:val="yellow"/>
        </w:rPr>
        <w:t xml:space="preserve">therefore </w:t>
      </w:r>
      <w:r w:rsidR="0044136C" w:rsidRPr="004C0139">
        <w:rPr>
          <w:rFonts w:cs="Arial"/>
          <w:szCs w:val="22"/>
          <w:highlight w:val="yellow"/>
        </w:rPr>
        <w:t xml:space="preserve">currently </w:t>
      </w:r>
      <w:r w:rsidR="00E9242E" w:rsidRPr="004C0139">
        <w:rPr>
          <w:rFonts w:cs="Arial"/>
          <w:szCs w:val="22"/>
          <w:highlight w:val="yellow"/>
        </w:rPr>
        <w:t xml:space="preserve">contain </w:t>
      </w:r>
      <w:r w:rsidR="0044136C" w:rsidRPr="004C0139">
        <w:rPr>
          <w:rFonts w:cs="Arial"/>
          <w:szCs w:val="22"/>
          <w:highlight w:val="yellow"/>
        </w:rPr>
        <w:t>limited real</w:t>
      </w:r>
      <w:r w:rsidR="00E9242E" w:rsidRPr="004C0139">
        <w:rPr>
          <w:rFonts w:cs="Arial"/>
          <w:szCs w:val="22"/>
          <w:highlight w:val="yellow"/>
        </w:rPr>
        <w:t xml:space="preserve"> contribution</w:t>
      </w:r>
      <w:r w:rsidR="0044136C" w:rsidRPr="004C0139">
        <w:rPr>
          <w:rFonts w:cs="Arial"/>
          <w:szCs w:val="22"/>
          <w:highlight w:val="yellow"/>
        </w:rPr>
        <w:t>s</w:t>
      </w:r>
      <w:r w:rsidR="00E9242E" w:rsidRPr="004C0139">
        <w:rPr>
          <w:rFonts w:cs="Arial"/>
          <w:szCs w:val="22"/>
          <w:highlight w:val="yellow"/>
        </w:rPr>
        <w:t xml:space="preserve"> from households themselves</w:t>
      </w:r>
      <w:r w:rsidR="0044136C" w:rsidRPr="004C0139">
        <w:rPr>
          <w:rFonts w:cs="Arial"/>
          <w:szCs w:val="22"/>
          <w:highlight w:val="yellow"/>
        </w:rPr>
        <w:t xml:space="preserve">, </w:t>
      </w:r>
      <w:r w:rsidRPr="004C0139">
        <w:rPr>
          <w:rFonts w:cs="Arial"/>
          <w:szCs w:val="22"/>
          <w:highlight w:val="yellow"/>
        </w:rPr>
        <w:t xml:space="preserve">neither </w:t>
      </w:r>
      <w:r w:rsidR="00E9242E" w:rsidRPr="004C0139">
        <w:rPr>
          <w:rFonts w:cs="Arial"/>
          <w:szCs w:val="22"/>
          <w:highlight w:val="yellow"/>
        </w:rPr>
        <w:t xml:space="preserve">in the form of engagement on the nature of the </w:t>
      </w:r>
      <w:r w:rsidRPr="004C0139">
        <w:rPr>
          <w:rFonts w:cs="Arial"/>
          <w:szCs w:val="22"/>
          <w:highlight w:val="yellow"/>
        </w:rPr>
        <w:t xml:space="preserve">housing </w:t>
      </w:r>
      <w:r w:rsidR="00E9242E" w:rsidRPr="004C0139">
        <w:rPr>
          <w:rFonts w:cs="Arial"/>
          <w:szCs w:val="22"/>
          <w:highlight w:val="yellow"/>
        </w:rPr>
        <w:t xml:space="preserve">product, </w:t>
      </w:r>
      <w:r w:rsidRPr="004C0139">
        <w:rPr>
          <w:rFonts w:cs="Arial"/>
          <w:szCs w:val="22"/>
          <w:highlight w:val="yellow"/>
        </w:rPr>
        <w:t xml:space="preserve">nor </w:t>
      </w:r>
      <w:r w:rsidR="00E9242E" w:rsidRPr="004C0139">
        <w:rPr>
          <w:rFonts w:cs="Arial"/>
          <w:szCs w:val="22"/>
          <w:highlight w:val="yellow"/>
        </w:rPr>
        <w:t xml:space="preserve">input into </w:t>
      </w:r>
      <w:r w:rsidRPr="004C0139">
        <w:rPr>
          <w:rFonts w:cs="Arial"/>
          <w:szCs w:val="22"/>
          <w:highlight w:val="yellow"/>
        </w:rPr>
        <w:t xml:space="preserve">the house </w:t>
      </w:r>
      <w:r w:rsidR="00E9242E" w:rsidRPr="004C0139">
        <w:rPr>
          <w:rFonts w:cs="Arial"/>
          <w:szCs w:val="22"/>
          <w:highlight w:val="yellow"/>
        </w:rPr>
        <w:t>construction</w:t>
      </w:r>
      <w:r w:rsidR="0044136C" w:rsidRPr="004C0139">
        <w:rPr>
          <w:rFonts w:cs="Arial"/>
          <w:szCs w:val="22"/>
          <w:highlight w:val="yellow"/>
        </w:rPr>
        <w:t xml:space="preserve"> or</w:t>
      </w:r>
      <w:r w:rsidR="00E9242E" w:rsidRPr="004C0139">
        <w:rPr>
          <w:rFonts w:cs="Arial"/>
          <w:szCs w:val="22"/>
          <w:highlight w:val="yellow"/>
        </w:rPr>
        <w:t xml:space="preserve"> </w:t>
      </w:r>
      <w:r w:rsidRPr="004C0139">
        <w:rPr>
          <w:rFonts w:cs="Arial"/>
          <w:szCs w:val="22"/>
          <w:highlight w:val="yellow"/>
        </w:rPr>
        <w:t xml:space="preserve">in the form of any </w:t>
      </w:r>
      <w:r w:rsidR="00E9242E" w:rsidRPr="004C0139">
        <w:rPr>
          <w:rFonts w:cs="Arial"/>
          <w:szCs w:val="22"/>
          <w:highlight w:val="yellow"/>
        </w:rPr>
        <w:t xml:space="preserve">personal investment of money or materials in the structure. They remain, </w:t>
      </w:r>
      <w:r w:rsidR="0044136C" w:rsidRPr="004C0139">
        <w:rPr>
          <w:rFonts w:cs="Arial"/>
          <w:szCs w:val="22"/>
          <w:highlight w:val="yellow"/>
        </w:rPr>
        <w:t>at heart</w:t>
      </w:r>
      <w:r w:rsidR="00E9242E" w:rsidRPr="004C0139">
        <w:rPr>
          <w:rFonts w:cs="Arial"/>
          <w:szCs w:val="22"/>
          <w:highlight w:val="yellow"/>
        </w:rPr>
        <w:t>, state-provid</w:t>
      </w:r>
      <w:r w:rsidRPr="004C0139">
        <w:rPr>
          <w:rFonts w:cs="Arial"/>
          <w:szCs w:val="22"/>
          <w:highlight w:val="yellow"/>
        </w:rPr>
        <w:t>ed, standardised housing units implemented with high levels of disruption to beneficiary households in informal settlements.</w:t>
      </w:r>
    </w:p>
    <w:p w14:paraId="3271D0F3" w14:textId="77777777" w:rsidR="009D020F" w:rsidRPr="008B4F2C" w:rsidRDefault="009D020F" w:rsidP="00A564D6">
      <w:pPr>
        <w:spacing w:line="360" w:lineRule="auto"/>
        <w:rPr>
          <w:rFonts w:cs="Arial"/>
          <w:szCs w:val="22"/>
        </w:rPr>
      </w:pPr>
    </w:p>
    <w:p w14:paraId="09BEA243" w14:textId="0553B35B" w:rsidR="0044136C" w:rsidRDefault="00337D31" w:rsidP="004C6311">
      <w:pPr>
        <w:pStyle w:val="Heading3"/>
      </w:pPr>
      <w:bookmarkStart w:id="140" w:name="_Toc261617600"/>
      <w:bookmarkStart w:id="141" w:name="_Toc262067814"/>
      <w:bookmarkStart w:id="142" w:name="_Toc262068140"/>
      <w:r>
        <w:lastRenderedPageBreak/>
        <w:t>Looking to the f</w:t>
      </w:r>
      <w:r w:rsidR="00CF3F66">
        <w:t xml:space="preserve">uture </w:t>
      </w:r>
      <w:r w:rsidR="00CF3F66" w:rsidRPr="008B4F2C">
        <w:t xml:space="preserve">of </w:t>
      </w:r>
      <w:r>
        <w:t xml:space="preserve">the </w:t>
      </w:r>
      <w:r w:rsidR="008B4F2C" w:rsidRPr="008B4F2C">
        <w:t xml:space="preserve">state funded top structure </w:t>
      </w:r>
      <w:r w:rsidRPr="008B4F2C">
        <w:t>dominant ISU</w:t>
      </w:r>
      <w:r w:rsidR="008B4F2C" w:rsidRPr="008B4F2C">
        <w:t xml:space="preserve"> mode </w:t>
      </w:r>
      <w:r w:rsidR="00CF3F66">
        <w:t>South Africa</w:t>
      </w:r>
      <w:bookmarkEnd w:id="140"/>
      <w:bookmarkEnd w:id="141"/>
      <w:bookmarkEnd w:id="142"/>
    </w:p>
    <w:p w14:paraId="044669ED" w14:textId="04E468DE" w:rsidR="00E9242E" w:rsidRPr="007816AB" w:rsidRDefault="00CF3F66" w:rsidP="008B3A2A">
      <w:pPr>
        <w:spacing w:line="360" w:lineRule="auto"/>
        <w:rPr>
          <w:rFonts w:cs="Arial"/>
          <w:szCs w:val="22"/>
        </w:rPr>
      </w:pPr>
      <w:r w:rsidRPr="00D8533D">
        <w:rPr>
          <w:rFonts w:cs="Arial"/>
          <w:szCs w:val="22"/>
          <w:highlight w:val="yellow"/>
        </w:rPr>
        <w:t>The current</w:t>
      </w:r>
      <w:r w:rsidR="00E9242E" w:rsidRPr="00D8533D">
        <w:rPr>
          <w:rFonts w:cs="Arial"/>
          <w:szCs w:val="22"/>
          <w:highlight w:val="yellow"/>
        </w:rPr>
        <w:t xml:space="preserve"> state fund</w:t>
      </w:r>
      <w:r w:rsidR="008B3A2A" w:rsidRPr="00D8533D">
        <w:rPr>
          <w:rFonts w:cs="Arial"/>
          <w:szCs w:val="22"/>
          <w:highlight w:val="yellow"/>
        </w:rPr>
        <w:t xml:space="preserve">ed </w:t>
      </w:r>
      <w:r w:rsidR="00E9242E" w:rsidRPr="00D8533D">
        <w:rPr>
          <w:rFonts w:cs="Arial"/>
          <w:szCs w:val="22"/>
          <w:highlight w:val="yellow"/>
        </w:rPr>
        <w:t xml:space="preserve">dominant </w:t>
      </w:r>
      <w:r w:rsidRPr="00D8533D">
        <w:rPr>
          <w:rFonts w:cs="Arial"/>
          <w:szCs w:val="22"/>
          <w:highlight w:val="yellow"/>
        </w:rPr>
        <w:t xml:space="preserve">UISP </w:t>
      </w:r>
      <w:r w:rsidR="00E9242E" w:rsidRPr="00D8533D">
        <w:rPr>
          <w:rFonts w:cs="Arial"/>
          <w:szCs w:val="22"/>
          <w:highlight w:val="yellow"/>
        </w:rPr>
        <w:t>approach places South Africa on a different development trajectory to most developing countries, where</w:t>
      </w:r>
      <w:r w:rsidR="008B4F2C" w:rsidRPr="00D8533D">
        <w:rPr>
          <w:rFonts w:cs="Arial"/>
          <w:szCs w:val="22"/>
          <w:highlight w:val="yellow"/>
        </w:rPr>
        <w:t xml:space="preserve"> fiscal realities have dictated that </w:t>
      </w:r>
      <w:r w:rsidR="00E9242E" w:rsidRPr="00D8533D">
        <w:rPr>
          <w:rFonts w:cs="Arial"/>
          <w:szCs w:val="22"/>
          <w:highlight w:val="yellow"/>
        </w:rPr>
        <w:t xml:space="preserve">ISU mostly includes only site regularisation, tenure and the provision of </w:t>
      </w:r>
      <w:r w:rsidR="00301C02" w:rsidRPr="00D8533D">
        <w:rPr>
          <w:rFonts w:cs="Arial"/>
          <w:szCs w:val="22"/>
          <w:highlight w:val="yellow"/>
        </w:rPr>
        <w:t xml:space="preserve">basic </w:t>
      </w:r>
      <w:r w:rsidR="00E9242E" w:rsidRPr="00D8533D">
        <w:rPr>
          <w:rFonts w:cs="Arial"/>
          <w:szCs w:val="22"/>
          <w:highlight w:val="yellow"/>
        </w:rPr>
        <w:t>services</w:t>
      </w:r>
      <w:r w:rsidR="00301C02" w:rsidRPr="00D8533D">
        <w:rPr>
          <w:rFonts w:cs="Arial"/>
          <w:szCs w:val="22"/>
          <w:highlight w:val="yellow"/>
        </w:rPr>
        <w:t xml:space="preserve"> as a platform for household investment and development</w:t>
      </w:r>
      <w:r w:rsidR="00E9242E" w:rsidRPr="00D8533D">
        <w:rPr>
          <w:rFonts w:cs="Arial"/>
          <w:szCs w:val="22"/>
          <w:highlight w:val="yellow"/>
        </w:rPr>
        <w:t xml:space="preserve">. In these </w:t>
      </w:r>
      <w:r w:rsidR="008B4F2C" w:rsidRPr="00D8533D">
        <w:rPr>
          <w:rFonts w:cs="Arial"/>
          <w:szCs w:val="22"/>
          <w:highlight w:val="yellow"/>
        </w:rPr>
        <w:t xml:space="preserve">alternative </w:t>
      </w:r>
      <w:r w:rsidR="00E9242E" w:rsidRPr="00D8533D">
        <w:rPr>
          <w:rFonts w:cs="Arial"/>
          <w:szCs w:val="22"/>
          <w:highlight w:val="yellow"/>
        </w:rPr>
        <w:t xml:space="preserve">modes, the conceptualisation, mobilisation of resources, construction and maintenance of the house is a household-driven endeavour, supported where possible by state, community </w:t>
      </w:r>
      <w:r w:rsidR="008B47BF" w:rsidRPr="00D8533D">
        <w:rPr>
          <w:rFonts w:cs="Arial"/>
          <w:szCs w:val="22"/>
          <w:highlight w:val="yellow"/>
        </w:rPr>
        <w:t>organization</w:t>
      </w:r>
      <w:r w:rsidR="00E9242E" w:rsidRPr="00D8533D">
        <w:rPr>
          <w:rFonts w:cs="Arial"/>
          <w:szCs w:val="22"/>
          <w:highlight w:val="yellow"/>
        </w:rPr>
        <w:t xml:space="preserve">s and </w:t>
      </w:r>
      <w:r w:rsidR="008B3A2A" w:rsidRPr="00D8533D">
        <w:rPr>
          <w:rFonts w:cs="Arial"/>
          <w:szCs w:val="22"/>
          <w:highlight w:val="yellow"/>
        </w:rPr>
        <w:t xml:space="preserve">where possible </w:t>
      </w:r>
      <w:r w:rsidR="00E9242E" w:rsidRPr="00D8533D">
        <w:rPr>
          <w:rFonts w:cs="Arial"/>
          <w:szCs w:val="22"/>
          <w:highlight w:val="yellow"/>
        </w:rPr>
        <w:t>private sector funding.</w:t>
      </w:r>
    </w:p>
    <w:p w14:paraId="37B0E81E" w14:textId="5C4B0D76" w:rsidR="00CF3F66" w:rsidRDefault="00191DBD" w:rsidP="008B3A2A">
      <w:pPr>
        <w:spacing w:line="360" w:lineRule="auto"/>
        <w:rPr>
          <w:rFonts w:cs="Arial"/>
          <w:szCs w:val="22"/>
        </w:rPr>
      </w:pPr>
      <w:r w:rsidRPr="007816AB">
        <w:rPr>
          <w:rFonts w:cs="Arial"/>
          <w:szCs w:val="22"/>
        </w:rPr>
        <w:t xml:space="preserve">As indicated in </w:t>
      </w:r>
      <w:r w:rsidRPr="008B4F2C">
        <w:rPr>
          <w:rFonts w:cs="Arial"/>
          <w:szCs w:val="22"/>
        </w:rPr>
        <w:t>Chapter 2,</w:t>
      </w:r>
      <w:r w:rsidRPr="007816AB">
        <w:rPr>
          <w:rFonts w:cs="Arial"/>
          <w:szCs w:val="22"/>
        </w:rPr>
        <w:t xml:space="preserve"> </w:t>
      </w:r>
      <w:r w:rsidR="00CF3F66" w:rsidRPr="00D8533D">
        <w:rPr>
          <w:rFonts w:cs="Arial"/>
          <w:szCs w:val="22"/>
          <w:highlight w:val="yellow"/>
        </w:rPr>
        <w:t xml:space="preserve">South Africa’s approach to providing </w:t>
      </w:r>
      <w:r w:rsidR="00E01C9B" w:rsidRPr="00D8533D">
        <w:rPr>
          <w:rFonts w:cs="Arial"/>
          <w:szCs w:val="22"/>
          <w:highlight w:val="yellow"/>
        </w:rPr>
        <w:t>subsidized</w:t>
      </w:r>
      <w:r w:rsidR="00CF3F66" w:rsidRPr="00D8533D">
        <w:rPr>
          <w:rFonts w:cs="Arial"/>
          <w:szCs w:val="22"/>
          <w:highlight w:val="yellow"/>
        </w:rPr>
        <w:t xml:space="preserve"> superstructures as a part of UISP programmes </w:t>
      </w:r>
      <w:r w:rsidRPr="00D8533D">
        <w:rPr>
          <w:rFonts w:cs="Arial"/>
          <w:szCs w:val="22"/>
          <w:highlight w:val="yellow"/>
        </w:rPr>
        <w:t xml:space="preserve">may not be </w:t>
      </w:r>
      <w:r w:rsidR="00CF3F66" w:rsidRPr="00D8533D">
        <w:rPr>
          <w:rFonts w:cs="Arial"/>
          <w:szCs w:val="22"/>
          <w:highlight w:val="yellow"/>
        </w:rPr>
        <w:t xml:space="preserve">fiscally nor political </w:t>
      </w:r>
      <w:r w:rsidRPr="00D8533D">
        <w:rPr>
          <w:rFonts w:cs="Arial"/>
          <w:szCs w:val="22"/>
          <w:highlight w:val="yellow"/>
        </w:rPr>
        <w:t>sustainable in the medium term</w:t>
      </w:r>
      <w:r w:rsidR="00CF3F66" w:rsidRPr="00D8533D">
        <w:rPr>
          <w:rFonts w:cs="Arial"/>
          <w:szCs w:val="22"/>
          <w:highlight w:val="yellow"/>
        </w:rPr>
        <w:t>, as pressure mounts for improved delivery performance</w:t>
      </w:r>
      <w:r w:rsidRPr="00D8533D">
        <w:rPr>
          <w:rFonts w:cs="Arial"/>
          <w:szCs w:val="22"/>
          <w:highlight w:val="yellow"/>
        </w:rPr>
        <w:t xml:space="preserve">. As a </w:t>
      </w:r>
      <w:r w:rsidR="00CF3F66" w:rsidRPr="00D8533D">
        <w:rPr>
          <w:rFonts w:cs="Arial"/>
          <w:szCs w:val="22"/>
          <w:highlight w:val="yellow"/>
        </w:rPr>
        <w:t xml:space="preserve">result, a </w:t>
      </w:r>
      <w:r w:rsidRPr="00D8533D">
        <w:rPr>
          <w:rFonts w:cs="Arial"/>
          <w:szCs w:val="22"/>
          <w:highlight w:val="yellow"/>
        </w:rPr>
        <w:t xml:space="preserve">greater focus is </w:t>
      </w:r>
      <w:r w:rsidR="00CF3F66" w:rsidRPr="00D8533D">
        <w:rPr>
          <w:rFonts w:cs="Arial"/>
          <w:szCs w:val="22"/>
          <w:highlight w:val="yellow"/>
        </w:rPr>
        <w:t xml:space="preserve">likely to be </w:t>
      </w:r>
      <w:r w:rsidRPr="00D8533D">
        <w:rPr>
          <w:rFonts w:cs="Arial"/>
          <w:szCs w:val="22"/>
          <w:highlight w:val="yellow"/>
        </w:rPr>
        <w:t>placed on delivery of tenure and basic services only through the UISP</w:t>
      </w:r>
      <w:r w:rsidR="00CF3F66" w:rsidRPr="00D8533D">
        <w:rPr>
          <w:rFonts w:cs="Arial"/>
          <w:szCs w:val="22"/>
          <w:highlight w:val="yellow"/>
        </w:rPr>
        <w:t>.</w:t>
      </w:r>
      <w:r w:rsidR="00CF3F66">
        <w:rPr>
          <w:rFonts w:cs="Arial"/>
          <w:szCs w:val="22"/>
        </w:rPr>
        <w:t xml:space="preserve"> This will require us to </w:t>
      </w:r>
      <w:r w:rsidRPr="007816AB">
        <w:rPr>
          <w:rFonts w:cs="Arial"/>
          <w:szCs w:val="22"/>
        </w:rPr>
        <w:t xml:space="preserve">revisit the </w:t>
      </w:r>
      <w:r w:rsidR="00CF3F66">
        <w:rPr>
          <w:rFonts w:cs="Arial"/>
          <w:szCs w:val="22"/>
        </w:rPr>
        <w:t xml:space="preserve">UISP’s delivery </w:t>
      </w:r>
      <w:r w:rsidRPr="007816AB">
        <w:rPr>
          <w:rFonts w:cs="Arial"/>
          <w:szCs w:val="22"/>
        </w:rPr>
        <w:t>modalities in order to assess how these processes can be facilitated in the absence of, or with a much more limited state investment</w:t>
      </w:r>
      <w:r w:rsidR="00CF3F66">
        <w:rPr>
          <w:rFonts w:cs="Arial"/>
          <w:szCs w:val="22"/>
        </w:rPr>
        <w:t xml:space="preserve"> in house subsidies</w:t>
      </w:r>
      <w:r w:rsidRPr="007816AB">
        <w:rPr>
          <w:rFonts w:cs="Arial"/>
          <w:szCs w:val="22"/>
        </w:rPr>
        <w:t xml:space="preserve">. </w:t>
      </w:r>
    </w:p>
    <w:p w14:paraId="27124712" w14:textId="4E260B1F" w:rsidR="009C50BD" w:rsidRDefault="009C50BD" w:rsidP="008B3A2A">
      <w:pPr>
        <w:spacing w:line="360" w:lineRule="auto"/>
        <w:rPr>
          <w:rFonts w:cs="Arial"/>
          <w:szCs w:val="22"/>
        </w:rPr>
      </w:pPr>
      <w:r>
        <w:rPr>
          <w:rFonts w:cs="Arial"/>
          <w:szCs w:val="22"/>
        </w:rPr>
        <w:t xml:space="preserve">In the medium term it is probable that fiscal realities will dictate a move away from the </w:t>
      </w:r>
      <w:r w:rsidRPr="00337D31">
        <w:rPr>
          <w:rFonts w:cs="Arial"/>
          <w:szCs w:val="22"/>
        </w:rPr>
        <w:t>state funded top structure dominant mode and the adoption of approaches to housing consolidation</w:t>
      </w:r>
      <w:r w:rsidR="008B3A2A">
        <w:rPr>
          <w:rFonts w:cs="Arial"/>
          <w:szCs w:val="22"/>
        </w:rPr>
        <w:t xml:space="preserve"> that</w:t>
      </w:r>
      <w:r w:rsidRPr="00337D31">
        <w:rPr>
          <w:rFonts w:cs="Arial"/>
          <w:szCs w:val="22"/>
        </w:rPr>
        <w:t xml:space="preserve"> have become mainstream in other parts of the developing world. </w:t>
      </w:r>
    </w:p>
    <w:p w14:paraId="7F285537" w14:textId="1C3DF47B" w:rsidR="00D249AC" w:rsidRDefault="00D249AC" w:rsidP="008B3A2A">
      <w:pPr>
        <w:spacing w:line="360" w:lineRule="auto"/>
        <w:rPr>
          <w:rFonts w:cs="Arial"/>
          <w:szCs w:val="22"/>
        </w:rPr>
      </w:pPr>
      <w:r w:rsidRPr="00D8533D">
        <w:rPr>
          <w:rFonts w:cs="Arial"/>
          <w:szCs w:val="22"/>
          <w:highlight w:val="yellow"/>
        </w:rPr>
        <w:t>In the short term</w:t>
      </w:r>
      <w:r w:rsidR="008B3A2A" w:rsidRPr="00D8533D">
        <w:rPr>
          <w:rFonts w:cs="Arial"/>
          <w:szCs w:val="22"/>
          <w:highlight w:val="yellow"/>
        </w:rPr>
        <w:t>,</w:t>
      </w:r>
      <w:r w:rsidRPr="00D8533D">
        <w:rPr>
          <w:rFonts w:cs="Arial"/>
          <w:szCs w:val="22"/>
          <w:highlight w:val="yellow"/>
        </w:rPr>
        <w:t xml:space="preserve"> however</w:t>
      </w:r>
      <w:r w:rsidR="008B3A2A" w:rsidRPr="00D8533D">
        <w:rPr>
          <w:rFonts w:cs="Arial"/>
          <w:szCs w:val="22"/>
          <w:highlight w:val="yellow"/>
        </w:rPr>
        <w:t>,</w:t>
      </w:r>
      <w:r w:rsidRPr="00D8533D">
        <w:rPr>
          <w:rFonts w:cs="Arial"/>
          <w:szCs w:val="22"/>
          <w:highlight w:val="yellow"/>
        </w:rPr>
        <w:t xml:space="preserve"> it is probable</w:t>
      </w:r>
      <w:r w:rsidR="008B3A2A" w:rsidRPr="00D8533D">
        <w:rPr>
          <w:rFonts w:cs="Arial"/>
          <w:szCs w:val="22"/>
          <w:highlight w:val="yellow"/>
        </w:rPr>
        <w:t xml:space="preserve"> that</w:t>
      </w:r>
      <w:r w:rsidRPr="00D8533D">
        <w:rPr>
          <w:rFonts w:cs="Arial"/>
          <w:szCs w:val="22"/>
          <w:highlight w:val="yellow"/>
        </w:rPr>
        <w:t xml:space="preserve"> political and community expectations in some contexts will dictate that the state funded top structure dominant mode should prevail in many projects. In Chapter </w:t>
      </w:r>
      <w:r w:rsidR="000652A6" w:rsidRPr="00D8533D">
        <w:rPr>
          <w:rFonts w:cs="Arial"/>
          <w:szCs w:val="22"/>
          <w:highlight w:val="yellow"/>
        </w:rPr>
        <w:t>5</w:t>
      </w:r>
      <w:r w:rsidRPr="00D8533D">
        <w:rPr>
          <w:rFonts w:cs="Arial"/>
          <w:szCs w:val="22"/>
          <w:highlight w:val="yellow"/>
        </w:rPr>
        <w:t xml:space="preserve"> we will discuss how projects of this type can be structured and financed in ways that reinforce the other upgrading work streams and maximise on the mobilisation and efficacy of private and community effort.</w:t>
      </w:r>
    </w:p>
    <w:p w14:paraId="41B198EE" w14:textId="4BC1A753" w:rsidR="004A04E3" w:rsidRDefault="006443CF" w:rsidP="008B3A2A">
      <w:pPr>
        <w:spacing w:line="360" w:lineRule="auto"/>
        <w:rPr>
          <w:rFonts w:cs="Arial"/>
          <w:szCs w:val="22"/>
        </w:rPr>
      </w:pPr>
      <w:r w:rsidRPr="00D8533D">
        <w:rPr>
          <w:rFonts w:cs="Arial"/>
          <w:szCs w:val="22"/>
          <w:highlight w:val="yellow"/>
        </w:rPr>
        <w:t xml:space="preserve">In some </w:t>
      </w:r>
      <w:r w:rsidR="008B3A2A" w:rsidRPr="00D8533D">
        <w:rPr>
          <w:rFonts w:cs="Arial"/>
          <w:szCs w:val="22"/>
          <w:highlight w:val="yellow"/>
        </w:rPr>
        <w:t>provinces</w:t>
      </w:r>
      <w:r w:rsidRPr="00D8533D">
        <w:rPr>
          <w:rFonts w:cs="Arial"/>
          <w:szCs w:val="22"/>
          <w:highlight w:val="yellow"/>
        </w:rPr>
        <w:t xml:space="preserve">, and </w:t>
      </w:r>
      <w:r w:rsidR="008B3A2A" w:rsidRPr="00D8533D">
        <w:rPr>
          <w:rFonts w:cs="Arial"/>
          <w:szCs w:val="22"/>
          <w:highlight w:val="yellow"/>
        </w:rPr>
        <w:t xml:space="preserve">metro’s </w:t>
      </w:r>
      <w:r w:rsidRPr="00D8533D">
        <w:rPr>
          <w:rFonts w:cs="Arial"/>
          <w:szCs w:val="22"/>
          <w:highlight w:val="yellow"/>
        </w:rPr>
        <w:t xml:space="preserve">in the short and medium term however the fiscal realities associated with state led top provision </w:t>
      </w:r>
      <w:r w:rsidR="002B6055" w:rsidRPr="00D8533D">
        <w:rPr>
          <w:rFonts w:cs="Arial"/>
          <w:szCs w:val="22"/>
          <w:highlight w:val="yellow"/>
        </w:rPr>
        <w:t xml:space="preserve">will prompt a move to an  alternative, modes that </w:t>
      </w:r>
      <w:r w:rsidR="00337D31" w:rsidRPr="00D8533D">
        <w:rPr>
          <w:rFonts w:cs="Arial"/>
          <w:szCs w:val="22"/>
          <w:highlight w:val="yellow"/>
        </w:rPr>
        <w:t xml:space="preserve"> involve a combination </w:t>
      </w:r>
      <w:r w:rsidR="002B6055" w:rsidRPr="00D8533D">
        <w:rPr>
          <w:rFonts w:cs="Arial"/>
          <w:szCs w:val="22"/>
          <w:highlight w:val="yellow"/>
        </w:rPr>
        <w:t>(</w:t>
      </w:r>
      <w:r w:rsidR="00337D31" w:rsidRPr="00D8533D">
        <w:rPr>
          <w:rFonts w:cs="Arial"/>
          <w:szCs w:val="22"/>
          <w:highlight w:val="yellow"/>
        </w:rPr>
        <w:t>or blending</w:t>
      </w:r>
      <w:r w:rsidR="002B6055" w:rsidRPr="00D8533D">
        <w:rPr>
          <w:rFonts w:cs="Arial"/>
          <w:szCs w:val="22"/>
          <w:highlight w:val="yellow"/>
        </w:rPr>
        <w:t>)</w:t>
      </w:r>
      <w:r w:rsidR="00337D31" w:rsidRPr="00D8533D">
        <w:rPr>
          <w:rFonts w:cs="Arial"/>
          <w:szCs w:val="22"/>
          <w:highlight w:val="yellow"/>
        </w:rPr>
        <w:t xml:space="preserve"> of state, private, community and NGO inputs</w:t>
      </w:r>
      <w:r w:rsidR="002B6055" w:rsidRPr="00D8533D">
        <w:rPr>
          <w:rFonts w:cs="Arial"/>
          <w:szCs w:val="22"/>
          <w:highlight w:val="yellow"/>
        </w:rPr>
        <w:t>. W</w:t>
      </w:r>
      <w:r w:rsidR="00337D31" w:rsidRPr="00D8533D">
        <w:rPr>
          <w:rFonts w:cs="Arial"/>
          <w:szCs w:val="22"/>
          <w:highlight w:val="yellow"/>
        </w:rPr>
        <w:t xml:space="preserve">e have termed this mode the </w:t>
      </w:r>
      <w:r w:rsidR="00337D31" w:rsidRPr="00D8533D">
        <w:rPr>
          <w:rFonts w:cs="Arial"/>
          <w:b/>
          <w:szCs w:val="22"/>
          <w:highlight w:val="yellow"/>
        </w:rPr>
        <w:t>blended mode</w:t>
      </w:r>
      <w:r w:rsidR="00337D31" w:rsidRPr="00D8533D">
        <w:rPr>
          <w:rFonts w:cs="Arial"/>
          <w:szCs w:val="22"/>
          <w:highlight w:val="yellow"/>
        </w:rPr>
        <w:t>.</w:t>
      </w:r>
      <w:r w:rsidR="00357D07">
        <w:rPr>
          <w:rFonts w:cs="Arial"/>
          <w:szCs w:val="22"/>
        </w:rPr>
        <w:t xml:space="preserve"> </w:t>
      </w:r>
      <w:r w:rsidR="00CF3F66">
        <w:rPr>
          <w:rFonts w:cs="Arial"/>
          <w:szCs w:val="22"/>
        </w:rPr>
        <w:t xml:space="preserve">Including a blended house delivery approach in UISP projects, in parallel with (or as a substitution for) the </w:t>
      </w:r>
      <w:r w:rsidR="00C45F7D" w:rsidRPr="007816AB">
        <w:rPr>
          <w:rFonts w:cs="Arial"/>
          <w:szCs w:val="22"/>
        </w:rPr>
        <w:t>state-dominant house delivery paradigm requires new understandings, new approaches and the application of new tools. Importantly, it requires a much deeper engagement with households themselves, as well as with a wide range of actors involved in upgrading and shelter construction.</w:t>
      </w:r>
      <w:r w:rsidR="00C45F7D">
        <w:rPr>
          <w:rFonts w:cs="Arial"/>
          <w:szCs w:val="22"/>
        </w:rPr>
        <w:t xml:space="preserve"> </w:t>
      </w:r>
      <w:r w:rsidR="00CF3F66">
        <w:rPr>
          <w:rFonts w:cs="Arial"/>
          <w:szCs w:val="22"/>
        </w:rPr>
        <w:t xml:space="preserve">This is </w:t>
      </w:r>
      <w:r w:rsidR="00337D31">
        <w:rPr>
          <w:rFonts w:cs="Arial"/>
          <w:szCs w:val="22"/>
        </w:rPr>
        <w:t xml:space="preserve">the core focus of this document and will be examined in Chapter </w:t>
      </w:r>
      <w:r w:rsidR="000652A6">
        <w:rPr>
          <w:rFonts w:cs="Arial"/>
          <w:szCs w:val="22"/>
        </w:rPr>
        <w:t>6</w:t>
      </w:r>
      <w:r w:rsidR="00337D31">
        <w:rPr>
          <w:rFonts w:cs="Arial"/>
          <w:szCs w:val="22"/>
        </w:rPr>
        <w:t>.</w:t>
      </w:r>
    </w:p>
    <w:p w14:paraId="43E9062F" w14:textId="77777777" w:rsidR="00777E03" w:rsidRDefault="00777E03" w:rsidP="008B3A2A">
      <w:pPr>
        <w:spacing w:line="360" w:lineRule="auto"/>
        <w:rPr>
          <w:rFonts w:cs="Arial"/>
          <w:szCs w:val="22"/>
        </w:rPr>
      </w:pPr>
    </w:p>
    <w:p w14:paraId="5D9F0A72" w14:textId="77777777" w:rsidR="00777E03" w:rsidRDefault="00777E03" w:rsidP="008B3A2A">
      <w:pPr>
        <w:spacing w:line="360" w:lineRule="auto"/>
        <w:rPr>
          <w:rFonts w:cs="Arial"/>
          <w:szCs w:val="22"/>
        </w:rPr>
      </w:pPr>
    </w:p>
    <w:p w14:paraId="4A326AF5" w14:textId="77777777" w:rsidR="00777E03" w:rsidRDefault="00777E03" w:rsidP="008B3A2A">
      <w:pPr>
        <w:spacing w:line="360" w:lineRule="auto"/>
        <w:rPr>
          <w:rFonts w:cs="Arial"/>
          <w:szCs w:val="22"/>
        </w:rPr>
      </w:pPr>
    </w:p>
    <w:p w14:paraId="6280EBB6" w14:textId="5F3CF810" w:rsidR="001D590D" w:rsidRPr="00F845C0" w:rsidRDefault="001D590D" w:rsidP="00540DD7">
      <w:pPr>
        <w:pStyle w:val="Heading2"/>
      </w:pPr>
      <w:bookmarkStart w:id="143" w:name="_Toc261617601"/>
      <w:bookmarkStart w:id="144" w:name="_Toc262067815"/>
      <w:bookmarkStart w:id="145" w:name="_Toc270946024"/>
      <w:r w:rsidRPr="00F845C0">
        <w:t xml:space="preserve">Framework for </w:t>
      </w:r>
      <w:r w:rsidR="00A25EF0">
        <w:t xml:space="preserve">Understanding </w:t>
      </w:r>
      <w:r w:rsidR="00E46A3F">
        <w:t xml:space="preserve">Supporting </w:t>
      </w:r>
      <w:r w:rsidR="00BA09E0" w:rsidRPr="00F845C0">
        <w:t>House</w:t>
      </w:r>
      <w:r w:rsidRPr="00F845C0">
        <w:t xml:space="preserve"> Consolidation</w:t>
      </w:r>
      <w:r w:rsidR="00A25EF0">
        <w:t xml:space="preserve"> in in situ informal settlement </w:t>
      </w:r>
      <w:bookmarkEnd w:id="143"/>
      <w:bookmarkEnd w:id="144"/>
      <w:r w:rsidR="008B3A2A">
        <w:t>upgrading</w:t>
      </w:r>
      <w:bookmarkEnd w:id="145"/>
      <w:r w:rsidR="008B3A2A">
        <w:t xml:space="preserve">  </w:t>
      </w:r>
    </w:p>
    <w:p w14:paraId="39609B4B" w14:textId="77777777" w:rsidR="00777E03" w:rsidRDefault="00777E03" w:rsidP="00C15D3B">
      <w:pPr>
        <w:spacing w:line="360" w:lineRule="auto"/>
        <w:rPr>
          <w:rFonts w:cs="Arial"/>
          <w:szCs w:val="22"/>
        </w:rPr>
      </w:pPr>
    </w:p>
    <w:p w14:paraId="3713D3D3" w14:textId="4D432CC3" w:rsidR="00A40EAF" w:rsidRPr="0072461A" w:rsidRDefault="0072461A" w:rsidP="00C15D3B">
      <w:pPr>
        <w:spacing w:line="360" w:lineRule="auto"/>
        <w:rPr>
          <w:rFonts w:cs="Arial"/>
          <w:szCs w:val="22"/>
        </w:rPr>
      </w:pPr>
      <w:r w:rsidRPr="0072461A">
        <w:rPr>
          <w:rFonts w:cs="Arial"/>
          <w:szCs w:val="22"/>
        </w:rPr>
        <w:t xml:space="preserve">This section will </w:t>
      </w:r>
      <w:r>
        <w:rPr>
          <w:rFonts w:cs="Arial"/>
          <w:szCs w:val="22"/>
        </w:rPr>
        <w:t>outline</w:t>
      </w:r>
      <w:r w:rsidRPr="0072461A">
        <w:rPr>
          <w:rFonts w:cs="Arial"/>
          <w:szCs w:val="22"/>
        </w:rPr>
        <w:t xml:space="preserve"> </w:t>
      </w:r>
      <w:r>
        <w:rPr>
          <w:rFonts w:cs="Arial"/>
          <w:szCs w:val="22"/>
        </w:rPr>
        <w:t xml:space="preserve">what routes or options exist for shelter consolidation in UISP projects.  The </w:t>
      </w:r>
      <w:r w:rsidRPr="0072461A">
        <w:rPr>
          <w:rFonts w:cs="Arial"/>
          <w:szCs w:val="22"/>
        </w:rPr>
        <w:t xml:space="preserve">following </w:t>
      </w:r>
      <w:r>
        <w:rPr>
          <w:rFonts w:cs="Arial"/>
          <w:szCs w:val="22"/>
        </w:rPr>
        <w:t>continuums will be considered</w:t>
      </w:r>
      <w:r w:rsidRPr="0072461A">
        <w:rPr>
          <w:rFonts w:cs="Arial"/>
          <w:szCs w:val="22"/>
        </w:rPr>
        <w:t>:</w:t>
      </w:r>
    </w:p>
    <w:p w14:paraId="41866DA6" w14:textId="033D3C55" w:rsidR="00D82895" w:rsidRPr="00480B16" w:rsidRDefault="00D82895" w:rsidP="0055634E">
      <w:pPr>
        <w:pStyle w:val="ListParagraph"/>
        <w:numPr>
          <w:ilvl w:val="0"/>
          <w:numId w:val="10"/>
        </w:numPr>
        <w:ind w:left="720"/>
        <w:rPr>
          <w:rFonts w:cs="Arial"/>
          <w:highlight w:val="yellow"/>
        </w:rPr>
      </w:pPr>
      <w:r w:rsidRPr="00480B16">
        <w:rPr>
          <w:rFonts w:cs="Arial"/>
          <w:b/>
          <w:highlight w:val="yellow"/>
        </w:rPr>
        <w:t xml:space="preserve">Effective Demand for Housing: </w:t>
      </w:r>
      <w:r w:rsidRPr="00480B16">
        <w:rPr>
          <w:rFonts w:cs="Arial"/>
          <w:highlight w:val="yellow"/>
        </w:rPr>
        <w:t>What factors determine whether, and how much households can invest in their housing</w:t>
      </w:r>
      <w:r w:rsidR="00337D31" w:rsidRPr="00480B16">
        <w:rPr>
          <w:rFonts w:cs="Arial"/>
          <w:highlight w:val="yellow"/>
        </w:rPr>
        <w:t>?</w:t>
      </w:r>
    </w:p>
    <w:p w14:paraId="3F4E0977" w14:textId="5F404498" w:rsidR="00AB5984" w:rsidRPr="00480B16" w:rsidRDefault="00AB5984" w:rsidP="0055634E">
      <w:pPr>
        <w:pStyle w:val="ListParagraph"/>
        <w:numPr>
          <w:ilvl w:val="0"/>
          <w:numId w:val="10"/>
        </w:numPr>
        <w:ind w:left="720"/>
        <w:rPr>
          <w:rFonts w:cs="Arial"/>
          <w:highlight w:val="yellow"/>
        </w:rPr>
      </w:pPr>
      <w:r w:rsidRPr="00480B16">
        <w:rPr>
          <w:rFonts w:cs="Arial"/>
          <w:b/>
          <w:highlight w:val="yellow"/>
        </w:rPr>
        <w:t>Actors and Roles</w:t>
      </w:r>
      <w:r w:rsidRPr="00480B16">
        <w:rPr>
          <w:rFonts w:cs="Arial"/>
          <w:highlight w:val="yellow"/>
        </w:rPr>
        <w:t>: Which actors are best suited to perform what roles in the house development / consolidation process</w:t>
      </w:r>
      <w:r w:rsidR="00337D31" w:rsidRPr="00480B16">
        <w:rPr>
          <w:rFonts w:cs="Arial"/>
          <w:highlight w:val="yellow"/>
        </w:rPr>
        <w:t>?</w:t>
      </w:r>
    </w:p>
    <w:p w14:paraId="328E35F8" w14:textId="46C5C541" w:rsidR="0072461A" w:rsidRPr="00480B16" w:rsidRDefault="0072461A" w:rsidP="0055634E">
      <w:pPr>
        <w:pStyle w:val="ListParagraph"/>
        <w:numPr>
          <w:ilvl w:val="0"/>
          <w:numId w:val="10"/>
        </w:numPr>
        <w:ind w:left="720"/>
        <w:rPr>
          <w:rFonts w:cs="Arial"/>
          <w:highlight w:val="yellow"/>
        </w:rPr>
      </w:pPr>
      <w:r w:rsidRPr="00480B16">
        <w:rPr>
          <w:rFonts w:cs="Arial"/>
          <w:b/>
          <w:highlight w:val="yellow"/>
        </w:rPr>
        <w:t>House Development</w:t>
      </w:r>
      <w:r w:rsidR="00825D41" w:rsidRPr="00480B16">
        <w:rPr>
          <w:rFonts w:cs="Arial"/>
          <w:b/>
          <w:highlight w:val="yellow"/>
        </w:rPr>
        <w:t xml:space="preserve"> Strategy</w:t>
      </w:r>
      <w:r w:rsidRPr="00480B16">
        <w:rPr>
          <w:rFonts w:cs="Arial"/>
          <w:highlight w:val="yellow"/>
        </w:rPr>
        <w:t xml:space="preserve">: </w:t>
      </w:r>
      <w:r w:rsidR="00184D73" w:rsidRPr="00480B16">
        <w:rPr>
          <w:rFonts w:cs="Arial"/>
          <w:highlight w:val="yellow"/>
        </w:rPr>
        <w:t>Who is primarily responsible for</w:t>
      </w:r>
      <w:r w:rsidRPr="00480B16">
        <w:rPr>
          <w:rFonts w:cs="Arial"/>
          <w:highlight w:val="yellow"/>
        </w:rPr>
        <w:t xml:space="preserve"> </w:t>
      </w:r>
      <w:r w:rsidR="00C45F7D" w:rsidRPr="00480B16">
        <w:rPr>
          <w:rFonts w:cs="Arial"/>
          <w:highlight w:val="yellow"/>
        </w:rPr>
        <w:t>house</w:t>
      </w:r>
      <w:r w:rsidRPr="00480B16">
        <w:rPr>
          <w:rFonts w:cs="Arial"/>
          <w:highlight w:val="yellow"/>
        </w:rPr>
        <w:t xml:space="preserve"> consolidation</w:t>
      </w:r>
      <w:r w:rsidR="00C45F7D" w:rsidRPr="00480B16">
        <w:rPr>
          <w:rFonts w:cs="Arial"/>
          <w:highlight w:val="yellow"/>
        </w:rPr>
        <w:t>, and what resources are available for houses</w:t>
      </w:r>
      <w:r w:rsidR="00337D31" w:rsidRPr="00480B16">
        <w:rPr>
          <w:rFonts w:cs="Arial"/>
          <w:highlight w:val="yellow"/>
        </w:rPr>
        <w:t xml:space="preserve">? </w:t>
      </w:r>
    </w:p>
    <w:p w14:paraId="4D886517" w14:textId="64DE3BD3" w:rsidR="0072461A" w:rsidRPr="00480B16" w:rsidRDefault="0072461A" w:rsidP="0055634E">
      <w:pPr>
        <w:pStyle w:val="ListParagraph"/>
        <w:numPr>
          <w:ilvl w:val="0"/>
          <w:numId w:val="10"/>
        </w:numPr>
        <w:ind w:left="720"/>
        <w:rPr>
          <w:rFonts w:cs="Arial"/>
          <w:highlight w:val="yellow"/>
        </w:rPr>
      </w:pPr>
      <w:r w:rsidRPr="00480B16">
        <w:rPr>
          <w:rFonts w:cs="Arial"/>
          <w:b/>
          <w:highlight w:val="yellow"/>
        </w:rPr>
        <w:t>State Resource</w:t>
      </w:r>
      <w:r w:rsidR="00061509" w:rsidRPr="00480B16">
        <w:rPr>
          <w:rFonts w:cs="Arial"/>
          <w:b/>
          <w:highlight w:val="yellow"/>
        </w:rPr>
        <w:t xml:space="preserve"> Availability</w:t>
      </w:r>
      <w:r w:rsidRPr="00480B16">
        <w:rPr>
          <w:rFonts w:cs="Arial"/>
          <w:highlight w:val="yellow"/>
        </w:rPr>
        <w:t xml:space="preserve">: </w:t>
      </w:r>
      <w:r w:rsidR="00184D73" w:rsidRPr="00480B16">
        <w:rPr>
          <w:rFonts w:cs="Arial"/>
          <w:highlight w:val="yellow"/>
        </w:rPr>
        <w:t xml:space="preserve">Are </w:t>
      </w:r>
      <w:r w:rsidRPr="00480B16">
        <w:rPr>
          <w:rFonts w:cs="Arial"/>
          <w:highlight w:val="yellow"/>
        </w:rPr>
        <w:t>state resources are available for house construction</w:t>
      </w:r>
      <w:r w:rsidR="00184D73" w:rsidRPr="00480B16">
        <w:rPr>
          <w:rFonts w:cs="Arial"/>
          <w:highlight w:val="yellow"/>
        </w:rPr>
        <w:t xml:space="preserve">, and to what </w:t>
      </w:r>
      <w:r w:rsidR="000652A6" w:rsidRPr="00480B16">
        <w:rPr>
          <w:rFonts w:cs="Arial"/>
          <w:highlight w:val="yellow"/>
        </w:rPr>
        <w:t>extent?</w:t>
      </w:r>
    </w:p>
    <w:p w14:paraId="1D5B5C0E" w14:textId="5CFFC21B" w:rsidR="007F7B79" w:rsidRPr="009C50BD" w:rsidRDefault="00FC777E" w:rsidP="004C6311">
      <w:pPr>
        <w:pStyle w:val="Heading3"/>
      </w:pPr>
      <w:bookmarkStart w:id="146" w:name="_Toc261617602"/>
      <w:bookmarkStart w:id="147" w:name="_Toc262067816"/>
      <w:bookmarkStart w:id="148" w:name="_Toc262068142"/>
      <w:r w:rsidRPr="009C50BD">
        <w:t>Effective Demand for</w:t>
      </w:r>
      <w:r w:rsidR="007F7B79" w:rsidRPr="009C50BD">
        <w:t xml:space="preserve"> House Construction</w:t>
      </w:r>
      <w:r w:rsidRPr="009C50BD">
        <w:t xml:space="preserve"> and Consolidation</w:t>
      </w:r>
      <w:bookmarkEnd w:id="146"/>
      <w:bookmarkEnd w:id="147"/>
      <w:bookmarkEnd w:id="148"/>
    </w:p>
    <w:p w14:paraId="51068968" w14:textId="4B3E16D5" w:rsidR="007F7B79" w:rsidRDefault="00FC777E" w:rsidP="008B3A2A">
      <w:pPr>
        <w:spacing w:line="360" w:lineRule="auto"/>
        <w:rPr>
          <w:rFonts w:cs="Arial"/>
          <w:szCs w:val="22"/>
        </w:rPr>
      </w:pPr>
      <w:r w:rsidRPr="00FC777E">
        <w:rPr>
          <w:rFonts w:cs="Arial"/>
          <w:szCs w:val="22"/>
        </w:rPr>
        <w:t>In order for a household to construct or consolidate their house, they must have</w:t>
      </w:r>
      <w:r w:rsidR="008B3A2A">
        <w:rPr>
          <w:rFonts w:cs="Arial"/>
          <w:szCs w:val="22"/>
        </w:rPr>
        <w:t xml:space="preserve"> an</w:t>
      </w:r>
      <w:r w:rsidRPr="00FC777E">
        <w:rPr>
          <w:rFonts w:cs="Arial"/>
          <w:szCs w:val="22"/>
        </w:rPr>
        <w:t xml:space="preserve"> effective demand to do so.  Effective Demand is the interplay between a household’s </w:t>
      </w:r>
      <w:r w:rsidR="00594F85" w:rsidRPr="00420735">
        <w:rPr>
          <w:rFonts w:cs="Arial"/>
          <w:b/>
          <w:szCs w:val="22"/>
        </w:rPr>
        <w:t>AMBITION</w:t>
      </w:r>
      <w:r w:rsidR="00594F85">
        <w:rPr>
          <w:rFonts w:cs="Arial"/>
          <w:szCs w:val="22"/>
        </w:rPr>
        <w:t>, or willingness to develop housing</w:t>
      </w:r>
      <w:r w:rsidRPr="00FC777E">
        <w:rPr>
          <w:rFonts w:cs="Arial"/>
          <w:szCs w:val="22"/>
        </w:rPr>
        <w:t xml:space="preserve">, </w:t>
      </w:r>
      <w:r w:rsidR="00594F85">
        <w:rPr>
          <w:rFonts w:cs="Arial"/>
          <w:szCs w:val="22"/>
        </w:rPr>
        <w:t xml:space="preserve">the household’s </w:t>
      </w:r>
      <w:r w:rsidR="00594F85" w:rsidRPr="00420735">
        <w:rPr>
          <w:rFonts w:cs="Arial"/>
          <w:b/>
          <w:szCs w:val="22"/>
        </w:rPr>
        <w:t>AFFORDABILITY</w:t>
      </w:r>
      <w:r w:rsidR="00594F85">
        <w:rPr>
          <w:rFonts w:cs="Arial"/>
          <w:szCs w:val="22"/>
        </w:rPr>
        <w:t xml:space="preserve"> </w:t>
      </w:r>
      <w:r w:rsidR="008B3A2A">
        <w:rPr>
          <w:rFonts w:cs="Arial"/>
          <w:szCs w:val="22"/>
        </w:rPr>
        <w:t xml:space="preserve">i.e. their capacity </w:t>
      </w:r>
      <w:r w:rsidR="00594F85">
        <w:rPr>
          <w:rFonts w:cs="Arial"/>
          <w:szCs w:val="22"/>
        </w:rPr>
        <w:t xml:space="preserve">to pay for the input costs required and their </w:t>
      </w:r>
      <w:r w:rsidR="00594F85" w:rsidRPr="00420735">
        <w:rPr>
          <w:rFonts w:cs="Arial"/>
          <w:b/>
          <w:szCs w:val="22"/>
        </w:rPr>
        <w:t>ABILITY</w:t>
      </w:r>
      <w:r w:rsidRPr="00FC777E">
        <w:rPr>
          <w:rFonts w:cs="Arial"/>
          <w:szCs w:val="22"/>
        </w:rPr>
        <w:t xml:space="preserve"> to mobilise the resources and skills required to undertake the housing construction or improvement.</w:t>
      </w:r>
      <w:r>
        <w:rPr>
          <w:rFonts w:cs="Arial"/>
          <w:szCs w:val="22"/>
        </w:rPr>
        <w:t xml:space="preserve"> </w:t>
      </w:r>
      <w:r w:rsidR="00594F85">
        <w:rPr>
          <w:rFonts w:cs="Arial"/>
          <w:szCs w:val="22"/>
        </w:rPr>
        <w:t xml:space="preserve">The factors that determine each of these three corners of the effective demand triangle are illustrated in </w:t>
      </w:r>
      <w:r w:rsidR="008B3A2A">
        <w:rPr>
          <w:rFonts w:cs="Arial"/>
          <w:szCs w:val="22"/>
        </w:rPr>
        <w:fldChar w:fldCharType="begin"/>
      </w:r>
      <w:r w:rsidR="008B3A2A">
        <w:rPr>
          <w:rFonts w:cs="Arial"/>
          <w:szCs w:val="22"/>
        </w:rPr>
        <w:instrText xml:space="preserve"> REF _Ref388617219 \h </w:instrText>
      </w:r>
      <w:r w:rsidR="008B3A2A">
        <w:rPr>
          <w:rFonts w:cs="Arial"/>
          <w:szCs w:val="22"/>
        </w:rPr>
      </w:r>
      <w:r w:rsidR="008B3A2A">
        <w:rPr>
          <w:rFonts w:cs="Arial"/>
          <w:szCs w:val="22"/>
        </w:rPr>
        <w:fldChar w:fldCharType="separate"/>
      </w:r>
      <w:r w:rsidR="00E9048A">
        <w:rPr>
          <w:rFonts w:cs="Arial"/>
          <w:b/>
          <w:szCs w:val="22"/>
        </w:rPr>
        <w:t>Error! Reference source not found.</w:t>
      </w:r>
      <w:r w:rsidR="008B3A2A">
        <w:rPr>
          <w:rFonts w:cs="Arial"/>
          <w:szCs w:val="22"/>
        </w:rPr>
        <w:fldChar w:fldCharType="end"/>
      </w:r>
      <w:r w:rsidR="008B3A2A">
        <w:rPr>
          <w:rFonts w:cs="Arial"/>
          <w:szCs w:val="22"/>
        </w:rPr>
        <w:t xml:space="preserve"> </w:t>
      </w:r>
      <w:r w:rsidR="00594F85">
        <w:rPr>
          <w:rFonts w:cs="Arial"/>
          <w:szCs w:val="22"/>
        </w:rPr>
        <w:t>below.</w:t>
      </w:r>
    </w:p>
    <w:p w14:paraId="7A572208" w14:textId="67BA0351" w:rsidR="00594F85" w:rsidRDefault="00E01C9B" w:rsidP="00FC777E">
      <w:pPr>
        <w:spacing w:line="360" w:lineRule="auto"/>
        <w:ind w:left="567"/>
        <w:rPr>
          <w:rFonts w:cs="Arial"/>
          <w:szCs w:val="22"/>
        </w:rPr>
      </w:pPr>
      <w:bookmarkStart w:id="149" w:name="_Toc261617603"/>
      <w:bookmarkStart w:id="150" w:name="_Toc262067817"/>
      <w:bookmarkStart w:id="151" w:name="_Toc262068143"/>
      <w:r w:rsidRPr="00594F85">
        <w:rPr>
          <w:noProof/>
          <w:lang w:val="en-US"/>
        </w:rPr>
        <w:lastRenderedPageBreak/>
        <w:drawing>
          <wp:inline distT="0" distB="0" distL="0" distR="0" wp14:anchorId="627DFAF5" wp14:editId="16116552">
            <wp:extent cx="4452372" cy="4134206"/>
            <wp:effectExtent l="0" t="0" r="571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l="14718" r="10364" b="5675"/>
                    <a:stretch/>
                  </pic:blipFill>
                  <pic:spPr bwMode="auto">
                    <a:xfrm>
                      <a:off x="0" y="0"/>
                      <a:ext cx="4452880" cy="4134678"/>
                    </a:xfrm>
                    <a:prstGeom prst="rect">
                      <a:avLst/>
                    </a:prstGeom>
                    <a:noFill/>
                    <a:ln>
                      <a:noFill/>
                    </a:ln>
                    <a:extLst>
                      <a:ext uri="{53640926-AAD7-44d8-BBD7-CCE9431645EC}">
                        <a14:shadowObscured xmlns:a14="http://schemas.microsoft.com/office/drawing/2010/main"/>
                      </a:ext>
                    </a:extLst>
                  </pic:spPr>
                </pic:pic>
              </a:graphicData>
            </a:graphic>
          </wp:inline>
        </w:drawing>
      </w:r>
      <w:bookmarkEnd w:id="149"/>
      <w:bookmarkEnd w:id="150"/>
      <w:bookmarkEnd w:id="151"/>
    </w:p>
    <w:p w14:paraId="4B2CBE78" w14:textId="6FB55F61" w:rsidR="00594F85" w:rsidRPr="008E39E7" w:rsidRDefault="008E39E7" w:rsidP="00CF1919">
      <w:pPr>
        <w:pStyle w:val="Caption"/>
      </w:pPr>
      <w:bookmarkStart w:id="152" w:name="_Toc270945512"/>
      <w:r w:rsidRPr="008E39E7">
        <w:t xml:space="preserve">Figure </w:t>
      </w:r>
      <w:r w:rsidRPr="008E39E7">
        <w:fldChar w:fldCharType="begin"/>
      </w:r>
      <w:r w:rsidRPr="008E39E7">
        <w:instrText xml:space="preserve"> SEQ Figure \* ARABIC </w:instrText>
      </w:r>
      <w:r w:rsidRPr="008E39E7">
        <w:fldChar w:fldCharType="separate"/>
      </w:r>
      <w:r w:rsidR="00E9048A">
        <w:rPr>
          <w:noProof/>
        </w:rPr>
        <w:t>9</w:t>
      </w:r>
      <w:r w:rsidRPr="008E39E7">
        <w:fldChar w:fldCharType="end"/>
      </w:r>
      <w:r w:rsidR="009C50BD" w:rsidRPr="008E39E7">
        <w:t xml:space="preserve">: </w:t>
      </w:r>
      <w:r w:rsidR="00594F85" w:rsidRPr="008E39E7">
        <w:t>Factors Influencing Effective Demand for Housing Consolidation</w:t>
      </w:r>
      <w:bookmarkEnd w:id="152"/>
    </w:p>
    <w:p w14:paraId="7C5BEFDD" w14:textId="77777777" w:rsidR="003A0CCC" w:rsidRDefault="003A0CCC" w:rsidP="003A0CCC"/>
    <w:p w14:paraId="7F5EB54B" w14:textId="77777777" w:rsidR="008B3A2A" w:rsidRDefault="008B3A2A" w:rsidP="00DB038D">
      <w:pPr>
        <w:pStyle w:val="Heading3"/>
        <w:numPr>
          <w:ilvl w:val="3"/>
          <w:numId w:val="53"/>
        </w:numPr>
      </w:pPr>
      <w:r>
        <w:t>Ambition to Consolidate Housing</w:t>
      </w:r>
    </w:p>
    <w:p w14:paraId="6F5E0C02" w14:textId="77777777" w:rsidR="008B3A2A" w:rsidRPr="007C6363" w:rsidRDefault="008B3A2A" w:rsidP="00250EA9">
      <w:pPr>
        <w:spacing w:line="360" w:lineRule="auto"/>
        <w:rPr>
          <w:rFonts w:cs="Arial"/>
          <w:szCs w:val="22"/>
        </w:rPr>
      </w:pPr>
      <w:r w:rsidRPr="007C6363">
        <w:rPr>
          <w:rFonts w:cs="Arial"/>
          <w:szCs w:val="22"/>
        </w:rPr>
        <w:t>The most critical influencer on housing consolidation is the household’s need or desire to improve their own housing conditions.  The main factors contributing to this are:</w:t>
      </w:r>
    </w:p>
    <w:p w14:paraId="5322F6B1" w14:textId="661E1B62" w:rsidR="008B3A2A" w:rsidRPr="003A0CCC" w:rsidRDefault="008B3A2A" w:rsidP="0055634E">
      <w:pPr>
        <w:pStyle w:val="ListParagraph"/>
        <w:numPr>
          <w:ilvl w:val="0"/>
          <w:numId w:val="11"/>
        </w:numPr>
        <w:ind w:left="720"/>
      </w:pPr>
      <w:r w:rsidRPr="00393459">
        <w:rPr>
          <w:rFonts w:cs="Arial"/>
          <w:b/>
        </w:rPr>
        <w:t xml:space="preserve">Need for Housing: </w:t>
      </w:r>
      <w:r w:rsidRPr="00393459">
        <w:rPr>
          <w:rFonts w:cs="Arial"/>
        </w:rPr>
        <w:t>To many lower income households, the house is central to livelihood strategies. It is shelter, home, as well as a role player in income generation through secondary businesses or the provision of rental accommodation (Charlton, Gardner, Rubin, 2014 forthcoming).</w:t>
      </w:r>
    </w:p>
    <w:p w14:paraId="395926F7" w14:textId="0EA564D8" w:rsidR="00420735" w:rsidRDefault="00420735" w:rsidP="0055634E">
      <w:pPr>
        <w:pStyle w:val="ListParagraph"/>
        <w:numPr>
          <w:ilvl w:val="0"/>
          <w:numId w:val="11"/>
        </w:numPr>
        <w:ind w:left="720"/>
        <w:rPr>
          <w:rFonts w:cs="Arial"/>
        </w:rPr>
      </w:pPr>
      <w:r w:rsidRPr="00420735">
        <w:rPr>
          <w:rFonts w:cs="Arial"/>
          <w:b/>
        </w:rPr>
        <w:t xml:space="preserve">Knowledge of Housing </w:t>
      </w:r>
      <w:r>
        <w:rPr>
          <w:rFonts w:cs="Arial"/>
          <w:b/>
        </w:rPr>
        <w:t xml:space="preserve">Processes / </w:t>
      </w:r>
      <w:r w:rsidRPr="00420735">
        <w:rPr>
          <w:rFonts w:cs="Arial"/>
          <w:b/>
        </w:rPr>
        <w:t>Markets</w:t>
      </w:r>
      <w:r>
        <w:rPr>
          <w:rFonts w:cs="Arial"/>
        </w:rPr>
        <w:t>: The desire of households to develop or improve their accommodation is influenced by their understanding of how housing markets operate.  A lack of knowledge is a major constraint to being able to mobilise resources and undertake home consolidation</w:t>
      </w:r>
      <w:r w:rsidR="00F8635A">
        <w:rPr>
          <w:rFonts w:cs="Arial"/>
        </w:rPr>
        <w:t>, and hence mechanisms to improve knowledge can have impacts on the nature and rate of house consolidation</w:t>
      </w:r>
      <w:r>
        <w:rPr>
          <w:rFonts w:cs="Arial"/>
        </w:rPr>
        <w:t>.</w:t>
      </w:r>
    </w:p>
    <w:p w14:paraId="1F1F42BE" w14:textId="2AA30891" w:rsidR="00420735" w:rsidRDefault="00420735" w:rsidP="0055634E">
      <w:pPr>
        <w:pStyle w:val="ListParagraph"/>
        <w:numPr>
          <w:ilvl w:val="0"/>
          <w:numId w:val="11"/>
        </w:numPr>
        <w:ind w:left="720"/>
        <w:rPr>
          <w:rFonts w:cs="Arial"/>
        </w:rPr>
      </w:pPr>
      <w:r>
        <w:rPr>
          <w:rFonts w:cs="Arial"/>
          <w:b/>
        </w:rPr>
        <w:lastRenderedPageBreak/>
        <w:t>Alternatives Available</w:t>
      </w:r>
      <w:r w:rsidRPr="00420735">
        <w:rPr>
          <w:rFonts w:cs="Arial"/>
        </w:rPr>
        <w:t>:</w:t>
      </w:r>
      <w:r>
        <w:rPr>
          <w:rFonts w:cs="Arial"/>
        </w:rPr>
        <w:t xml:space="preserve"> Households will weigh up the relative merits of </w:t>
      </w:r>
      <w:r w:rsidR="007C6363">
        <w:rPr>
          <w:rFonts w:cs="Arial"/>
        </w:rPr>
        <w:t xml:space="preserve">different accommodation alternatives available to them, and what they perceive are possible strategies for improving their housing conditions.  The most important considerations here are whether households have been informed, or think there is the potential of securing </w:t>
      </w:r>
      <w:r w:rsidR="00E01C9B">
        <w:rPr>
          <w:rFonts w:cs="Arial"/>
        </w:rPr>
        <w:t>subsidized</w:t>
      </w:r>
      <w:r w:rsidR="007C6363">
        <w:rPr>
          <w:rFonts w:cs="Arial"/>
        </w:rPr>
        <w:t xml:space="preserve"> accommodation. </w:t>
      </w:r>
      <w:r w:rsidR="00393459">
        <w:rPr>
          <w:rFonts w:cs="Arial"/>
        </w:rPr>
        <w:t>In addition there is the consideration of</w:t>
      </w:r>
      <w:r w:rsidR="007C6363">
        <w:rPr>
          <w:rFonts w:cs="Arial"/>
        </w:rPr>
        <w:t xml:space="preserve"> whether </w:t>
      </w:r>
      <w:r w:rsidR="00F0718F">
        <w:rPr>
          <w:rFonts w:cs="Arial"/>
        </w:rPr>
        <w:t>households</w:t>
      </w:r>
      <w:r w:rsidR="007C6363">
        <w:rPr>
          <w:rFonts w:cs="Arial"/>
        </w:rPr>
        <w:t xml:space="preserve"> in ISU programmes wish to be included in the more formalized housing processes that result, or prefer (or are only able to afford) the less-formal accommodation options in informal settlements</w:t>
      </w:r>
      <w:r w:rsidR="00393459">
        <w:rPr>
          <w:rFonts w:cs="Arial"/>
        </w:rPr>
        <w:t xml:space="preserve"> </w:t>
      </w:r>
      <w:r w:rsidR="007C6363" w:rsidRPr="00DA4876">
        <w:rPr>
          <w:rFonts w:cs="Arial"/>
        </w:rPr>
        <w:t>(Burgess</w:t>
      </w:r>
      <w:r w:rsidR="00DA4876">
        <w:rPr>
          <w:rFonts w:cs="Arial"/>
        </w:rPr>
        <w:t>’</w:t>
      </w:r>
      <w:r w:rsidR="007C6363" w:rsidRPr="00DA4876">
        <w:rPr>
          <w:rFonts w:cs="Arial"/>
        </w:rPr>
        <w:t xml:space="preserve"> </w:t>
      </w:r>
      <w:r w:rsidR="00DA4876">
        <w:rPr>
          <w:rFonts w:cs="Arial"/>
        </w:rPr>
        <w:t>‘</w:t>
      </w:r>
      <w:r w:rsidR="007C6363" w:rsidRPr="00DA4876">
        <w:rPr>
          <w:rFonts w:cs="Arial"/>
        </w:rPr>
        <w:t>State-Finished</w:t>
      </w:r>
      <w:r w:rsidR="00DA4876">
        <w:rPr>
          <w:rFonts w:cs="Arial"/>
        </w:rPr>
        <w:t>’</w:t>
      </w:r>
      <w:r w:rsidR="007C6363" w:rsidRPr="00DA4876">
        <w:rPr>
          <w:rFonts w:cs="Arial"/>
        </w:rPr>
        <w:t>)</w:t>
      </w:r>
      <w:r w:rsidR="00DA4876">
        <w:rPr>
          <w:rFonts w:cs="Arial"/>
        </w:rPr>
        <w:t>.</w:t>
      </w:r>
    </w:p>
    <w:p w14:paraId="7CFCEF78" w14:textId="591E0663" w:rsidR="007C6363" w:rsidRDefault="007C6363" w:rsidP="0055634E">
      <w:pPr>
        <w:pStyle w:val="ListParagraph"/>
        <w:numPr>
          <w:ilvl w:val="0"/>
          <w:numId w:val="11"/>
        </w:numPr>
        <w:ind w:left="720"/>
        <w:rPr>
          <w:rFonts w:cs="Arial"/>
        </w:rPr>
      </w:pPr>
      <w:r>
        <w:rPr>
          <w:rFonts w:cs="Arial"/>
          <w:b/>
        </w:rPr>
        <w:t>Tenure Choice</w:t>
      </w:r>
      <w:r w:rsidRPr="007C6363">
        <w:rPr>
          <w:rFonts w:cs="Arial"/>
        </w:rPr>
        <w:t>:</w:t>
      </w:r>
      <w:r>
        <w:rPr>
          <w:rFonts w:cs="Arial"/>
        </w:rPr>
        <w:t xml:space="preserve"> Certain households may not want to own their own accommodation, or may not be able to afford the transaction costs of upgraded accommodation. For certain households, preference for rental may influence their aspirations for improving their own accommodation. Where ISU programmes only provide freehold tenure, there are likely to be a portion of households who do not want, or cannot access this.</w:t>
      </w:r>
    </w:p>
    <w:p w14:paraId="45C2E854" w14:textId="75786663" w:rsidR="007C6363" w:rsidRDefault="007C6363" w:rsidP="0055634E">
      <w:pPr>
        <w:pStyle w:val="ListParagraph"/>
        <w:numPr>
          <w:ilvl w:val="0"/>
          <w:numId w:val="11"/>
        </w:numPr>
        <w:ind w:left="720"/>
        <w:rPr>
          <w:rFonts w:cs="Arial"/>
        </w:rPr>
      </w:pPr>
      <w:r>
        <w:rPr>
          <w:rFonts w:cs="Arial"/>
          <w:b/>
        </w:rPr>
        <w:t>Institutional / Government Constraints</w:t>
      </w:r>
      <w:r w:rsidRPr="007C6363">
        <w:rPr>
          <w:rFonts w:cs="Arial"/>
        </w:rPr>
        <w:t>:</w:t>
      </w:r>
      <w:r>
        <w:rPr>
          <w:rFonts w:cs="Arial"/>
        </w:rPr>
        <w:t xml:space="preserve"> The process of home building can be complex and is influenced by a range of town planning and building regulations and constraints. The extent to which these may be overcome or simplified affects households’ willingness to improve their houses.</w:t>
      </w:r>
    </w:p>
    <w:p w14:paraId="66E95DEE" w14:textId="193A2245" w:rsidR="00337264" w:rsidRPr="007C6363" w:rsidRDefault="00337264" w:rsidP="0055634E">
      <w:pPr>
        <w:pStyle w:val="ListParagraph"/>
        <w:numPr>
          <w:ilvl w:val="0"/>
          <w:numId w:val="11"/>
        </w:numPr>
        <w:ind w:left="720"/>
        <w:rPr>
          <w:rFonts w:cs="Arial"/>
        </w:rPr>
      </w:pPr>
      <w:r>
        <w:rPr>
          <w:rFonts w:cs="Arial"/>
          <w:b/>
        </w:rPr>
        <w:t>Public Investment</w:t>
      </w:r>
      <w:r w:rsidRPr="00337264">
        <w:rPr>
          <w:rFonts w:cs="Arial"/>
        </w:rPr>
        <w:t>:</w:t>
      </w:r>
      <w:r>
        <w:rPr>
          <w:rFonts w:cs="Arial"/>
        </w:rPr>
        <w:t xml:space="preserve"> </w:t>
      </w:r>
      <w:r w:rsidR="003A0CCC">
        <w:rPr>
          <w:rFonts w:cs="Arial"/>
        </w:rPr>
        <w:t xml:space="preserve">The process of first-phase (tenure and services) and second-phase (social facilities and municipal service delivery) public investment can also influence households’ decision to invest in a specific area, </w:t>
      </w:r>
      <w:r w:rsidR="00393459">
        <w:rPr>
          <w:rFonts w:cs="Arial"/>
        </w:rPr>
        <w:t xml:space="preserve">i.e. </w:t>
      </w:r>
      <w:r w:rsidR="003A0CCC">
        <w:rPr>
          <w:rFonts w:cs="Arial"/>
        </w:rPr>
        <w:t xml:space="preserve">as </w:t>
      </w:r>
      <w:r w:rsidR="00393459">
        <w:rPr>
          <w:rFonts w:cs="Arial"/>
        </w:rPr>
        <w:t xml:space="preserve">a settlement </w:t>
      </w:r>
      <w:r w:rsidR="003A0CCC">
        <w:rPr>
          <w:rFonts w:cs="Arial"/>
        </w:rPr>
        <w:t>becomes more welcoming and progressively becomes ‘home’ rather than ‘shelter’</w:t>
      </w:r>
      <w:r w:rsidR="00393459">
        <w:rPr>
          <w:rFonts w:cs="Arial"/>
        </w:rPr>
        <w:t xml:space="preserve"> households may become more willing to invest</w:t>
      </w:r>
      <w:r w:rsidR="003A0CCC">
        <w:rPr>
          <w:rFonts w:cs="Arial"/>
        </w:rPr>
        <w:t>.</w:t>
      </w:r>
    </w:p>
    <w:p w14:paraId="1FD6D1FD" w14:textId="77777777" w:rsidR="00594F85" w:rsidRDefault="00594F85" w:rsidP="00DB038D">
      <w:pPr>
        <w:pStyle w:val="Heading3"/>
        <w:numPr>
          <w:ilvl w:val="3"/>
          <w:numId w:val="53"/>
        </w:numPr>
      </w:pPr>
      <w:bookmarkStart w:id="153" w:name="_Toc261617604"/>
      <w:bookmarkStart w:id="154" w:name="_Toc262067818"/>
      <w:bookmarkStart w:id="155" w:name="_Toc262068144"/>
      <w:r>
        <w:t>Affordability of Housing Improvements</w:t>
      </w:r>
      <w:bookmarkEnd w:id="153"/>
      <w:bookmarkEnd w:id="154"/>
      <w:bookmarkEnd w:id="155"/>
      <w:r>
        <w:t xml:space="preserve"> </w:t>
      </w:r>
    </w:p>
    <w:p w14:paraId="05C7B079" w14:textId="1050957B" w:rsidR="007C6363" w:rsidRDefault="007C6363" w:rsidP="00393459">
      <w:pPr>
        <w:spacing w:line="360" w:lineRule="auto"/>
        <w:rPr>
          <w:rFonts w:cs="Arial"/>
          <w:szCs w:val="22"/>
        </w:rPr>
      </w:pPr>
      <w:r>
        <w:rPr>
          <w:rFonts w:cs="Arial"/>
          <w:szCs w:val="22"/>
        </w:rPr>
        <w:t>While ambition or willingness is the first parameter for house consolidation, the ability of households to afford house improvement is the second critical factor.</w:t>
      </w:r>
      <w:r w:rsidR="00D85FD3">
        <w:rPr>
          <w:rFonts w:cs="Arial"/>
          <w:szCs w:val="22"/>
        </w:rPr>
        <w:t xml:space="preserve"> Affordability is determined by the interplay between the following:</w:t>
      </w:r>
    </w:p>
    <w:p w14:paraId="11B78D01" w14:textId="5A8C930F" w:rsidR="00D85FD3" w:rsidRDefault="00D85FD3" w:rsidP="0055634E">
      <w:pPr>
        <w:pStyle w:val="ListParagraph"/>
        <w:numPr>
          <w:ilvl w:val="0"/>
          <w:numId w:val="11"/>
        </w:numPr>
        <w:ind w:left="720"/>
        <w:rPr>
          <w:rFonts w:cs="Arial"/>
          <w:b/>
        </w:rPr>
      </w:pPr>
      <w:r>
        <w:rPr>
          <w:rFonts w:cs="Arial"/>
          <w:b/>
        </w:rPr>
        <w:t xml:space="preserve">Subsidy Availability: </w:t>
      </w:r>
      <w:r w:rsidR="00E47C0F">
        <w:rPr>
          <w:rFonts w:cs="Arial"/>
        </w:rPr>
        <w:t xml:space="preserve">The availability of any subsidy </w:t>
      </w:r>
      <w:r w:rsidR="00E871C2">
        <w:rPr>
          <w:rFonts w:cs="Arial"/>
        </w:rPr>
        <w:t xml:space="preserve">for top structure development, </w:t>
      </w:r>
      <w:r w:rsidR="00E47C0F">
        <w:rPr>
          <w:rFonts w:cs="Arial"/>
        </w:rPr>
        <w:t>beyond the basic subsidy used to upgrade tenure and basic infrastructure in ISU projects</w:t>
      </w:r>
      <w:r w:rsidR="00E871C2">
        <w:rPr>
          <w:rFonts w:cs="Arial"/>
        </w:rPr>
        <w:t xml:space="preserve">, </w:t>
      </w:r>
      <w:r w:rsidR="00337264">
        <w:rPr>
          <w:rFonts w:cs="Arial"/>
        </w:rPr>
        <w:t xml:space="preserve">as well as how this subsidy is applied to house consolidation, are critical determinants of households’ ability to raise capital for house construction.  </w:t>
      </w:r>
      <w:r w:rsidR="00F018B0">
        <w:rPr>
          <w:rFonts w:cs="Arial"/>
        </w:rPr>
        <w:t xml:space="preserve">Evenness of subsidy application in ISU programmes and relocation areas is also an important </w:t>
      </w:r>
      <w:r w:rsidR="00F018B0">
        <w:rPr>
          <w:rFonts w:cs="Arial"/>
        </w:rPr>
        <w:lastRenderedPageBreak/>
        <w:t>determinant in encouraging house upgrading</w:t>
      </w:r>
      <w:r w:rsidR="00F8635A">
        <w:rPr>
          <w:rFonts w:cs="Arial"/>
        </w:rPr>
        <w:t xml:space="preserve">, in order to ensure all affected households are developing from similar levels of state support for housing. </w:t>
      </w:r>
      <w:r w:rsidR="00F018B0">
        <w:rPr>
          <w:rFonts w:cs="Arial"/>
        </w:rPr>
        <w:t xml:space="preserve"> </w:t>
      </w:r>
    </w:p>
    <w:p w14:paraId="6C7014DD" w14:textId="7947514C" w:rsidR="00D85FD3" w:rsidRDefault="00D85FD3" w:rsidP="0055634E">
      <w:pPr>
        <w:pStyle w:val="ListParagraph"/>
        <w:numPr>
          <w:ilvl w:val="0"/>
          <w:numId w:val="11"/>
        </w:numPr>
        <w:ind w:left="720"/>
        <w:rPr>
          <w:rFonts w:cs="Arial"/>
          <w:b/>
        </w:rPr>
      </w:pPr>
      <w:r>
        <w:rPr>
          <w:rFonts w:cs="Arial"/>
          <w:b/>
        </w:rPr>
        <w:t xml:space="preserve">Savings: </w:t>
      </w:r>
      <w:r>
        <w:rPr>
          <w:rFonts w:cs="Arial"/>
        </w:rPr>
        <w:t>Money saved</w:t>
      </w:r>
      <w:r w:rsidR="005C5BDF">
        <w:rPr>
          <w:rFonts w:cs="Arial"/>
        </w:rPr>
        <w:t>,</w:t>
      </w:r>
      <w:r>
        <w:rPr>
          <w:rFonts w:cs="Arial"/>
        </w:rPr>
        <w:t xml:space="preserve"> o</w:t>
      </w:r>
      <w:r w:rsidR="005C5BDF">
        <w:rPr>
          <w:rFonts w:cs="Arial"/>
        </w:rPr>
        <w:t xml:space="preserve">r building materials stockpiled by households (including materials previously invested in primary accommodation in informal settlements prior to upgrading) provide a base for new house development. Most households in ISU programmes follow a multi-year cycle of save / stockpile / build, rather than a once-off mobilization of resources and construction of housing.   </w:t>
      </w:r>
    </w:p>
    <w:p w14:paraId="1F356879" w14:textId="71C5A82B" w:rsidR="00D85FD3" w:rsidRDefault="00D85FD3" w:rsidP="0055634E">
      <w:pPr>
        <w:pStyle w:val="ListParagraph"/>
        <w:numPr>
          <w:ilvl w:val="0"/>
          <w:numId w:val="11"/>
        </w:numPr>
        <w:ind w:left="720"/>
        <w:rPr>
          <w:rFonts w:cs="Arial"/>
          <w:b/>
        </w:rPr>
      </w:pPr>
      <w:r>
        <w:rPr>
          <w:rFonts w:cs="Arial"/>
          <w:b/>
        </w:rPr>
        <w:t>Disposable Income</w:t>
      </w:r>
      <w:r w:rsidR="00E47C0F">
        <w:rPr>
          <w:rFonts w:cs="Arial"/>
          <w:b/>
        </w:rPr>
        <w:t xml:space="preserve">: </w:t>
      </w:r>
      <w:r w:rsidR="00E47C0F">
        <w:rPr>
          <w:rFonts w:cs="Arial"/>
        </w:rPr>
        <w:t xml:space="preserve">Households’ affordability for housing investment and credit repayment is determined by the amount of income available after all other household expenditure is accounted for </w:t>
      </w:r>
      <w:r w:rsidR="00393459">
        <w:rPr>
          <w:rFonts w:cs="Arial"/>
        </w:rPr>
        <w:t xml:space="preserve">and prioritized </w:t>
      </w:r>
      <w:r w:rsidR="00E47C0F">
        <w:rPr>
          <w:rFonts w:cs="Arial"/>
        </w:rPr>
        <w:t xml:space="preserve">(food, transport, education, </w:t>
      </w:r>
      <w:r w:rsidR="00F8635A">
        <w:rPr>
          <w:rFonts w:cs="Arial"/>
        </w:rPr>
        <w:t>etc.</w:t>
      </w:r>
      <w:r w:rsidR="00E47C0F">
        <w:rPr>
          <w:rFonts w:cs="Arial"/>
        </w:rPr>
        <w:t>). Given the low incomes of many households in ISU schemes, this is a major constraint on households’ ability to afford improvements or mobilise credit for house construction.</w:t>
      </w:r>
    </w:p>
    <w:p w14:paraId="0F691FB7" w14:textId="6AB52A82" w:rsidR="00D85FD3" w:rsidRDefault="00D85FD3" w:rsidP="0055634E">
      <w:pPr>
        <w:pStyle w:val="ListParagraph"/>
        <w:numPr>
          <w:ilvl w:val="0"/>
          <w:numId w:val="11"/>
        </w:numPr>
        <w:ind w:left="720"/>
        <w:rPr>
          <w:rFonts w:cs="Arial"/>
          <w:b/>
        </w:rPr>
      </w:pPr>
      <w:r>
        <w:rPr>
          <w:rFonts w:cs="Arial"/>
          <w:b/>
        </w:rPr>
        <w:t>Credit Availability</w:t>
      </w:r>
      <w:r w:rsidR="005C5BDF">
        <w:rPr>
          <w:rFonts w:cs="Arial"/>
          <w:b/>
        </w:rPr>
        <w:t xml:space="preserve">: </w:t>
      </w:r>
      <w:r w:rsidR="005C5BDF">
        <w:rPr>
          <w:rFonts w:cs="Arial"/>
        </w:rPr>
        <w:t xml:space="preserve">Households’ ability to access credit </w:t>
      </w:r>
      <w:r w:rsidR="00337264">
        <w:rPr>
          <w:rFonts w:cs="Arial"/>
        </w:rPr>
        <w:t xml:space="preserve">for house construction or improvement is a key affordability determinant.  Credit can include one or more of the following: building materials credit; </w:t>
      </w:r>
      <w:r w:rsidR="00F8635A">
        <w:rPr>
          <w:rFonts w:cs="Arial"/>
        </w:rPr>
        <w:t xml:space="preserve">loans from family and friends, </w:t>
      </w:r>
      <w:r w:rsidR="00337264">
        <w:rPr>
          <w:rFonts w:cs="Arial"/>
        </w:rPr>
        <w:t>revolving credit schemes, unsecured small loans; pension-backed loans; and/or mortgage finance. These are discussed in more detail in</w:t>
      </w:r>
      <w:r w:rsidR="00E2211D">
        <w:rPr>
          <w:rFonts w:cs="Arial"/>
        </w:rPr>
        <w:t xml:space="preserve"> Section</w:t>
      </w:r>
      <w:r w:rsidR="00337264">
        <w:rPr>
          <w:rFonts w:cs="Arial"/>
        </w:rPr>
        <w:t xml:space="preserve"> </w:t>
      </w:r>
      <w:r w:rsidR="00E2211D" w:rsidRPr="00E2211D">
        <w:rPr>
          <w:rFonts w:cs="Arial"/>
        </w:rPr>
        <w:fldChar w:fldCharType="begin"/>
      </w:r>
      <w:r w:rsidR="00E2211D" w:rsidRPr="00E2211D">
        <w:rPr>
          <w:rFonts w:cs="Arial"/>
        </w:rPr>
        <w:instrText xml:space="preserve"> REF _Ref262056683 \w \h </w:instrText>
      </w:r>
      <w:r w:rsidR="00E2211D" w:rsidRPr="00E2211D">
        <w:rPr>
          <w:rFonts w:cs="Arial"/>
        </w:rPr>
      </w:r>
      <w:r w:rsidR="00E2211D" w:rsidRPr="00E2211D">
        <w:rPr>
          <w:rFonts w:cs="Arial"/>
        </w:rPr>
        <w:fldChar w:fldCharType="separate"/>
      </w:r>
      <w:r w:rsidR="00E9048A">
        <w:rPr>
          <w:rFonts w:cs="Arial"/>
        </w:rPr>
        <w:t>6.6</w:t>
      </w:r>
      <w:r w:rsidR="00E2211D" w:rsidRPr="00E2211D">
        <w:rPr>
          <w:rFonts w:cs="Arial"/>
        </w:rPr>
        <w:fldChar w:fldCharType="end"/>
      </w:r>
      <w:r w:rsidR="00337264" w:rsidRPr="00E2211D">
        <w:rPr>
          <w:rFonts w:cs="Arial"/>
        </w:rPr>
        <w:t>.</w:t>
      </w:r>
    </w:p>
    <w:p w14:paraId="2CD3F5BC" w14:textId="46D17D7F" w:rsidR="00D85FD3" w:rsidRPr="00D85FD3" w:rsidRDefault="00D85FD3" w:rsidP="0055634E">
      <w:pPr>
        <w:pStyle w:val="ListParagraph"/>
        <w:numPr>
          <w:ilvl w:val="0"/>
          <w:numId w:val="11"/>
        </w:numPr>
        <w:ind w:left="720"/>
        <w:rPr>
          <w:rFonts w:cs="Arial"/>
        </w:rPr>
      </w:pPr>
      <w:r>
        <w:rPr>
          <w:rFonts w:cs="Arial"/>
          <w:b/>
        </w:rPr>
        <w:t xml:space="preserve">Household </w:t>
      </w:r>
      <w:r w:rsidR="00393459">
        <w:rPr>
          <w:rFonts w:cs="Arial"/>
          <w:b/>
        </w:rPr>
        <w:t xml:space="preserve">and </w:t>
      </w:r>
      <w:r w:rsidR="00337264">
        <w:rPr>
          <w:rFonts w:cs="Arial"/>
          <w:b/>
        </w:rPr>
        <w:t xml:space="preserve">Community </w:t>
      </w:r>
      <w:r>
        <w:rPr>
          <w:rFonts w:cs="Arial"/>
          <w:b/>
        </w:rPr>
        <w:t xml:space="preserve">Contributions: </w:t>
      </w:r>
      <w:r w:rsidRPr="00D85FD3">
        <w:rPr>
          <w:rFonts w:cs="Arial"/>
        </w:rPr>
        <w:t>Finally, the amount of own contribution (‘sweat equity’) a household or a group of households are willing to commit to realizing their housing needs will influence how far the resources they can mobilise will go towards meeting their housing ambitions.</w:t>
      </w:r>
      <w:r w:rsidR="00337264">
        <w:rPr>
          <w:rFonts w:cs="Arial"/>
        </w:rPr>
        <w:t xml:space="preserve"> This includes </w:t>
      </w:r>
      <w:r w:rsidR="00F018B0">
        <w:rPr>
          <w:rFonts w:cs="Arial"/>
        </w:rPr>
        <w:t xml:space="preserve">effort invested through </w:t>
      </w:r>
      <w:r w:rsidR="00337264">
        <w:rPr>
          <w:rFonts w:cs="Arial"/>
        </w:rPr>
        <w:t xml:space="preserve">programmes that </w:t>
      </w:r>
      <w:r w:rsidR="00F018B0">
        <w:rPr>
          <w:rFonts w:cs="Arial"/>
        </w:rPr>
        <w:t>mobilise</w:t>
      </w:r>
      <w:r w:rsidR="00337264">
        <w:rPr>
          <w:rFonts w:cs="Arial"/>
        </w:rPr>
        <w:t xml:space="preserve"> a gr</w:t>
      </w:r>
      <w:r w:rsidR="00F018B0">
        <w:rPr>
          <w:rFonts w:cs="Arial"/>
        </w:rPr>
        <w:t>oup of households together in an organized home building approach to house construction</w:t>
      </w:r>
      <w:r w:rsidR="00393459">
        <w:rPr>
          <w:rFonts w:cs="Arial"/>
        </w:rPr>
        <w:t xml:space="preserve"> i.e. stokvels and savings clubs</w:t>
      </w:r>
      <w:r w:rsidR="00F018B0">
        <w:rPr>
          <w:rFonts w:cs="Arial"/>
        </w:rPr>
        <w:t>.</w:t>
      </w:r>
    </w:p>
    <w:p w14:paraId="20DFC5B0" w14:textId="46FEE8A1" w:rsidR="00594F85" w:rsidRDefault="00594F85" w:rsidP="00DB038D">
      <w:pPr>
        <w:pStyle w:val="Heading3"/>
        <w:numPr>
          <w:ilvl w:val="3"/>
          <w:numId w:val="53"/>
        </w:numPr>
      </w:pPr>
      <w:bookmarkStart w:id="156" w:name="_Toc261617605"/>
      <w:bookmarkStart w:id="157" w:name="_Toc262067819"/>
      <w:bookmarkStart w:id="158" w:name="_Toc262068145"/>
      <w:r>
        <w:t>Access to Goods and Services for Consolidation</w:t>
      </w:r>
      <w:bookmarkEnd w:id="156"/>
      <w:bookmarkEnd w:id="157"/>
      <w:bookmarkEnd w:id="158"/>
    </w:p>
    <w:p w14:paraId="317D5F7E" w14:textId="26AD28A3" w:rsidR="00337264" w:rsidRPr="00337264" w:rsidRDefault="00337264" w:rsidP="00393459">
      <w:pPr>
        <w:spacing w:line="360" w:lineRule="auto"/>
        <w:rPr>
          <w:rFonts w:cs="Arial"/>
          <w:szCs w:val="22"/>
        </w:rPr>
      </w:pPr>
      <w:r>
        <w:rPr>
          <w:rFonts w:cs="Arial"/>
          <w:szCs w:val="22"/>
        </w:rPr>
        <w:t>Even with the ambition to improve housing and the affordability to do so, households are unable to achieve this unless they are able to mobilise</w:t>
      </w:r>
      <w:r w:rsidR="00393459">
        <w:rPr>
          <w:rFonts w:cs="Arial"/>
          <w:szCs w:val="22"/>
        </w:rPr>
        <w:t>:</w:t>
      </w:r>
    </w:p>
    <w:p w14:paraId="79F48670" w14:textId="60C4CA76" w:rsidR="00337264" w:rsidRDefault="00337264" w:rsidP="0055634E">
      <w:pPr>
        <w:pStyle w:val="ListParagraph"/>
        <w:numPr>
          <w:ilvl w:val="0"/>
          <w:numId w:val="11"/>
        </w:numPr>
        <w:ind w:left="720"/>
        <w:rPr>
          <w:rFonts w:cs="Arial"/>
          <w:b/>
        </w:rPr>
      </w:pPr>
      <w:r>
        <w:rPr>
          <w:rFonts w:cs="Arial"/>
          <w:b/>
        </w:rPr>
        <w:t xml:space="preserve">Tenure Security:  </w:t>
      </w:r>
      <w:r w:rsidR="00F018B0">
        <w:rPr>
          <w:rFonts w:cs="Arial"/>
        </w:rPr>
        <w:t>A fundamental condition for house improvement is tenure security.  Evidence suggests that from the moment an informal settlement is formally recognized, households are more willing to invest in their accommodation, as the fear of losing this investment diminishes. Once formal tenure is transferred to households, this also becomes an important incentive to investment, and is also a basic condition for certain categories of asset-backed finance.</w:t>
      </w:r>
    </w:p>
    <w:p w14:paraId="22E97729" w14:textId="7BB71E03" w:rsidR="00337264" w:rsidRDefault="00337264" w:rsidP="0055634E">
      <w:pPr>
        <w:pStyle w:val="ListParagraph"/>
        <w:numPr>
          <w:ilvl w:val="0"/>
          <w:numId w:val="11"/>
        </w:numPr>
        <w:ind w:left="720"/>
        <w:rPr>
          <w:rFonts w:cs="Arial"/>
          <w:b/>
        </w:rPr>
      </w:pPr>
      <w:r>
        <w:rPr>
          <w:rFonts w:cs="Arial"/>
          <w:b/>
        </w:rPr>
        <w:lastRenderedPageBreak/>
        <w:t>Management</w:t>
      </w:r>
      <w:r w:rsidR="00F018B0">
        <w:rPr>
          <w:rFonts w:cs="Arial"/>
          <w:b/>
        </w:rPr>
        <w:t xml:space="preserve"> Skills:  </w:t>
      </w:r>
      <w:r w:rsidR="00F018B0">
        <w:rPr>
          <w:rFonts w:cs="Arial"/>
        </w:rPr>
        <w:t>Households’ ability to manage the process of house upgrading is uneven, and determines how successful home construction may be.  Assisting households to develop these skills, or how to outsource them can facilitate the pace and success of construction.</w:t>
      </w:r>
    </w:p>
    <w:p w14:paraId="4EC4F74F" w14:textId="39071D87" w:rsidR="00337264" w:rsidRDefault="00337264" w:rsidP="0055634E">
      <w:pPr>
        <w:pStyle w:val="ListParagraph"/>
        <w:numPr>
          <w:ilvl w:val="0"/>
          <w:numId w:val="11"/>
        </w:numPr>
        <w:ind w:left="720"/>
        <w:rPr>
          <w:rFonts w:cs="Arial"/>
          <w:b/>
        </w:rPr>
      </w:pPr>
      <w:r>
        <w:rPr>
          <w:rFonts w:cs="Arial"/>
          <w:b/>
        </w:rPr>
        <w:t>Technical Support</w:t>
      </w:r>
      <w:r w:rsidR="00F018B0">
        <w:rPr>
          <w:rFonts w:cs="Arial"/>
          <w:b/>
        </w:rPr>
        <w:t xml:space="preserve">: </w:t>
      </w:r>
      <w:r w:rsidR="00F018B0">
        <w:rPr>
          <w:rFonts w:cs="Arial"/>
        </w:rPr>
        <w:t>Households are not inherently skilled at home construction. As a result, there are a range of technical support activities that can assist households to improve accommodation, including building plan development, plan costing, contracting support and access to credit.</w:t>
      </w:r>
    </w:p>
    <w:p w14:paraId="2A3D132B" w14:textId="3B074AE8" w:rsidR="00337264" w:rsidRDefault="00337264" w:rsidP="0055634E">
      <w:pPr>
        <w:pStyle w:val="ListParagraph"/>
        <w:numPr>
          <w:ilvl w:val="0"/>
          <w:numId w:val="11"/>
        </w:numPr>
        <w:ind w:left="720"/>
        <w:rPr>
          <w:rFonts w:cs="Arial"/>
          <w:b/>
        </w:rPr>
      </w:pPr>
      <w:r>
        <w:rPr>
          <w:rFonts w:cs="Arial"/>
          <w:b/>
        </w:rPr>
        <w:t>Building Materials</w:t>
      </w:r>
      <w:r w:rsidR="00F018B0">
        <w:rPr>
          <w:rFonts w:cs="Arial"/>
          <w:b/>
        </w:rPr>
        <w:t xml:space="preserve"> Procurement: </w:t>
      </w:r>
      <w:r w:rsidR="00F018B0">
        <w:rPr>
          <w:rFonts w:cs="Arial"/>
        </w:rPr>
        <w:t>Initiatives geared at improving access to affordable, appropriate building materials in close proximity to ISU areas can substantially assist house upgrading. Furthermore, considering opportunities for appropriate localized building materials development technologies (e.g. brick making and truss manufacture) can also facilitate this process.</w:t>
      </w:r>
    </w:p>
    <w:p w14:paraId="0E93ED1F" w14:textId="22019B46" w:rsidR="00594F85" w:rsidRPr="00250EA9" w:rsidRDefault="00337264" w:rsidP="0055634E">
      <w:pPr>
        <w:pStyle w:val="ListParagraph"/>
        <w:numPr>
          <w:ilvl w:val="0"/>
          <w:numId w:val="11"/>
        </w:numPr>
        <w:ind w:left="720"/>
        <w:rPr>
          <w:rFonts w:cs="Arial"/>
          <w:b/>
        </w:rPr>
      </w:pPr>
      <w:r>
        <w:rPr>
          <w:rFonts w:cs="Arial"/>
          <w:b/>
        </w:rPr>
        <w:t>Contractor</w:t>
      </w:r>
      <w:r w:rsidR="00F018B0">
        <w:rPr>
          <w:rFonts w:cs="Arial"/>
          <w:b/>
        </w:rPr>
        <w:t xml:space="preserve"> Development</w:t>
      </w:r>
      <w:r>
        <w:rPr>
          <w:rFonts w:cs="Arial"/>
          <w:b/>
        </w:rPr>
        <w:t xml:space="preserve">: </w:t>
      </w:r>
      <w:r w:rsidR="00F018B0">
        <w:rPr>
          <w:rFonts w:cs="Arial"/>
        </w:rPr>
        <w:t xml:space="preserve">While most communities have a cadre of contractors who can assist with house development, the skillsets of contractors can be very uneven.  Developmental activities aimed at improving small contractor skills and professionalism, and ensuring they are able to develop accommodation that meets statutory norms and standards, </w:t>
      </w:r>
      <w:r w:rsidR="00107423">
        <w:rPr>
          <w:rFonts w:cs="Arial"/>
        </w:rPr>
        <w:t>can facilitate house construction in ISU settlements.</w:t>
      </w:r>
    </w:p>
    <w:p w14:paraId="052B1F0E" w14:textId="2081B441" w:rsidR="00AB5984" w:rsidRPr="00D15DCC" w:rsidRDefault="00AB5984" w:rsidP="00540DD7">
      <w:pPr>
        <w:pStyle w:val="Heading2"/>
      </w:pPr>
      <w:bookmarkStart w:id="159" w:name="_Toc261617606"/>
      <w:bookmarkStart w:id="160" w:name="_Toc262067820"/>
      <w:bookmarkStart w:id="161" w:name="_Toc270946025"/>
      <w:r w:rsidRPr="00D15DCC">
        <w:t>Actors (and Roles) in House Consolidation</w:t>
      </w:r>
      <w:bookmarkEnd w:id="159"/>
      <w:bookmarkEnd w:id="160"/>
      <w:bookmarkEnd w:id="161"/>
    </w:p>
    <w:p w14:paraId="7208D870" w14:textId="77777777" w:rsidR="001123A2" w:rsidRDefault="001123A2" w:rsidP="00250EA9">
      <w:pPr>
        <w:spacing w:after="0"/>
        <w:rPr>
          <w:rFonts w:cs="Arial"/>
          <w:szCs w:val="22"/>
        </w:rPr>
      </w:pPr>
    </w:p>
    <w:p w14:paraId="62531B40" w14:textId="77777777" w:rsidR="00AB5984" w:rsidRPr="00D61521" w:rsidRDefault="00AB5984" w:rsidP="00250EA9">
      <w:pPr>
        <w:spacing w:line="360" w:lineRule="auto"/>
        <w:rPr>
          <w:rFonts w:cs="Arial"/>
          <w:szCs w:val="22"/>
        </w:rPr>
      </w:pPr>
      <w:r w:rsidRPr="00D61521">
        <w:rPr>
          <w:rFonts w:cs="Arial"/>
          <w:szCs w:val="22"/>
        </w:rPr>
        <w:t>The following groups of actors play important roles in the process of house consolidation in ISU projects:</w:t>
      </w:r>
    </w:p>
    <w:p w14:paraId="294944D0" w14:textId="77777777" w:rsidR="00AB5984" w:rsidRPr="006079F0" w:rsidRDefault="00AB5984" w:rsidP="0055634E">
      <w:pPr>
        <w:pStyle w:val="ListParagraph"/>
        <w:numPr>
          <w:ilvl w:val="0"/>
          <w:numId w:val="11"/>
        </w:numPr>
        <w:ind w:left="720"/>
        <w:rPr>
          <w:rFonts w:cs="Arial"/>
        </w:rPr>
      </w:pPr>
      <w:r w:rsidRPr="006079F0">
        <w:rPr>
          <w:rFonts w:cs="Arial"/>
          <w:b/>
        </w:rPr>
        <w:t xml:space="preserve">Households: </w:t>
      </w:r>
      <w:r w:rsidRPr="006079F0">
        <w:rPr>
          <w:rFonts w:cs="Arial"/>
        </w:rPr>
        <w:t>As end-users of the housing, households themselves should play a central role in defining housing requirements, optimizing available resources from the household (building materials, savings, loans), government (subsidies and/or supports) and private sector (access to finance, materials and skills), and managing the construction of their own shelter.</w:t>
      </w:r>
    </w:p>
    <w:p w14:paraId="7AE19BE0" w14:textId="0B3E0343" w:rsidR="00AB5984" w:rsidRPr="006079F0" w:rsidRDefault="00AB5984" w:rsidP="0055634E">
      <w:pPr>
        <w:pStyle w:val="ListParagraph"/>
        <w:numPr>
          <w:ilvl w:val="0"/>
          <w:numId w:val="11"/>
        </w:numPr>
        <w:ind w:left="720"/>
        <w:rPr>
          <w:rFonts w:cs="Arial"/>
        </w:rPr>
      </w:pPr>
      <w:r w:rsidRPr="006079F0">
        <w:rPr>
          <w:rFonts w:cs="Arial"/>
          <w:b/>
        </w:rPr>
        <w:t xml:space="preserve">Government: </w:t>
      </w:r>
      <w:r w:rsidRPr="006079F0">
        <w:rPr>
          <w:rFonts w:cs="Arial"/>
        </w:rPr>
        <w:t xml:space="preserve">The primary role of the state is to provide the collective goods or ‘public hardware’ </w:t>
      </w:r>
      <w:r w:rsidRPr="00777E03">
        <w:rPr>
          <w:rFonts w:cs="Arial"/>
        </w:rPr>
        <w:t>(Green</w:t>
      </w:r>
      <w:r w:rsidR="00CB1A48" w:rsidRPr="00777E03">
        <w:rPr>
          <w:rFonts w:cs="Arial"/>
        </w:rPr>
        <w:t>e</w:t>
      </w:r>
      <w:r w:rsidRPr="00777E03">
        <w:rPr>
          <w:rFonts w:cs="Arial"/>
        </w:rPr>
        <w:t xml:space="preserve"> and Rojas</w:t>
      </w:r>
      <w:r w:rsidR="000075A8" w:rsidRPr="00777E03">
        <w:rPr>
          <w:rFonts w:cs="Arial"/>
        </w:rPr>
        <w:t>, 2008</w:t>
      </w:r>
      <w:r w:rsidRPr="00777E03">
        <w:rPr>
          <w:rFonts w:cs="Arial"/>
        </w:rPr>
        <w:t>)</w:t>
      </w:r>
      <w:r w:rsidRPr="006079F0">
        <w:rPr>
          <w:rFonts w:cs="Arial"/>
        </w:rPr>
        <w:t xml:space="preserve"> and management of the implementation of the regularization of the settlement, provision of tenure and basic services. Thereafter, it plays a role </w:t>
      </w:r>
      <w:r w:rsidR="00CF3F6C" w:rsidRPr="006079F0">
        <w:rPr>
          <w:rFonts w:cs="Arial"/>
        </w:rPr>
        <w:t>in</w:t>
      </w:r>
      <w:r w:rsidRPr="006079F0">
        <w:rPr>
          <w:rFonts w:cs="Arial"/>
        </w:rPr>
        <w:t xml:space="preserve"> support</w:t>
      </w:r>
      <w:r w:rsidR="008818BE">
        <w:rPr>
          <w:rFonts w:cs="Arial"/>
        </w:rPr>
        <w:t>ing</w:t>
      </w:r>
      <w:r w:rsidRPr="006079F0">
        <w:rPr>
          <w:rFonts w:cs="Arial"/>
        </w:rPr>
        <w:t xml:space="preserve"> and/or funding and/or facilitating the house consolidation process. </w:t>
      </w:r>
    </w:p>
    <w:p w14:paraId="3C25E90B" w14:textId="2E348A47" w:rsidR="00AB5984" w:rsidRPr="006079F0" w:rsidRDefault="00AB5984" w:rsidP="0055634E">
      <w:pPr>
        <w:pStyle w:val="ListParagraph"/>
        <w:numPr>
          <w:ilvl w:val="0"/>
          <w:numId w:val="11"/>
        </w:numPr>
        <w:ind w:left="720"/>
        <w:rPr>
          <w:rFonts w:cs="Arial"/>
        </w:rPr>
      </w:pPr>
      <w:r w:rsidRPr="006079F0">
        <w:rPr>
          <w:rFonts w:cs="Arial"/>
          <w:b/>
        </w:rPr>
        <w:lastRenderedPageBreak/>
        <w:t xml:space="preserve">Professional Service </w:t>
      </w:r>
      <w:r w:rsidR="008B47BF">
        <w:rPr>
          <w:rFonts w:cs="Arial"/>
          <w:b/>
        </w:rPr>
        <w:t>Organization</w:t>
      </w:r>
      <w:r w:rsidRPr="006079F0">
        <w:rPr>
          <w:rFonts w:cs="Arial"/>
          <w:b/>
        </w:rPr>
        <w:t xml:space="preserve">s: </w:t>
      </w:r>
      <w:r w:rsidRPr="006079F0">
        <w:rPr>
          <w:rFonts w:cs="Arial"/>
        </w:rPr>
        <w:t>Contracted implementing agents project managing UISP projects play a key role in setting the framework for house consolidation.</w:t>
      </w:r>
      <w:r w:rsidR="00F8635A">
        <w:rPr>
          <w:rFonts w:cs="Arial"/>
        </w:rPr>
        <w:t xml:space="preserve"> Part of their role within the UISP is to facilitate shelter consolidation. However, with the limited resources provided to do so (beyond full subsidies, where these are available), all facilitative supports from implementing agents and other organisations including </w:t>
      </w:r>
      <w:r>
        <w:rPr>
          <w:rFonts w:cs="Arial"/>
        </w:rPr>
        <w:t xml:space="preserve">for instance, the National Upgrading Support Programme (NUSP) </w:t>
      </w:r>
      <w:r w:rsidR="00F8635A">
        <w:rPr>
          <w:rFonts w:cs="Arial"/>
        </w:rPr>
        <w:t xml:space="preserve">and the HDA must be optimally structured to set the basis for ongoing household house consolidation activity. </w:t>
      </w:r>
    </w:p>
    <w:p w14:paraId="156A30D4" w14:textId="7CAE7C9F" w:rsidR="00AB5984" w:rsidRDefault="00AB5984" w:rsidP="0055634E">
      <w:pPr>
        <w:pStyle w:val="ListParagraph"/>
        <w:numPr>
          <w:ilvl w:val="0"/>
          <w:numId w:val="12"/>
        </w:numPr>
        <w:ind w:left="720"/>
      </w:pPr>
      <w:r w:rsidRPr="003D1ABB">
        <w:rPr>
          <w:b/>
        </w:rPr>
        <w:t xml:space="preserve">Community </w:t>
      </w:r>
      <w:r w:rsidR="008B47BF">
        <w:rPr>
          <w:b/>
        </w:rPr>
        <w:t>Organization</w:t>
      </w:r>
      <w:r w:rsidRPr="003D1ABB">
        <w:rPr>
          <w:b/>
        </w:rPr>
        <w:t>s</w:t>
      </w:r>
      <w:r>
        <w:rPr>
          <w:b/>
        </w:rPr>
        <w:t>:</w:t>
      </w:r>
      <w:r>
        <w:t xml:space="preserve"> Play a role in representing the needs of the collective community, interfacing with implementing agents and officials, and potentially assisting to manage collective facilities, resources and programmes aimed to assist with house consolidation.</w:t>
      </w:r>
    </w:p>
    <w:p w14:paraId="25DFE2B9" w14:textId="3B980F98" w:rsidR="00AB5984" w:rsidRDefault="00AB5984" w:rsidP="0055634E">
      <w:pPr>
        <w:pStyle w:val="ListParagraph"/>
        <w:numPr>
          <w:ilvl w:val="0"/>
          <w:numId w:val="12"/>
        </w:numPr>
        <w:ind w:left="720"/>
      </w:pPr>
      <w:r w:rsidRPr="00537DD9">
        <w:rPr>
          <w:b/>
        </w:rPr>
        <w:t xml:space="preserve">Non-Profit / Community Resource </w:t>
      </w:r>
      <w:r w:rsidR="008B47BF">
        <w:rPr>
          <w:b/>
        </w:rPr>
        <w:t>Organization</w:t>
      </w:r>
      <w:r w:rsidRPr="00537DD9">
        <w:rPr>
          <w:b/>
        </w:rPr>
        <w:t>s</w:t>
      </w:r>
      <w:r>
        <w:t xml:space="preserve">: These actors can play pivotal roles in ‘oiling the wheels’ for households to consolidate their houses, </w:t>
      </w:r>
      <w:r w:rsidR="00E2211D">
        <w:t>through</w:t>
      </w:r>
      <w:r>
        <w:t xml:space="preserve"> capacitating the community, facilitation of developmental processes, mobilization of private and government resources and even project management. Specialist NPOs may also offer more specific assistance in the house consolidation processes, including design, building methodology selection, contracting and development support during </w:t>
      </w:r>
      <w:r w:rsidR="00CF3A8D">
        <w:t xml:space="preserve">house </w:t>
      </w:r>
      <w:r>
        <w:t xml:space="preserve">construction. </w:t>
      </w:r>
    </w:p>
    <w:p w14:paraId="1909A568" w14:textId="27CC2B5C" w:rsidR="00AB5984" w:rsidRDefault="00AB5984" w:rsidP="0055634E">
      <w:pPr>
        <w:pStyle w:val="ListParagraph"/>
        <w:numPr>
          <w:ilvl w:val="0"/>
          <w:numId w:val="12"/>
        </w:numPr>
        <w:ind w:left="720"/>
      </w:pPr>
      <w:r w:rsidRPr="003D1ABB">
        <w:rPr>
          <w:b/>
        </w:rPr>
        <w:t>Private Sector</w:t>
      </w:r>
      <w:r>
        <w:t xml:space="preserve">:  Private sector </w:t>
      </w:r>
      <w:r w:rsidR="008B47BF">
        <w:t>organization</w:t>
      </w:r>
      <w:r w:rsidR="00E2211D">
        <w:t>s</w:t>
      </w:r>
      <w:r>
        <w:t xml:space="preserve"> provide important elements required for house consolidation, most notably financial services (loans) to households and building materials supply.</w:t>
      </w:r>
    </w:p>
    <w:p w14:paraId="61BF7C35" w14:textId="7E397A63" w:rsidR="0072461A" w:rsidRPr="00D15DCC" w:rsidRDefault="0072461A" w:rsidP="00540DD7">
      <w:pPr>
        <w:pStyle w:val="Heading2"/>
      </w:pPr>
      <w:bookmarkStart w:id="162" w:name="_Toc261617607"/>
      <w:bookmarkStart w:id="163" w:name="_Toc262067821"/>
      <w:bookmarkStart w:id="164" w:name="_Toc270946026"/>
      <w:r w:rsidRPr="00D15DCC">
        <w:t xml:space="preserve">House Development </w:t>
      </w:r>
      <w:r w:rsidR="00825D41" w:rsidRPr="00D15DCC">
        <w:t>Strategy: Options and Responsibilities</w:t>
      </w:r>
      <w:bookmarkEnd w:id="162"/>
      <w:bookmarkEnd w:id="163"/>
      <w:bookmarkEnd w:id="164"/>
    </w:p>
    <w:p w14:paraId="6D826B4C" w14:textId="77777777" w:rsidR="001123A2" w:rsidRDefault="001123A2" w:rsidP="00250EA9">
      <w:pPr>
        <w:spacing w:after="0"/>
        <w:rPr>
          <w:rFonts w:cs="Arial"/>
          <w:szCs w:val="22"/>
        </w:rPr>
      </w:pPr>
    </w:p>
    <w:p w14:paraId="23D43F53" w14:textId="5ABEBECA" w:rsidR="00B42FD9" w:rsidRDefault="00B42FD9" w:rsidP="00250EA9">
      <w:pPr>
        <w:spacing w:line="360" w:lineRule="auto"/>
        <w:rPr>
          <w:rFonts w:cs="Arial"/>
          <w:szCs w:val="22"/>
        </w:rPr>
      </w:pPr>
      <w:r>
        <w:rPr>
          <w:rFonts w:cs="Arial"/>
          <w:szCs w:val="22"/>
        </w:rPr>
        <w:t>Four broad</w:t>
      </w:r>
      <w:r w:rsidR="00C839FA">
        <w:rPr>
          <w:rFonts w:cs="Arial"/>
          <w:szCs w:val="22"/>
        </w:rPr>
        <w:t xml:space="preserve"> </w:t>
      </w:r>
      <w:r w:rsidR="00184D73">
        <w:rPr>
          <w:rFonts w:cs="Arial"/>
          <w:szCs w:val="22"/>
        </w:rPr>
        <w:t xml:space="preserve">broad </w:t>
      </w:r>
      <w:r w:rsidR="00C839FA">
        <w:rPr>
          <w:rFonts w:cs="Arial"/>
          <w:szCs w:val="22"/>
        </w:rPr>
        <w:t>scenarios</w:t>
      </w:r>
      <w:r w:rsidR="001123A2">
        <w:rPr>
          <w:rFonts w:cs="Arial"/>
          <w:szCs w:val="22"/>
        </w:rPr>
        <w:t xml:space="preserve"> of state intervention in housing development</w:t>
      </w:r>
      <w:r w:rsidR="00184D73">
        <w:rPr>
          <w:rFonts w:cs="Arial"/>
          <w:szCs w:val="22"/>
        </w:rPr>
        <w:t xml:space="preserve"> can be identified in relation to </w:t>
      </w:r>
      <w:r w:rsidR="00C839FA">
        <w:rPr>
          <w:rFonts w:cs="Arial"/>
          <w:szCs w:val="22"/>
        </w:rPr>
        <w:t>the</w:t>
      </w:r>
      <w:r w:rsidR="00184D73">
        <w:rPr>
          <w:rFonts w:cs="Arial"/>
          <w:szCs w:val="22"/>
        </w:rPr>
        <w:t xml:space="preserve"> responsib</w:t>
      </w:r>
      <w:r w:rsidR="00C839FA">
        <w:rPr>
          <w:rFonts w:cs="Arial"/>
          <w:szCs w:val="22"/>
        </w:rPr>
        <w:t>ility</w:t>
      </w:r>
      <w:r w:rsidR="00184D73">
        <w:rPr>
          <w:rFonts w:cs="Arial"/>
          <w:szCs w:val="22"/>
        </w:rPr>
        <w:t xml:space="preserve"> for house construction or consolidation</w:t>
      </w:r>
      <w:r w:rsidR="00A8761D">
        <w:rPr>
          <w:rFonts w:cs="Arial"/>
          <w:szCs w:val="22"/>
        </w:rPr>
        <w:t>, on a continuum from no state support to provision of fully-</w:t>
      </w:r>
      <w:r w:rsidR="00E01C9B">
        <w:rPr>
          <w:rFonts w:cs="Arial"/>
          <w:szCs w:val="22"/>
        </w:rPr>
        <w:t>subsidized</w:t>
      </w:r>
      <w:r w:rsidR="00A8761D">
        <w:rPr>
          <w:rFonts w:cs="Arial"/>
          <w:szCs w:val="22"/>
        </w:rPr>
        <w:t xml:space="preserve"> accommodation</w:t>
      </w:r>
      <w:r w:rsidR="00C839FA">
        <w:rPr>
          <w:rFonts w:cs="Arial"/>
          <w:szCs w:val="22"/>
        </w:rPr>
        <w:t xml:space="preserve"> in ISU projects</w:t>
      </w:r>
      <w:r>
        <w:rPr>
          <w:rFonts w:cs="Arial"/>
          <w:szCs w:val="22"/>
        </w:rPr>
        <w:t>. These are illustrated in Figure</w:t>
      </w:r>
      <w:r w:rsidR="00517FA5">
        <w:rPr>
          <w:rFonts w:cs="Arial"/>
          <w:szCs w:val="22"/>
        </w:rPr>
        <w:t xml:space="preserve"> </w:t>
      </w:r>
      <w:r w:rsidR="00CF3A8D">
        <w:rPr>
          <w:rFonts w:cs="Arial"/>
          <w:szCs w:val="22"/>
        </w:rPr>
        <w:t>10</w:t>
      </w:r>
      <w:r>
        <w:rPr>
          <w:rFonts w:cs="Arial"/>
          <w:szCs w:val="22"/>
        </w:rPr>
        <w:t xml:space="preserve"> </w:t>
      </w:r>
      <w:r w:rsidR="00517FA5">
        <w:rPr>
          <w:rFonts w:cs="Arial"/>
          <w:szCs w:val="22"/>
        </w:rPr>
        <w:t>overleaf</w:t>
      </w:r>
      <w:r>
        <w:rPr>
          <w:rFonts w:cs="Arial"/>
          <w:szCs w:val="22"/>
        </w:rPr>
        <w:t>.</w:t>
      </w:r>
    </w:p>
    <w:p w14:paraId="59044822" w14:textId="14ED093C" w:rsidR="00B42FD9" w:rsidRPr="009D020F" w:rsidRDefault="00517FA5" w:rsidP="00B42FD9">
      <w:pPr>
        <w:rPr>
          <w:rFonts w:cs="Arial"/>
        </w:rPr>
      </w:pPr>
      <w:r w:rsidRPr="00517FA5">
        <w:rPr>
          <w:noProof/>
          <w:lang w:val="en-US"/>
        </w:rPr>
        <w:lastRenderedPageBreak/>
        <w:drawing>
          <wp:inline distT="0" distB="0" distL="0" distR="0" wp14:anchorId="0F1B2DBB" wp14:editId="3F1E223D">
            <wp:extent cx="5943600" cy="34373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943600" cy="3437355"/>
                    </a:xfrm>
                    <a:prstGeom prst="rect">
                      <a:avLst/>
                    </a:prstGeom>
                    <a:noFill/>
                    <a:ln>
                      <a:noFill/>
                    </a:ln>
                  </pic:spPr>
                </pic:pic>
              </a:graphicData>
            </a:graphic>
          </wp:inline>
        </w:drawing>
      </w:r>
    </w:p>
    <w:p w14:paraId="1F4C88DA" w14:textId="72DC154A" w:rsidR="00B42FD9" w:rsidRPr="0014517D" w:rsidRDefault="00CF3A8D" w:rsidP="00B42FD9">
      <w:pPr>
        <w:pStyle w:val="Caption"/>
      </w:pPr>
      <w:bookmarkStart w:id="165" w:name="_Toc270945513"/>
      <w:r w:rsidRPr="00CF3A8D">
        <w:t xml:space="preserve">Figure </w:t>
      </w:r>
      <w:r w:rsidRPr="00CF3A8D">
        <w:fldChar w:fldCharType="begin"/>
      </w:r>
      <w:r w:rsidRPr="00CF3A8D">
        <w:instrText xml:space="preserve"> SEQ Figure \* ARABIC </w:instrText>
      </w:r>
      <w:r w:rsidRPr="00CF3A8D">
        <w:fldChar w:fldCharType="separate"/>
      </w:r>
      <w:r w:rsidR="00E9048A">
        <w:rPr>
          <w:noProof/>
        </w:rPr>
        <w:t>10</w:t>
      </w:r>
      <w:r w:rsidRPr="00CF3A8D">
        <w:fldChar w:fldCharType="end"/>
      </w:r>
      <w:r w:rsidR="00B42FD9" w:rsidRPr="00CF3A8D">
        <w:t>:</w:t>
      </w:r>
      <w:r w:rsidR="00B42FD9" w:rsidRPr="00216BD3">
        <w:t xml:space="preserve"> </w:t>
      </w:r>
      <w:r w:rsidR="00B42FD9">
        <w:t>Upgrading Develo</w:t>
      </w:r>
      <w:r w:rsidR="00517FA5">
        <w:t>p</w:t>
      </w:r>
      <w:r w:rsidR="00B42FD9">
        <w:t>ment</w:t>
      </w:r>
      <w:r w:rsidR="00B42FD9" w:rsidRPr="0014517D">
        <w:t xml:space="preserve"> </w:t>
      </w:r>
      <w:r w:rsidR="00B42FD9">
        <w:t>Modes</w:t>
      </w:r>
      <w:bookmarkEnd w:id="165"/>
      <w:r w:rsidR="00B42FD9" w:rsidRPr="0014517D">
        <w:t xml:space="preserve"> </w:t>
      </w:r>
    </w:p>
    <w:p w14:paraId="1D1C4CEA" w14:textId="4429F7AD" w:rsidR="0072461A" w:rsidRDefault="0072461A" w:rsidP="00250EA9">
      <w:pPr>
        <w:spacing w:line="360" w:lineRule="auto"/>
        <w:rPr>
          <w:rFonts w:cs="Arial"/>
          <w:szCs w:val="22"/>
        </w:rPr>
      </w:pPr>
    </w:p>
    <w:p w14:paraId="190F89EE" w14:textId="042B4063" w:rsidR="00B42FD9" w:rsidRDefault="00B42FD9" w:rsidP="00250EA9">
      <w:pPr>
        <w:spacing w:line="360" w:lineRule="auto"/>
        <w:rPr>
          <w:rFonts w:cs="Arial"/>
          <w:szCs w:val="22"/>
        </w:rPr>
      </w:pPr>
      <w:r>
        <w:rPr>
          <w:rFonts w:cs="Arial"/>
          <w:szCs w:val="22"/>
        </w:rPr>
        <w:t>The four main modes are discussed below:</w:t>
      </w:r>
    </w:p>
    <w:p w14:paraId="32BEDFBD" w14:textId="26EAB81C" w:rsidR="00061509" w:rsidRPr="00F733F1" w:rsidRDefault="00517FA5" w:rsidP="0055634E">
      <w:pPr>
        <w:pStyle w:val="ListParagraph"/>
        <w:numPr>
          <w:ilvl w:val="0"/>
          <w:numId w:val="11"/>
        </w:numPr>
        <w:ind w:left="720"/>
        <w:rPr>
          <w:rFonts w:cs="Arial"/>
        </w:rPr>
      </w:pPr>
      <w:r w:rsidRPr="00F733F1">
        <w:rPr>
          <w:rFonts w:cs="Arial"/>
          <w:b/>
        </w:rPr>
        <w:t xml:space="preserve">Mode 1- </w:t>
      </w:r>
      <w:r w:rsidR="00F733F1" w:rsidRPr="00F733F1">
        <w:rPr>
          <w:rFonts w:cs="Arial"/>
          <w:b/>
        </w:rPr>
        <w:t>Informal Settlement Community Only Mode:</w:t>
      </w:r>
      <w:r w:rsidR="00061509" w:rsidRPr="00F733F1">
        <w:rPr>
          <w:rFonts w:cs="Arial"/>
          <w:b/>
        </w:rPr>
        <w:t xml:space="preserve"> </w:t>
      </w:r>
      <w:r w:rsidR="00061509" w:rsidRPr="00F733F1">
        <w:rPr>
          <w:rFonts w:cs="Arial"/>
        </w:rPr>
        <w:t xml:space="preserve">This scenario considers how house consolidation occurs if no state investment occurs in an informal settlement.  Essentially, all house consolidation activity </w:t>
      </w:r>
      <w:r w:rsidR="00A06E18" w:rsidRPr="00F733F1">
        <w:rPr>
          <w:rFonts w:cs="Arial"/>
        </w:rPr>
        <w:t xml:space="preserve">in this first wave of house consolidation </w:t>
      </w:r>
      <w:r w:rsidR="00F733F1">
        <w:rPr>
          <w:rFonts w:cs="Arial"/>
        </w:rPr>
        <w:t xml:space="preserve">is </w:t>
      </w:r>
      <w:r w:rsidR="001123A2" w:rsidRPr="00F733F1">
        <w:rPr>
          <w:rFonts w:cs="Arial"/>
        </w:rPr>
        <w:t xml:space="preserve">solely </w:t>
      </w:r>
      <w:r w:rsidR="00F733F1">
        <w:rPr>
          <w:rFonts w:cs="Arial"/>
        </w:rPr>
        <w:t>undertaken by</w:t>
      </w:r>
      <w:r w:rsidR="00061509" w:rsidRPr="00F733F1">
        <w:rPr>
          <w:rFonts w:cs="Arial"/>
        </w:rPr>
        <w:t xml:space="preserve"> the household, using whatever private resources they can muster.  </w:t>
      </w:r>
      <w:r w:rsidR="00061509" w:rsidRPr="00F733F1">
        <w:rPr>
          <w:rFonts w:cs="Arial"/>
          <w:b/>
        </w:rPr>
        <w:t xml:space="preserve"> </w:t>
      </w:r>
    </w:p>
    <w:p w14:paraId="2EAAD0F3" w14:textId="3CDB7D43" w:rsidR="00BA09E0" w:rsidRPr="00C839FA" w:rsidRDefault="00517FA5" w:rsidP="0055634E">
      <w:pPr>
        <w:pStyle w:val="ListParagraph"/>
        <w:numPr>
          <w:ilvl w:val="0"/>
          <w:numId w:val="11"/>
        </w:numPr>
        <w:ind w:left="720"/>
        <w:rPr>
          <w:rFonts w:cs="Arial"/>
          <w:b/>
        </w:rPr>
      </w:pPr>
      <w:r>
        <w:rPr>
          <w:rFonts w:cs="Arial"/>
          <w:b/>
        </w:rPr>
        <w:t xml:space="preserve">Mode 2- </w:t>
      </w:r>
      <w:r w:rsidR="00F733F1">
        <w:rPr>
          <w:rFonts w:cs="Arial"/>
          <w:b/>
        </w:rPr>
        <w:t>Limited State / Community Led</w:t>
      </w:r>
      <w:r w:rsidR="00BA09E0" w:rsidRPr="00184D73">
        <w:rPr>
          <w:rFonts w:cs="Arial"/>
          <w:b/>
        </w:rPr>
        <w:t xml:space="preserve"> </w:t>
      </w:r>
      <w:r w:rsidR="00F733F1">
        <w:rPr>
          <w:rFonts w:cs="Arial"/>
          <w:b/>
        </w:rPr>
        <w:t>Mode</w:t>
      </w:r>
      <w:r w:rsidR="00BA09E0">
        <w:rPr>
          <w:rFonts w:cs="Arial"/>
          <w:b/>
        </w:rPr>
        <w:t xml:space="preserve">: </w:t>
      </w:r>
      <w:r w:rsidR="00BA09E0" w:rsidRPr="00184D73">
        <w:rPr>
          <w:rFonts w:cs="Arial"/>
        </w:rPr>
        <w:t>Households</w:t>
      </w:r>
      <w:r w:rsidR="00BA09E0">
        <w:rPr>
          <w:rFonts w:cs="Arial"/>
          <w:b/>
        </w:rPr>
        <w:t xml:space="preserve"> </w:t>
      </w:r>
      <w:r w:rsidR="00BA09E0">
        <w:rPr>
          <w:rFonts w:cs="Arial"/>
        </w:rPr>
        <w:t>are responsible for mobilizing resources and managing the development of their own shelters, with little state support. This occurs during and after state investment in regularizing and servicing the settlement. This is the norm in most developing nations, and is likely to become more common in South Africa in the future.</w:t>
      </w:r>
    </w:p>
    <w:p w14:paraId="0B488B2F" w14:textId="15D6BC58" w:rsidR="00184D73" w:rsidRDefault="00517FA5" w:rsidP="0055634E">
      <w:pPr>
        <w:pStyle w:val="ListParagraph"/>
        <w:numPr>
          <w:ilvl w:val="0"/>
          <w:numId w:val="11"/>
        </w:numPr>
        <w:ind w:left="720"/>
        <w:rPr>
          <w:rFonts w:cs="Arial"/>
        </w:rPr>
      </w:pPr>
      <w:r>
        <w:rPr>
          <w:rFonts w:cs="Arial"/>
          <w:b/>
        </w:rPr>
        <w:t xml:space="preserve">Mode 3- </w:t>
      </w:r>
      <w:r w:rsidR="00F733F1">
        <w:rPr>
          <w:rFonts w:cs="Arial"/>
          <w:b/>
        </w:rPr>
        <w:t>Supported Incremental Mode</w:t>
      </w:r>
      <w:r w:rsidR="00184D73">
        <w:rPr>
          <w:rFonts w:cs="Arial"/>
        </w:rPr>
        <w:t xml:space="preserve">: A level of subsidy is provided to provide a kick-start to </w:t>
      </w:r>
      <w:r w:rsidR="00F733F1">
        <w:rPr>
          <w:rFonts w:cs="Arial"/>
        </w:rPr>
        <w:t xml:space="preserve">settlement planning and servicing, and to </w:t>
      </w:r>
      <w:r w:rsidR="00184D73">
        <w:rPr>
          <w:rFonts w:cs="Arial"/>
        </w:rPr>
        <w:t xml:space="preserve">households’ </w:t>
      </w:r>
      <w:r w:rsidR="00A8761D">
        <w:rPr>
          <w:rFonts w:cs="Arial"/>
        </w:rPr>
        <w:t>development of their own houses. This mode has been used in developing nations, but has not yet been used in South Africa. The subsidy assistance can take a number of forms, such as:</w:t>
      </w:r>
    </w:p>
    <w:p w14:paraId="21DF5234" w14:textId="51F7BE0C" w:rsidR="00A8761D" w:rsidRPr="00A8761D" w:rsidRDefault="00825D41" w:rsidP="0055634E">
      <w:pPr>
        <w:pStyle w:val="ListParagraph"/>
        <w:numPr>
          <w:ilvl w:val="1"/>
          <w:numId w:val="11"/>
        </w:numPr>
        <w:ind w:left="1080"/>
        <w:rPr>
          <w:rFonts w:cs="Arial"/>
        </w:rPr>
      </w:pPr>
      <w:r>
        <w:rPr>
          <w:rFonts w:cs="Arial"/>
          <w:b/>
        </w:rPr>
        <w:t xml:space="preserve">Partial House </w:t>
      </w:r>
      <w:r w:rsidR="00A8761D">
        <w:rPr>
          <w:rFonts w:cs="Arial"/>
          <w:b/>
        </w:rPr>
        <w:t xml:space="preserve">Construction: </w:t>
      </w:r>
      <w:r w:rsidR="00A8761D">
        <w:rPr>
          <w:rFonts w:cs="Arial"/>
        </w:rPr>
        <w:t xml:space="preserve">Development of one or more components of a house, such as a slab, </w:t>
      </w:r>
      <w:r w:rsidR="00A72125">
        <w:rPr>
          <w:rFonts w:cs="Arial"/>
        </w:rPr>
        <w:t xml:space="preserve">party walls, </w:t>
      </w:r>
      <w:r w:rsidR="00A8761D">
        <w:rPr>
          <w:rFonts w:cs="Arial"/>
        </w:rPr>
        <w:t xml:space="preserve">wet core, core house or framework.   </w:t>
      </w:r>
    </w:p>
    <w:p w14:paraId="1EC41DDB" w14:textId="7B4AAD74" w:rsidR="00A8761D" w:rsidRDefault="00825D41" w:rsidP="0055634E">
      <w:pPr>
        <w:pStyle w:val="ListParagraph"/>
        <w:numPr>
          <w:ilvl w:val="1"/>
          <w:numId w:val="11"/>
        </w:numPr>
        <w:ind w:left="1080"/>
        <w:rPr>
          <w:rFonts w:cs="Arial"/>
        </w:rPr>
      </w:pPr>
      <w:r>
        <w:rPr>
          <w:rFonts w:cs="Arial"/>
          <w:b/>
        </w:rPr>
        <w:lastRenderedPageBreak/>
        <w:t xml:space="preserve">House Construction </w:t>
      </w:r>
      <w:r w:rsidR="00A8761D">
        <w:rPr>
          <w:rFonts w:cs="Arial"/>
          <w:b/>
        </w:rPr>
        <w:t xml:space="preserve">Voucher: </w:t>
      </w:r>
      <w:r w:rsidR="00A8761D">
        <w:rPr>
          <w:rFonts w:cs="Arial"/>
        </w:rPr>
        <w:t xml:space="preserve">Provision of a credit </w:t>
      </w:r>
      <w:r w:rsidR="003D1ABB">
        <w:rPr>
          <w:rFonts w:cs="Arial"/>
        </w:rPr>
        <w:t xml:space="preserve">or voucher </w:t>
      </w:r>
      <w:r w:rsidR="00A8761D">
        <w:rPr>
          <w:rFonts w:cs="Arial"/>
        </w:rPr>
        <w:t xml:space="preserve">to the homeowner for </w:t>
      </w:r>
      <w:r w:rsidR="003D1ABB">
        <w:rPr>
          <w:rFonts w:cs="Arial"/>
        </w:rPr>
        <w:t>purchasing</w:t>
      </w:r>
      <w:r w:rsidR="00A8761D">
        <w:rPr>
          <w:rFonts w:cs="Arial"/>
        </w:rPr>
        <w:t xml:space="preserve"> accommodation-related needs, including design, materials, contractor costs or specialist inputs to accommodation.</w:t>
      </w:r>
    </w:p>
    <w:p w14:paraId="579D8248" w14:textId="77161175" w:rsidR="00B42FD9" w:rsidRDefault="00517FA5" w:rsidP="0055634E">
      <w:pPr>
        <w:pStyle w:val="ListParagraph"/>
        <w:numPr>
          <w:ilvl w:val="0"/>
          <w:numId w:val="11"/>
        </w:numPr>
        <w:ind w:left="720"/>
        <w:rPr>
          <w:rFonts w:cs="Arial"/>
        </w:rPr>
      </w:pPr>
      <w:r>
        <w:rPr>
          <w:rFonts w:cs="Arial"/>
          <w:b/>
        </w:rPr>
        <w:t xml:space="preserve">Mode 4- </w:t>
      </w:r>
      <w:r w:rsidR="00BA09E0" w:rsidRPr="00BA09E0">
        <w:rPr>
          <w:rFonts w:cs="Arial"/>
          <w:b/>
        </w:rPr>
        <w:t>State</w:t>
      </w:r>
      <w:r w:rsidR="00F733F1">
        <w:rPr>
          <w:rFonts w:cs="Arial"/>
          <w:b/>
        </w:rPr>
        <w:t xml:space="preserve"> Dominant / Subsidy-Led </w:t>
      </w:r>
      <w:r w:rsidR="00BA09E0" w:rsidRPr="00BA09E0">
        <w:rPr>
          <w:rFonts w:cs="Arial"/>
          <w:b/>
        </w:rPr>
        <w:t>Development</w:t>
      </w:r>
      <w:r w:rsidR="00F733F1">
        <w:rPr>
          <w:rFonts w:cs="Arial"/>
          <w:b/>
        </w:rPr>
        <w:t xml:space="preserve"> Mode</w:t>
      </w:r>
      <w:r w:rsidR="00BA09E0" w:rsidRPr="00BA09E0">
        <w:rPr>
          <w:rFonts w:cs="Arial"/>
        </w:rPr>
        <w:t xml:space="preserve">: </w:t>
      </w:r>
      <w:r w:rsidR="001123A2" w:rsidRPr="00BA09E0">
        <w:rPr>
          <w:rFonts w:cs="Arial"/>
        </w:rPr>
        <w:t>Subsidized</w:t>
      </w:r>
      <w:r w:rsidR="00BA09E0" w:rsidRPr="00BA09E0">
        <w:rPr>
          <w:rFonts w:cs="Arial"/>
        </w:rPr>
        <w:t xml:space="preserve"> housing is provided, predominantly or totally through existing project-based subsidy approaches. This option is premised on the approval of subsidies for all or most of the beneficiaries in an upgrading programme. This is the current norm in UISP projects.</w:t>
      </w:r>
      <w:r w:rsidR="009D020F">
        <w:rPr>
          <w:rFonts w:cs="Arial"/>
        </w:rPr>
        <w:t xml:space="preserve"> </w:t>
      </w:r>
    </w:p>
    <w:p w14:paraId="3040C9FB" w14:textId="4824DEBB" w:rsidR="00083319" w:rsidRPr="00D15DCC" w:rsidRDefault="00083319" w:rsidP="00540DD7">
      <w:pPr>
        <w:pStyle w:val="Heading2"/>
      </w:pPr>
      <w:bookmarkStart w:id="166" w:name="_Toc261617608"/>
      <w:bookmarkStart w:id="167" w:name="_Ref262063270"/>
      <w:bookmarkStart w:id="168" w:name="_Toc262067822"/>
      <w:bookmarkStart w:id="169" w:name="_Toc270946027"/>
      <w:r w:rsidRPr="00D15DCC">
        <w:t>Conceptual Framework</w:t>
      </w:r>
      <w:bookmarkEnd w:id="166"/>
      <w:bookmarkEnd w:id="167"/>
      <w:bookmarkEnd w:id="168"/>
      <w:bookmarkEnd w:id="169"/>
    </w:p>
    <w:p w14:paraId="7FE8136D" w14:textId="77777777" w:rsidR="00001FCF" w:rsidRDefault="00001FCF" w:rsidP="00250EA9">
      <w:pPr>
        <w:spacing w:after="0"/>
        <w:rPr>
          <w:rFonts w:cs="Arial"/>
          <w:szCs w:val="22"/>
        </w:rPr>
      </w:pPr>
    </w:p>
    <w:p w14:paraId="10C969CA" w14:textId="4B99804C" w:rsidR="00A874BF" w:rsidRDefault="00BA09E0" w:rsidP="00001FCF">
      <w:pPr>
        <w:spacing w:line="360" w:lineRule="auto"/>
        <w:rPr>
          <w:rFonts w:cs="Arial"/>
          <w:szCs w:val="22"/>
        </w:rPr>
      </w:pPr>
      <w:r w:rsidRPr="000732BD">
        <w:rPr>
          <w:rFonts w:cs="Arial"/>
          <w:szCs w:val="22"/>
        </w:rPr>
        <w:t xml:space="preserve">These two sets of parameters, namely the types of actors engaged in house consolidation and the house consolidation </w:t>
      </w:r>
      <w:r w:rsidR="00B31EA3" w:rsidRPr="000732BD">
        <w:rPr>
          <w:rFonts w:cs="Arial"/>
          <w:szCs w:val="22"/>
        </w:rPr>
        <w:t>scenarios</w:t>
      </w:r>
      <w:r w:rsidR="00B31EA3">
        <w:rPr>
          <w:rFonts w:cs="Arial"/>
          <w:szCs w:val="22"/>
        </w:rPr>
        <w:t xml:space="preserve">, </w:t>
      </w:r>
      <w:r w:rsidRPr="000732BD">
        <w:rPr>
          <w:rFonts w:cs="Arial"/>
          <w:szCs w:val="22"/>
        </w:rPr>
        <w:t>enable the development of a conceptual framework for understanding how shelter consolidation occurs</w:t>
      </w:r>
      <w:r w:rsidR="000732BD">
        <w:rPr>
          <w:rFonts w:cs="Arial"/>
          <w:szCs w:val="22"/>
        </w:rPr>
        <w:t xml:space="preserve">.  This framework is illustrated in </w:t>
      </w:r>
      <w:r w:rsidR="000732BD" w:rsidRPr="00250EA9">
        <w:rPr>
          <w:rFonts w:cs="Arial"/>
          <w:szCs w:val="22"/>
        </w:rPr>
        <w:t xml:space="preserve">Figure </w:t>
      </w:r>
      <w:r w:rsidR="00CF3A8D">
        <w:rPr>
          <w:rFonts w:cs="Arial"/>
          <w:szCs w:val="22"/>
        </w:rPr>
        <w:t>11</w:t>
      </w:r>
      <w:r w:rsidR="000732BD">
        <w:rPr>
          <w:rFonts w:cs="Arial"/>
          <w:szCs w:val="22"/>
        </w:rPr>
        <w:t xml:space="preserve">.  Firstly, the framework identifies five house consolidation </w:t>
      </w:r>
      <w:r w:rsidR="00EB4A83">
        <w:rPr>
          <w:rFonts w:cs="Arial"/>
          <w:szCs w:val="22"/>
        </w:rPr>
        <w:t xml:space="preserve">scenarios </w:t>
      </w:r>
      <w:r w:rsidR="000732BD">
        <w:rPr>
          <w:rFonts w:cs="Arial"/>
          <w:szCs w:val="22"/>
        </w:rPr>
        <w:t>(or s</w:t>
      </w:r>
      <w:r w:rsidR="00EB4A83">
        <w:rPr>
          <w:rFonts w:cs="Arial"/>
          <w:szCs w:val="22"/>
        </w:rPr>
        <w:t>treams</w:t>
      </w:r>
      <w:r w:rsidR="000732BD">
        <w:rPr>
          <w:rFonts w:cs="Arial"/>
          <w:szCs w:val="22"/>
        </w:rPr>
        <w:t xml:space="preserve">), </w:t>
      </w:r>
      <w:r w:rsidR="00EB4A83">
        <w:rPr>
          <w:rFonts w:cs="Arial"/>
          <w:szCs w:val="22"/>
        </w:rPr>
        <w:t xml:space="preserve">which relate to </w:t>
      </w:r>
      <w:r w:rsidR="000732BD">
        <w:rPr>
          <w:rFonts w:cs="Arial"/>
          <w:szCs w:val="22"/>
        </w:rPr>
        <w:t>the leve</w:t>
      </w:r>
      <w:r w:rsidR="00EB4A83">
        <w:rPr>
          <w:rFonts w:cs="Arial"/>
          <w:szCs w:val="22"/>
        </w:rPr>
        <w:t>l of state investment in houses in ISU developments.</w:t>
      </w:r>
      <w:r w:rsidR="000732BD">
        <w:rPr>
          <w:rFonts w:cs="Arial"/>
          <w:szCs w:val="22"/>
        </w:rPr>
        <w:t xml:space="preserve"> Secondly, as a consequence of this, it illustrates the relative importance of the role played by actors identified above in house consolidation.  </w:t>
      </w:r>
    </w:p>
    <w:p w14:paraId="3F739E71" w14:textId="7AEB0472" w:rsidR="00A874BF" w:rsidRDefault="00A874BF" w:rsidP="00001FCF">
      <w:pPr>
        <w:spacing w:line="360" w:lineRule="auto"/>
        <w:rPr>
          <w:rFonts w:cs="Arial"/>
          <w:szCs w:val="22"/>
        </w:rPr>
      </w:pPr>
      <w:r w:rsidRPr="00A874BF">
        <w:rPr>
          <w:noProof/>
          <w:lang w:val="en-US"/>
        </w:rPr>
        <w:drawing>
          <wp:inline distT="0" distB="0" distL="0" distR="0" wp14:anchorId="135EC27A" wp14:editId="1F75D624">
            <wp:extent cx="5943600" cy="3908367"/>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943600" cy="3908367"/>
                    </a:xfrm>
                    <a:prstGeom prst="rect">
                      <a:avLst/>
                    </a:prstGeom>
                    <a:noFill/>
                    <a:ln>
                      <a:noFill/>
                    </a:ln>
                  </pic:spPr>
                </pic:pic>
              </a:graphicData>
            </a:graphic>
          </wp:inline>
        </w:drawing>
      </w:r>
    </w:p>
    <w:p w14:paraId="1F8896EA" w14:textId="38598E1D" w:rsidR="00E46A3F" w:rsidRPr="0014517D" w:rsidRDefault="00CF3A8D" w:rsidP="00CF1919">
      <w:pPr>
        <w:pStyle w:val="Caption"/>
      </w:pPr>
      <w:bookmarkStart w:id="170" w:name="_Toc270945514"/>
      <w:r w:rsidRPr="00CF3A8D">
        <w:lastRenderedPageBreak/>
        <w:t xml:space="preserve">Figure </w:t>
      </w:r>
      <w:r w:rsidRPr="00CF3A8D">
        <w:fldChar w:fldCharType="begin"/>
      </w:r>
      <w:r w:rsidRPr="00CF3A8D">
        <w:instrText xml:space="preserve"> SEQ Figure \* ARABIC </w:instrText>
      </w:r>
      <w:r w:rsidRPr="00CF3A8D">
        <w:fldChar w:fldCharType="separate"/>
      </w:r>
      <w:r w:rsidR="00E9048A">
        <w:rPr>
          <w:noProof/>
        </w:rPr>
        <w:t>11</w:t>
      </w:r>
      <w:r w:rsidRPr="00CF3A8D">
        <w:fldChar w:fldCharType="end"/>
      </w:r>
      <w:r w:rsidR="00E2211D" w:rsidRPr="00CF3A8D">
        <w:t>:</w:t>
      </w:r>
      <w:r w:rsidR="00E2211D" w:rsidRPr="00216BD3">
        <w:t xml:space="preserve"> </w:t>
      </w:r>
      <w:r w:rsidR="00E2211D" w:rsidRPr="0014517D">
        <w:t>Conceptual Framework – House Consolidation Scenarios and Roles</w:t>
      </w:r>
      <w:bookmarkEnd w:id="170"/>
      <w:r w:rsidR="00E46A3F" w:rsidRPr="0014517D">
        <w:t xml:space="preserve"> </w:t>
      </w:r>
    </w:p>
    <w:p w14:paraId="1364B106" w14:textId="77777777" w:rsidR="00001FCF" w:rsidRDefault="00001FCF" w:rsidP="00E46A3F">
      <w:pPr>
        <w:spacing w:line="360" w:lineRule="auto"/>
        <w:ind w:left="567"/>
        <w:rPr>
          <w:rFonts w:cs="Arial"/>
          <w:szCs w:val="22"/>
        </w:rPr>
      </w:pPr>
    </w:p>
    <w:p w14:paraId="4F081DBB" w14:textId="52E72330" w:rsidR="00613C95" w:rsidRDefault="00613C95" w:rsidP="00250EA9">
      <w:pPr>
        <w:spacing w:line="360" w:lineRule="auto"/>
        <w:rPr>
          <w:rFonts w:cs="Arial"/>
          <w:szCs w:val="22"/>
        </w:rPr>
      </w:pPr>
      <w:r w:rsidRPr="00613C95">
        <w:rPr>
          <w:rFonts w:cs="Arial"/>
          <w:szCs w:val="22"/>
        </w:rPr>
        <w:t>These five</w:t>
      </w:r>
      <w:r>
        <w:rPr>
          <w:rFonts w:cs="Arial"/>
          <w:szCs w:val="22"/>
        </w:rPr>
        <w:t xml:space="preserve"> streams are normally applied discretely (as a housing strategy).  Green</w:t>
      </w:r>
      <w:r w:rsidR="00443B00">
        <w:rPr>
          <w:rFonts w:cs="Arial"/>
          <w:szCs w:val="22"/>
        </w:rPr>
        <w:t>e</w:t>
      </w:r>
      <w:r>
        <w:rPr>
          <w:rFonts w:cs="Arial"/>
          <w:szCs w:val="22"/>
        </w:rPr>
        <w:t xml:space="preserve"> </w:t>
      </w:r>
      <w:r w:rsidR="00443B00">
        <w:rPr>
          <w:rFonts w:cs="Arial"/>
          <w:szCs w:val="22"/>
        </w:rPr>
        <w:t xml:space="preserve">and </w:t>
      </w:r>
      <w:r>
        <w:rPr>
          <w:rFonts w:cs="Arial"/>
          <w:szCs w:val="22"/>
        </w:rPr>
        <w:t>Rojas</w:t>
      </w:r>
      <w:r w:rsidR="00443B00">
        <w:rPr>
          <w:rFonts w:cs="Arial"/>
          <w:szCs w:val="22"/>
        </w:rPr>
        <w:t xml:space="preserve"> (2008,</w:t>
      </w:r>
      <w:r>
        <w:rPr>
          <w:rFonts w:cs="Arial"/>
          <w:szCs w:val="22"/>
        </w:rPr>
        <w:t xml:space="preserve"> p90</w:t>
      </w:r>
      <w:r w:rsidR="00443B00">
        <w:rPr>
          <w:rFonts w:cs="Arial"/>
          <w:szCs w:val="22"/>
        </w:rPr>
        <w:t>)</w:t>
      </w:r>
      <w:r w:rsidR="00535055">
        <w:rPr>
          <w:rFonts w:cs="Arial"/>
          <w:szCs w:val="22"/>
        </w:rPr>
        <w:t xml:space="preserve"> discuss the international experience with these approaches</w:t>
      </w:r>
      <w:r>
        <w:rPr>
          <w:rFonts w:cs="Arial"/>
          <w:szCs w:val="22"/>
        </w:rPr>
        <w:t>:</w:t>
      </w:r>
    </w:p>
    <w:p w14:paraId="1F3D3069" w14:textId="45F53889" w:rsidR="00613C95" w:rsidRPr="003668CF" w:rsidRDefault="00613C95" w:rsidP="00613C95">
      <w:pPr>
        <w:spacing w:line="360" w:lineRule="auto"/>
        <w:ind w:left="720"/>
        <w:rPr>
          <w:rFonts w:cs="Arial"/>
          <w:i/>
          <w:szCs w:val="22"/>
        </w:rPr>
      </w:pPr>
      <w:r w:rsidRPr="003668CF">
        <w:rPr>
          <w:rFonts w:cs="Arial"/>
          <w:i/>
          <w:szCs w:val="22"/>
        </w:rPr>
        <w:t xml:space="preserve">“…government programmes geared to build and finance finished homes directly for low-income households </w:t>
      </w:r>
      <w:r w:rsidR="00F8635A">
        <w:rPr>
          <w:rFonts w:cs="Arial"/>
          <w:i/>
          <w:szCs w:val="22"/>
        </w:rPr>
        <w:t>[</w:t>
      </w:r>
      <w:r w:rsidRPr="003668CF">
        <w:rPr>
          <w:rFonts w:cs="Arial"/>
          <w:i/>
          <w:szCs w:val="22"/>
        </w:rPr>
        <w:t>Stream 5</w:t>
      </w:r>
      <w:r w:rsidR="00F8635A">
        <w:rPr>
          <w:rFonts w:cs="Arial"/>
          <w:i/>
          <w:szCs w:val="22"/>
        </w:rPr>
        <w:t>]</w:t>
      </w:r>
      <w:r w:rsidRPr="003668CF">
        <w:rPr>
          <w:rFonts w:cs="Arial"/>
          <w:i/>
          <w:szCs w:val="22"/>
        </w:rPr>
        <w:t xml:space="preserve"> cannot solve the housing problem as a whole, as they offer a limited number of high-quality homes to few </w:t>
      </w:r>
      <w:r w:rsidR="00BA6D16" w:rsidRPr="003668CF">
        <w:rPr>
          <w:rFonts w:cs="Arial"/>
          <w:i/>
          <w:szCs w:val="22"/>
        </w:rPr>
        <w:t>families</w:t>
      </w:r>
      <w:r w:rsidRPr="003668CF">
        <w:rPr>
          <w:rFonts w:cs="Arial"/>
          <w:i/>
          <w:szCs w:val="22"/>
        </w:rPr>
        <w:t xml:space="preserve">, leaving most poor households without assistance. Even low-standard and low-cost programmes, such as sites-and-services </w:t>
      </w:r>
      <w:r w:rsidR="00F8635A">
        <w:rPr>
          <w:rFonts w:cs="Arial"/>
          <w:i/>
          <w:szCs w:val="22"/>
        </w:rPr>
        <w:t>[</w:t>
      </w:r>
      <w:r w:rsidRPr="003668CF">
        <w:rPr>
          <w:rFonts w:cs="Arial"/>
          <w:i/>
          <w:szCs w:val="22"/>
        </w:rPr>
        <w:t>Stream 3</w:t>
      </w:r>
      <w:r w:rsidR="00F8635A">
        <w:rPr>
          <w:rFonts w:cs="Arial"/>
          <w:i/>
          <w:szCs w:val="22"/>
        </w:rPr>
        <w:t>]</w:t>
      </w:r>
      <w:r w:rsidRPr="003668CF">
        <w:rPr>
          <w:rFonts w:cs="Arial"/>
          <w:i/>
          <w:szCs w:val="22"/>
        </w:rPr>
        <w:t>…</w:t>
      </w:r>
      <w:r w:rsidR="00443B00">
        <w:rPr>
          <w:rFonts w:cs="Arial"/>
          <w:i/>
          <w:szCs w:val="22"/>
        </w:rPr>
        <w:t xml:space="preserve"> </w:t>
      </w:r>
      <w:r w:rsidRPr="003668CF">
        <w:rPr>
          <w:rFonts w:cs="Arial"/>
          <w:i/>
          <w:szCs w:val="22"/>
        </w:rPr>
        <w:t xml:space="preserve">have proven incapable of solving the problems of all families in need… The goal is to stimulate private entrepreneurs and civil society </w:t>
      </w:r>
      <w:r w:rsidR="008B47BF">
        <w:rPr>
          <w:rFonts w:cs="Arial"/>
          <w:i/>
          <w:szCs w:val="22"/>
        </w:rPr>
        <w:t>organization</w:t>
      </w:r>
      <w:r w:rsidRPr="003668CF">
        <w:rPr>
          <w:rFonts w:cs="Arial"/>
          <w:i/>
          <w:szCs w:val="22"/>
        </w:rPr>
        <w:t>s to develop programmes to construct and finance houses that are accessible to all segments of the population</w:t>
      </w:r>
      <w:r w:rsidR="00535055" w:rsidRPr="003668CF">
        <w:rPr>
          <w:rFonts w:cs="Arial"/>
          <w:i/>
          <w:szCs w:val="22"/>
        </w:rPr>
        <w:t xml:space="preserve"> (Stream 2)</w:t>
      </w:r>
      <w:r w:rsidRPr="003668CF">
        <w:rPr>
          <w:rFonts w:cs="Arial"/>
          <w:i/>
          <w:szCs w:val="22"/>
        </w:rPr>
        <w:t>”</w:t>
      </w:r>
    </w:p>
    <w:p w14:paraId="55F2ECC5" w14:textId="4E34DD84" w:rsidR="00F845C0" w:rsidRPr="00CC67C7" w:rsidRDefault="00613C95" w:rsidP="00250EA9">
      <w:pPr>
        <w:spacing w:line="360" w:lineRule="auto"/>
        <w:rPr>
          <w:b/>
          <w:szCs w:val="22"/>
          <w:lang w:eastAsia="en-ZA"/>
        </w:rPr>
      </w:pPr>
      <w:r>
        <w:rPr>
          <w:rFonts w:cs="Arial"/>
          <w:szCs w:val="22"/>
        </w:rPr>
        <w:t>However, in South Africa two streams run concurrently: the Subsidy-</w:t>
      </w:r>
      <w:r w:rsidR="00443B00">
        <w:rPr>
          <w:rFonts w:cs="Arial"/>
          <w:szCs w:val="22"/>
        </w:rPr>
        <w:t xml:space="preserve">led </w:t>
      </w:r>
      <w:r>
        <w:rPr>
          <w:rFonts w:cs="Arial"/>
          <w:szCs w:val="22"/>
        </w:rPr>
        <w:t xml:space="preserve">stream (via UISP projects in tandem with projects </w:t>
      </w:r>
      <w:r w:rsidR="0089336E">
        <w:rPr>
          <w:rFonts w:cs="Arial"/>
          <w:szCs w:val="22"/>
        </w:rPr>
        <w:t>delivering</w:t>
      </w:r>
      <w:r>
        <w:rPr>
          <w:rFonts w:cs="Arial"/>
          <w:szCs w:val="22"/>
        </w:rPr>
        <w:t xml:space="preserve"> complete top structures), and the Site Upgrade stream (as stand-alone UISP projects, with little or no shelter development support.</w:t>
      </w:r>
      <w:r w:rsidR="00535055">
        <w:rPr>
          <w:rFonts w:cs="Arial"/>
          <w:szCs w:val="22"/>
        </w:rPr>
        <w:t xml:space="preserve"> </w:t>
      </w:r>
    </w:p>
    <w:p w14:paraId="2D8241A3" w14:textId="4BFB8C13" w:rsidR="00A01D1F" w:rsidRPr="00D60E99" w:rsidRDefault="00C64CEA" w:rsidP="00540DD7">
      <w:pPr>
        <w:pStyle w:val="Heading2"/>
      </w:pPr>
      <w:bookmarkStart w:id="171" w:name="_Toc261267673"/>
      <w:bookmarkStart w:id="172" w:name="_Toc261617609"/>
      <w:bookmarkStart w:id="173" w:name="_Toc262067823"/>
      <w:bookmarkStart w:id="174" w:name="_Toc270946028"/>
      <w:r>
        <w:t xml:space="preserve">Intervention </w:t>
      </w:r>
      <w:r w:rsidR="00D60E99" w:rsidRPr="00D60E99">
        <w:t xml:space="preserve">Framework for </w:t>
      </w:r>
      <w:bookmarkEnd w:id="171"/>
      <w:bookmarkEnd w:id="172"/>
      <w:r>
        <w:t>House Consolidation</w:t>
      </w:r>
      <w:bookmarkEnd w:id="173"/>
      <w:bookmarkEnd w:id="174"/>
    </w:p>
    <w:p w14:paraId="6FE03A0E" w14:textId="77777777" w:rsidR="00443B00" w:rsidRDefault="00443B00" w:rsidP="00250EA9">
      <w:pPr>
        <w:spacing w:after="0"/>
        <w:rPr>
          <w:rFonts w:cs="Arial"/>
          <w:i/>
          <w:szCs w:val="22"/>
        </w:rPr>
      </w:pPr>
    </w:p>
    <w:p w14:paraId="1284DBDE" w14:textId="6D487B57" w:rsidR="00852B3D" w:rsidRDefault="00852B3D" w:rsidP="00852B3D">
      <w:pPr>
        <w:spacing w:after="0" w:line="360" w:lineRule="auto"/>
        <w:rPr>
          <w:rFonts w:cs="Arial"/>
          <w:szCs w:val="22"/>
        </w:rPr>
      </w:pPr>
      <w:r>
        <w:rPr>
          <w:rFonts w:cs="Arial"/>
          <w:i/>
          <w:szCs w:val="22"/>
        </w:rPr>
        <w:t>‘</w:t>
      </w:r>
      <w:r w:rsidRPr="003668CF">
        <w:rPr>
          <w:rFonts w:cs="Arial"/>
          <w:i/>
          <w:szCs w:val="22"/>
        </w:rPr>
        <w:t>The benefits of fostering the potential of individuals, communities, developers, investors and industrialists to finance, construct, sell and improve homes are considerable</w:t>
      </w:r>
      <w:r>
        <w:rPr>
          <w:rFonts w:cs="Arial"/>
          <w:i/>
          <w:szCs w:val="22"/>
        </w:rPr>
        <w:t xml:space="preserve">’ </w:t>
      </w:r>
      <w:r>
        <w:rPr>
          <w:rFonts w:cs="Arial"/>
          <w:szCs w:val="22"/>
        </w:rPr>
        <w:t xml:space="preserve">(Greene and Rojas, 2008, p90). </w:t>
      </w:r>
    </w:p>
    <w:p w14:paraId="0DF39630" w14:textId="77777777" w:rsidR="00852B3D" w:rsidRDefault="00852B3D" w:rsidP="00250EA9">
      <w:pPr>
        <w:spacing w:after="0" w:line="360" w:lineRule="auto"/>
        <w:rPr>
          <w:rFonts w:cs="Arial"/>
          <w:i/>
          <w:szCs w:val="22"/>
        </w:rPr>
      </w:pPr>
    </w:p>
    <w:p w14:paraId="4B5AC76B" w14:textId="27CC98FE" w:rsidR="00C15D3B" w:rsidRPr="00FD0EEE" w:rsidRDefault="00852B3D" w:rsidP="00250EA9">
      <w:pPr>
        <w:spacing w:after="0" w:line="360" w:lineRule="auto"/>
        <w:rPr>
          <w:rFonts w:cs="Arial"/>
          <w:szCs w:val="22"/>
        </w:rPr>
      </w:pPr>
      <w:r w:rsidRPr="00852B3D">
        <w:rPr>
          <w:rFonts w:cs="Arial"/>
          <w:szCs w:val="22"/>
        </w:rPr>
        <w:t>Having established the importance of establishing a framework to assist households in ISU programmes to commence or further their house consolidation, this section considers what such a framework could include</w:t>
      </w:r>
      <w:r>
        <w:rPr>
          <w:rFonts w:cs="Arial"/>
          <w:i/>
          <w:szCs w:val="22"/>
        </w:rPr>
        <w:t xml:space="preserve">. </w:t>
      </w:r>
      <w:r w:rsidR="00C15D3B" w:rsidRPr="00FD0EEE">
        <w:rPr>
          <w:rFonts w:cs="Arial"/>
          <w:szCs w:val="22"/>
        </w:rPr>
        <w:t>Volume 4 of the Housing Code (</w:t>
      </w:r>
      <w:r w:rsidR="00443B00">
        <w:rPr>
          <w:rFonts w:cs="Arial"/>
          <w:szCs w:val="22"/>
        </w:rPr>
        <w:t xml:space="preserve">2009, </w:t>
      </w:r>
      <w:r w:rsidR="00C15D3B" w:rsidRPr="00FD0EEE">
        <w:rPr>
          <w:rFonts w:cs="Arial"/>
          <w:szCs w:val="22"/>
        </w:rPr>
        <w:t>p3</w:t>
      </w:r>
      <w:r w:rsidR="00FD0EEE">
        <w:rPr>
          <w:rFonts w:cs="Arial"/>
          <w:szCs w:val="22"/>
        </w:rPr>
        <w:t xml:space="preserve">1) </w:t>
      </w:r>
      <w:r w:rsidR="00443B00">
        <w:rPr>
          <w:rFonts w:cs="Arial"/>
          <w:szCs w:val="22"/>
        </w:rPr>
        <w:t>identifies a set of tasks</w:t>
      </w:r>
      <w:r w:rsidR="00FD0EEE">
        <w:rPr>
          <w:rFonts w:cs="Arial"/>
          <w:szCs w:val="22"/>
        </w:rPr>
        <w:t xml:space="preserve"> in IRDP projects:</w:t>
      </w:r>
      <w:r w:rsidR="00C15D3B" w:rsidRPr="00FD0EEE">
        <w:rPr>
          <w:rFonts w:cs="Arial"/>
          <w:szCs w:val="22"/>
        </w:rPr>
        <w:t xml:space="preserve"> </w:t>
      </w:r>
    </w:p>
    <w:p w14:paraId="798C7A27" w14:textId="396938C0" w:rsidR="00C15D3B" w:rsidRPr="00C15D3B" w:rsidRDefault="00443B00" w:rsidP="00250EA9">
      <w:pPr>
        <w:spacing w:after="0" w:line="360" w:lineRule="auto"/>
        <w:rPr>
          <w:rFonts w:cs="Arial"/>
          <w:i/>
          <w:szCs w:val="22"/>
        </w:rPr>
      </w:pPr>
      <w:r>
        <w:rPr>
          <w:rFonts w:cs="Arial"/>
          <w:i/>
          <w:szCs w:val="22"/>
        </w:rPr>
        <w:t>‘</w:t>
      </w:r>
      <w:r w:rsidR="00C15D3B" w:rsidRPr="00C15D3B">
        <w:rPr>
          <w:rFonts w:cs="Arial"/>
          <w:i/>
          <w:szCs w:val="22"/>
        </w:rPr>
        <w:t>Facilitation should…include the following tasks… (survey, participation, project progress reporting, conflict resolution, and) housing support services comprising:</w:t>
      </w:r>
    </w:p>
    <w:p w14:paraId="1D372CFF" w14:textId="77777777" w:rsidR="00C15D3B" w:rsidRPr="00C15D3B" w:rsidRDefault="00C15D3B" w:rsidP="0055634E">
      <w:pPr>
        <w:pStyle w:val="ListParagraph"/>
        <w:numPr>
          <w:ilvl w:val="0"/>
          <w:numId w:val="8"/>
        </w:numPr>
        <w:spacing w:after="0"/>
        <w:ind w:left="720"/>
        <w:rPr>
          <w:rFonts w:cs="Arial"/>
          <w:i/>
        </w:rPr>
      </w:pPr>
      <w:r w:rsidRPr="00C15D3B">
        <w:rPr>
          <w:rFonts w:cs="Arial"/>
          <w:i/>
        </w:rPr>
        <w:t>Training and education on housing rights and obligations</w:t>
      </w:r>
    </w:p>
    <w:p w14:paraId="68C5EBCE" w14:textId="77777777" w:rsidR="00C15D3B" w:rsidRPr="00C15D3B" w:rsidRDefault="00C15D3B" w:rsidP="0055634E">
      <w:pPr>
        <w:pStyle w:val="ListParagraph"/>
        <w:numPr>
          <w:ilvl w:val="0"/>
          <w:numId w:val="8"/>
        </w:numPr>
        <w:spacing w:after="0"/>
        <w:ind w:left="720"/>
        <w:rPr>
          <w:rFonts w:cs="Arial"/>
          <w:i/>
        </w:rPr>
      </w:pPr>
      <w:r w:rsidRPr="00C15D3B">
        <w:rPr>
          <w:rFonts w:cs="Arial"/>
          <w:i/>
        </w:rPr>
        <w:t>Capacity building of housing beneficiaries</w:t>
      </w:r>
    </w:p>
    <w:p w14:paraId="0BF42E62" w14:textId="77777777" w:rsidR="00C15D3B" w:rsidRPr="00C15D3B" w:rsidRDefault="00C15D3B" w:rsidP="0055634E">
      <w:pPr>
        <w:pStyle w:val="ListParagraph"/>
        <w:numPr>
          <w:ilvl w:val="0"/>
          <w:numId w:val="8"/>
        </w:numPr>
        <w:spacing w:after="0"/>
        <w:ind w:left="720"/>
        <w:rPr>
          <w:rFonts w:cs="Arial"/>
          <w:i/>
        </w:rPr>
      </w:pPr>
      <w:r w:rsidRPr="00C15D3B">
        <w:rPr>
          <w:rFonts w:cs="Arial"/>
          <w:i/>
        </w:rPr>
        <w:t>Assistance with the selection of housing options</w:t>
      </w:r>
    </w:p>
    <w:p w14:paraId="31A41256" w14:textId="0D8C5479" w:rsidR="00C15D3B" w:rsidRPr="00C15D3B" w:rsidRDefault="00C15D3B" w:rsidP="0055634E">
      <w:pPr>
        <w:pStyle w:val="ListParagraph"/>
        <w:numPr>
          <w:ilvl w:val="0"/>
          <w:numId w:val="8"/>
        </w:numPr>
        <w:spacing w:after="0"/>
        <w:ind w:left="720"/>
        <w:rPr>
          <w:rFonts w:cs="Arial"/>
          <w:i/>
        </w:rPr>
      </w:pPr>
      <w:r w:rsidRPr="00C15D3B">
        <w:rPr>
          <w:rFonts w:cs="Arial"/>
          <w:i/>
        </w:rPr>
        <w:t>Management of building materials</w:t>
      </w:r>
      <w:r>
        <w:rPr>
          <w:rFonts w:cs="Arial"/>
          <w:i/>
        </w:rPr>
        <w:t>; and</w:t>
      </w:r>
    </w:p>
    <w:p w14:paraId="7E603193" w14:textId="30A8EF57" w:rsidR="00C15D3B" w:rsidRDefault="00C15D3B" w:rsidP="0055634E">
      <w:pPr>
        <w:pStyle w:val="ListParagraph"/>
        <w:numPr>
          <w:ilvl w:val="0"/>
          <w:numId w:val="8"/>
        </w:numPr>
        <w:spacing w:after="0"/>
        <w:ind w:left="720"/>
        <w:rPr>
          <w:rFonts w:cs="Arial"/>
          <w:i/>
        </w:rPr>
      </w:pPr>
      <w:r w:rsidRPr="00C15D3B">
        <w:rPr>
          <w:rFonts w:cs="Arial"/>
          <w:i/>
        </w:rPr>
        <w:t>Relocation assistance</w:t>
      </w:r>
      <w:r w:rsidR="00443B00">
        <w:rPr>
          <w:rFonts w:cs="Arial"/>
          <w:i/>
        </w:rPr>
        <w:t>’</w:t>
      </w:r>
      <w:r w:rsidRPr="00C15D3B">
        <w:rPr>
          <w:rFonts w:cs="Arial"/>
          <w:i/>
        </w:rPr>
        <w:t xml:space="preserve">. </w:t>
      </w:r>
    </w:p>
    <w:p w14:paraId="5A59A242" w14:textId="77777777" w:rsidR="007D4855" w:rsidRDefault="007D4855" w:rsidP="00250EA9">
      <w:pPr>
        <w:spacing w:line="360" w:lineRule="auto"/>
        <w:rPr>
          <w:szCs w:val="22"/>
        </w:rPr>
      </w:pPr>
    </w:p>
    <w:p w14:paraId="707C005B" w14:textId="43A2DF34" w:rsidR="00535055" w:rsidRDefault="00C15D3B" w:rsidP="00250EA9">
      <w:pPr>
        <w:spacing w:line="360" w:lineRule="auto"/>
        <w:rPr>
          <w:szCs w:val="22"/>
        </w:rPr>
      </w:pPr>
      <w:r w:rsidRPr="00C15D3B">
        <w:rPr>
          <w:szCs w:val="22"/>
        </w:rPr>
        <w:t>The intent of this document is to provide a more fine-grained framework for enablement, development and redistributive support within IRDP projects</w:t>
      </w:r>
      <w:r w:rsidR="0089336E">
        <w:rPr>
          <w:szCs w:val="22"/>
        </w:rPr>
        <w:t xml:space="preserve">, focused </w:t>
      </w:r>
      <w:r w:rsidR="007D4855">
        <w:rPr>
          <w:szCs w:val="22"/>
        </w:rPr>
        <w:t>not only on households who will receive top structure subsidies, but also on those that may be required to take a more active role in their home building endeavours.</w:t>
      </w:r>
      <w:r>
        <w:rPr>
          <w:szCs w:val="22"/>
        </w:rPr>
        <w:t xml:space="preserve">  </w:t>
      </w:r>
    </w:p>
    <w:p w14:paraId="7D8B37AD" w14:textId="76883EAF" w:rsidR="00D60E99" w:rsidRPr="00CC67C7" w:rsidRDefault="00D60E99" w:rsidP="00E67269">
      <w:pPr>
        <w:pStyle w:val="Heading3"/>
      </w:pPr>
      <w:bookmarkStart w:id="175" w:name="_Toc261617610"/>
      <w:bookmarkStart w:id="176" w:name="_Toc262067824"/>
      <w:bookmarkStart w:id="177" w:name="_Toc262068150"/>
      <w:r>
        <w:t xml:space="preserve">Categories of </w:t>
      </w:r>
      <w:bookmarkEnd w:id="175"/>
      <w:r w:rsidR="003668CF">
        <w:t>Facilitation and Support for House Consolidation</w:t>
      </w:r>
      <w:bookmarkEnd w:id="176"/>
      <w:bookmarkEnd w:id="177"/>
    </w:p>
    <w:p w14:paraId="60E3F589" w14:textId="4B4C99DD" w:rsidR="00D60E99" w:rsidRDefault="00B31EA3" w:rsidP="00443B00">
      <w:pPr>
        <w:spacing w:line="360" w:lineRule="auto"/>
        <w:rPr>
          <w:szCs w:val="22"/>
        </w:rPr>
      </w:pPr>
      <w:r>
        <w:rPr>
          <w:szCs w:val="22"/>
        </w:rPr>
        <w:t xml:space="preserve">Seven </w:t>
      </w:r>
      <w:r w:rsidR="00D60E99">
        <w:rPr>
          <w:szCs w:val="22"/>
        </w:rPr>
        <w:t xml:space="preserve">categories of support are identified that should be implemented according to need within all </w:t>
      </w:r>
      <w:r w:rsidR="00852B3D">
        <w:rPr>
          <w:szCs w:val="22"/>
        </w:rPr>
        <w:t>UISP</w:t>
      </w:r>
      <w:r w:rsidR="00D60E99">
        <w:rPr>
          <w:szCs w:val="22"/>
        </w:rPr>
        <w:t xml:space="preserve"> projects. These are outlined in </w:t>
      </w:r>
      <w:r w:rsidR="00D60E99" w:rsidRPr="00C64CEA">
        <w:rPr>
          <w:b/>
          <w:szCs w:val="22"/>
        </w:rPr>
        <w:t xml:space="preserve">Table </w:t>
      </w:r>
      <w:r w:rsidR="00C64CEA" w:rsidRPr="00C64CEA">
        <w:rPr>
          <w:b/>
          <w:szCs w:val="22"/>
        </w:rPr>
        <w:t>4</w:t>
      </w:r>
      <w:r w:rsidR="00D60E99">
        <w:rPr>
          <w:szCs w:val="22"/>
        </w:rPr>
        <w:t xml:space="preserve"> overleaf.</w:t>
      </w:r>
    </w:p>
    <w:p w14:paraId="244F7531" w14:textId="2E398118" w:rsidR="00D60E99" w:rsidRDefault="009506C1" w:rsidP="00443B00">
      <w:pPr>
        <w:spacing w:line="360" w:lineRule="auto"/>
        <w:rPr>
          <w:szCs w:val="22"/>
        </w:rPr>
      </w:pPr>
      <w:r>
        <w:rPr>
          <w:szCs w:val="22"/>
        </w:rPr>
        <w:t>This table also indicates the core functions generally included in each one, and references the sections of this report where each category of facilitative support is discussed.</w:t>
      </w:r>
    </w:p>
    <w:p w14:paraId="294098FA" w14:textId="77777777" w:rsidR="009506C1" w:rsidRDefault="009506C1" w:rsidP="00D60E99">
      <w:pPr>
        <w:spacing w:line="360" w:lineRule="auto"/>
        <w:ind w:left="488"/>
        <w:rPr>
          <w:szCs w:val="22"/>
        </w:rPr>
        <w:sectPr w:rsidR="009506C1" w:rsidSect="00F845C0">
          <w:pgSz w:w="12240" w:h="15840"/>
          <w:pgMar w:top="1440" w:right="1440" w:bottom="1440" w:left="1440" w:header="720" w:footer="720" w:gutter="0"/>
          <w:cols w:space="720"/>
          <w:docGrid w:linePitch="360"/>
        </w:sectPr>
      </w:pPr>
    </w:p>
    <w:p w14:paraId="174FAC46" w14:textId="1A315D21" w:rsidR="00D60E99" w:rsidRDefault="004A5492" w:rsidP="00CF1919">
      <w:pPr>
        <w:pStyle w:val="Caption"/>
      </w:pPr>
      <w:bookmarkStart w:id="178" w:name="_Toc270945495"/>
      <w:r w:rsidRPr="00A0532A">
        <w:lastRenderedPageBreak/>
        <w:t xml:space="preserve">Table </w:t>
      </w:r>
      <w:r w:rsidRPr="00A0532A">
        <w:fldChar w:fldCharType="begin"/>
      </w:r>
      <w:r w:rsidRPr="00A0532A">
        <w:instrText xml:space="preserve"> SEQ Table \* ARABIC </w:instrText>
      </w:r>
      <w:r w:rsidRPr="00A0532A">
        <w:fldChar w:fldCharType="separate"/>
      </w:r>
      <w:r w:rsidR="00E9048A">
        <w:rPr>
          <w:noProof/>
        </w:rPr>
        <w:t>4</w:t>
      </w:r>
      <w:r w:rsidRPr="00A0532A">
        <w:rPr>
          <w:noProof/>
        </w:rPr>
        <w:fldChar w:fldCharType="end"/>
      </w:r>
      <w:r w:rsidRPr="00A0532A">
        <w:t xml:space="preserve">: </w:t>
      </w:r>
      <w:r w:rsidR="0089336E">
        <w:t>Categories of Facilitative Activities for Housing Consolidation in ISU</w:t>
      </w:r>
      <w:bookmarkEnd w:id="178"/>
    </w:p>
    <w:p w14:paraId="520AB782" w14:textId="37CA1A56" w:rsidR="00B53E36" w:rsidRPr="00E11203" w:rsidRDefault="00B53E36" w:rsidP="00B53E36">
      <w:pPr>
        <w:pStyle w:val="Caption"/>
      </w:pPr>
    </w:p>
    <w:tbl>
      <w:tblPr>
        <w:tblStyle w:val="LightGrid-Accent3"/>
        <w:tblW w:w="13291" w:type="dxa"/>
        <w:tblLook w:val="04A0" w:firstRow="1" w:lastRow="0" w:firstColumn="1" w:lastColumn="0" w:noHBand="0" w:noVBand="1"/>
      </w:tblPr>
      <w:tblGrid>
        <w:gridCol w:w="2518"/>
        <w:gridCol w:w="4820"/>
        <w:gridCol w:w="4252"/>
        <w:gridCol w:w="1701"/>
      </w:tblGrid>
      <w:tr w:rsidR="00B53E36" w:rsidRPr="00AA3071" w14:paraId="3C2D40FC" w14:textId="77777777" w:rsidTr="00B53E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14:paraId="002EE161" w14:textId="77777777" w:rsidR="00B53E36" w:rsidRPr="00250EA9" w:rsidRDefault="00B53E36" w:rsidP="000075A8">
            <w:pPr>
              <w:spacing w:after="0"/>
              <w:rPr>
                <w:rFonts w:asciiTheme="minorHAnsi" w:hAnsiTheme="minorHAnsi" w:cs="Arial"/>
                <w:sz w:val="20"/>
                <w:szCs w:val="20"/>
              </w:rPr>
            </w:pPr>
            <w:r w:rsidRPr="00250EA9">
              <w:rPr>
                <w:rFonts w:asciiTheme="minorHAnsi" w:hAnsiTheme="minorHAnsi" w:cs="Arial"/>
                <w:sz w:val="20"/>
                <w:szCs w:val="20"/>
              </w:rPr>
              <w:t>Facilitation Category</w:t>
            </w:r>
          </w:p>
        </w:tc>
        <w:tc>
          <w:tcPr>
            <w:tcW w:w="4820" w:type="dxa"/>
          </w:tcPr>
          <w:p w14:paraId="2188EFFA" w14:textId="77777777" w:rsidR="00B53E36" w:rsidRPr="00250EA9" w:rsidRDefault="00B53E36" w:rsidP="000075A8">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 xml:space="preserve">Description of work stream as it relates to supporting housing consolidation </w:t>
            </w:r>
          </w:p>
        </w:tc>
        <w:tc>
          <w:tcPr>
            <w:tcW w:w="4252" w:type="dxa"/>
          </w:tcPr>
          <w:p w14:paraId="1D6B03F8" w14:textId="77777777" w:rsidR="00B53E36" w:rsidRPr="00250EA9" w:rsidRDefault="00B53E36" w:rsidP="009A316A">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Core Activities Included in Category</w:t>
            </w:r>
          </w:p>
        </w:tc>
        <w:tc>
          <w:tcPr>
            <w:tcW w:w="1701" w:type="dxa"/>
          </w:tcPr>
          <w:p w14:paraId="2D840129" w14:textId="77777777" w:rsidR="00B53E36" w:rsidRPr="00250EA9" w:rsidRDefault="00B53E36" w:rsidP="000E53F6">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Section in This Document</w:t>
            </w:r>
          </w:p>
        </w:tc>
      </w:tr>
      <w:tr w:rsidR="00B53E36" w:rsidRPr="00AA3071" w14:paraId="1ABE120D" w14:textId="77777777" w:rsidTr="00B53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F22DB24" w14:textId="5BF2A2F6" w:rsidR="00B53E36" w:rsidRPr="00250EA9" w:rsidRDefault="00B53E36" w:rsidP="007D4855">
            <w:pPr>
              <w:pStyle w:val="ListParagraph"/>
              <w:numPr>
                <w:ilvl w:val="0"/>
                <w:numId w:val="49"/>
              </w:numPr>
              <w:spacing w:after="0" w:line="240" w:lineRule="auto"/>
              <w:ind w:left="242" w:hanging="242"/>
              <w:jc w:val="left"/>
              <w:rPr>
                <w:rFonts w:asciiTheme="minorHAnsi" w:hAnsiTheme="minorHAnsi" w:cs="Arial"/>
                <w:sz w:val="20"/>
                <w:szCs w:val="20"/>
              </w:rPr>
            </w:pPr>
            <w:r w:rsidRPr="00250EA9">
              <w:rPr>
                <w:rFonts w:asciiTheme="minorHAnsi" w:hAnsiTheme="minorHAnsi" w:cs="Arial"/>
                <w:sz w:val="20"/>
                <w:szCs w:val="20"/>
              </w:rPr>
              <w:t>Tenure Security</w:t>
            </w:r>
          </w:p>
        </w:tc>
        <w:tc>
          <w:tcPr>
            <w:tcW w:w="4820" w:type="dxa"/>
          </w:tcPr>
          <w:p w14:paraId="673DB484" w14:textId="77777777" w:rsidR="00B53E36" w:rsidRPr="00250EA9" w:rsidRDefault="00B53E36" w:rsidP="000075A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Confirming tenure for occupants of informal settlement in phases, from confirmation of location to full Title registration.</w:t>
            </w:r>
          </w:p>
        </w:tc>
        <w:tc>
          <w:tcPr>
            <w:tcW w:w="4252" w:type="dxa"/>
          </w:tcPr>
          <w:p w14:paraId="45430DE2"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Confirmation of settlement location</w:t>
            </w:r>
          </w:p>
          <w:p w14:paraId="38788074"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Interim tenure arrangements</w:t>
            </w:r>
          </w:p>
          <w:p w14:paraId="01E4A475"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Full title (township establishment)</w:t>
            </w:r>
          </w:p>
          <w:p w14:paraId="3B85C677"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Title Deeds handover</w:t>
            </w:r>
          </w:p>
        </w:tc>
        <w:tc>
          <w:tcPr>
            <w:tcW w:w="1701" w:type="dxa"/>
          </w:tcPr>
          <w:p w14:paraId="161B9249" w14:textId="08F9E7FF" w:rsidR="00B53E36" w:rsidRPr="00250EA9" w:rsidRDefault="00B53E3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 xml:space="preserve">Chapter </w:t>
            </w:r>
            <w:r w:rsidRPr="00250EA9">
              <w:rPr>
                <w:rFonts w:asciiTheme="minorHAnsi" w:hAnsiTheme="minorHAnsi" w:cs="Arial"/>
                <w:sz w:val="20"/>
                <w:szCs w:val="20"/>
              </w:rPr>
              <w:fldChar w:fldCharType="begin"/>
            </w:r>
            <w:r w:rsidRPr="00250EA9">
              <w:rPr>
                <w:rFonts w:asciiTheme="minorHAnsi" w:hAnsiTheme="minorHAnsi" w:cs="Arial"/>
                <w:sz w:val="20"/>
                <w:szCs w:val="20"/>
              </w:rPr>
              <w:instrText xml:space="preserve"> REF _Ref262065903 \w \h </w:instrText>
            </w:r>
            <w:r w:rsidR="00AA3071" w:rsidRPr="00250EA9">
              <w:rPr>
                <w:rFonts w:asciiTheme="minorHAnsi" w:hAnsiTheme="minorHAnsi" w:cs="Arial"/>
                <w:sz w:val="20"/>
                <w:szCs w:val="20"/>
              </w:rPr>
              <w:instrText xml:space="preserve"> \* MERGEFORMAT </w:instrText>
            </w:r>
            <w:r w:rsidRPr="00250EA9">
              <w:rPr>
                <w:rFonts w:asciiTheme="minorHAnsi" w:hAnsiTheme="minorHAnsi" w:cs="Arial"/>
                <w:sz w:val="20"/>
                <w:szCs w:val="20"/>
              </w:rPr>
            </w:r>
            <w:r w:rsidRPr="00250EA9">
              <w:rPr>
                <w:rFonts w:asciiTheme="minorHAnsi" w:hAnsiTheme="minorHAnsi" w:cs="Arial"/>
                <w:sz w:val="20"/>
                <w:szCs w:val="20"/>
              </w:rPr>
              <w:fldChar w:fldCharType="separate"/>
            </w:r>
            <w:r w:rsidR="00E9048A">
              <w:rPr>
                <w:rFonts w:asciiTheme="minorHAnsi" w:hAnsiTheme="minorHAnsi" w:cs="Arial"/>
                <w:sz w:val="20"/>
                <w:szCs w:val="20"/>
              </w:rPr>
              <w:t>4</w:t>
            </w:r>
            <w:r w:rsidRPr="00250EA9">
              <w:rPr>
                <w:rFonts w:asciiTheme="minorHAnsi" w:hAnsiTheme="minorHAnsi" w:cs="Arial"/>
                <w:sz w:val="20"/>
                <w:szCs w:val="20"/>
              </w:rPr>
              <w:fldChar w:fldCharType="end"/>
            </w:r>
          </w:p>
          <w:p w14:paraId="3AC7B6D6" w14:textId="77777777" w:rsidR="00B53E36" w:rsidRPr="00250EA9" w:rsidRDefault="00B53E36">
            <w:pPr>
              <w:tabs>
                <w:tab w:val="center" w:pos="4513"/>
                <w:tab w:val="right" w:pos="90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tc>
      </w:tr>
      <w:tr w:rsidR="00B53E36" w:rsidRPr="00AA3071" w14:paraId="2CC5BC27" w14:textId="77777777" w:rsidTr="00B53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8C73C31" w14:textId="0662A6B7" w:rsidR="00B53E36" w:rsidRPr="00250EA9" w:rsidRDefault="00B53E36" w:rsidP="007D4855">
            <w:pPr>
              <w:pStyle w:val="ListParagraph"/>
              <w:numPr>
                <w:ilvl w:val="0"/>
                <w:numId w:val="49"/>
              </w:numPr>
              <w:spacing w:after="0" w:line="240" w:lineRule="auto"/>
              <w:ind w:left="242" w:hanging="242"/>
              <w:jc w:val="left"/>
              <w:rPr>
                <w:rFonts w:asciiTheme="minorHAnsi" w:hAnsiTheme="minorHAnsi" w:cs="Arial"/>
                <w:sz w:val="20"/>
                <w:szCs w:val="20"/>
              </w:rPr>
            </w:pPr>
            <w:r w:rsidRPr="00250EA9">
              <w:rPr>
                <w:rFonts w:asciiTheme="minorHAnsi" w:hAnsiTheme="minorHAnsi" w:cs="Arial"/>
                <w:sz w:val="20"/>
                <w:szCs w:val="20"/>
              </w:rPr>
              <w:t>Health, safety and urban services</w:t>
            </w:r>
          </w:p>
        </w:tc>
        <w:tc>
          <w:tcPr>
            <w:tcW w:w="4820" w:type="dxa"/>
          </w:tcPr>
          <w:p w14:paraId="5E5CD181" w14:textId="77777777" w:rsidR="00B53E36" w:rsidRPr="00250EA9" w:rsidRDefault="00B53E36" w:rsidP="000075A8">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Implementation and installation of subsidy instruments to plan and install basic services for informal settlement occupants.</w:t>
            </w:r>
          </w:p>
        </w:tc>
        <w:tc>
          <w:tcPr>
            <w:tcW w:w="4252" w:type="dxa"/>
          </w:tcPr>
          <w:p w14:paraId="29DE3A6D"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Implementing Agent appointment</w:t>
            </w:r>
          </w:p>
          <w:p w14:paraId="4D74250A"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Installation of engineering services</w:t>
            </w:r>
          </w:p>
          <w:p w14:paraId="7BBDC85F"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 xml:space="preserve"> Delivery of municipal services?</w:t>
            </w:r>
          </w:p>
          <w:p w14:paraId="3ABCD940"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Access to Free Basic Services</w:t>
            </w:r>
          </w:p>
          <w:p w14:paraId="79E745F0" w14:textId="77777777" w:rsidR="00B53E36" w:rsidRPr="00250EA9" w:rsidRDefault="00B53E36" w:rsidP="0055634E">
            <w:pPr>
              <w:pStyle w:val="ListParagraph"/>
              <w:numPr>
                <w:ilvl w:val="0"/>
                <w:numId w:val="35"/>
              </w:numPr>
              <w:tabs>
                <w:tab w:val="center" w:pos="4513"/>
                <w:tab w:val="right" w:pos="9026"/>
              </w:tabs>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p>
        </w:tc>
        <w:tc>
          <w:tcPr>
            <w:tcW w:w="1701" w:type="dxa"/>
          </w:tcPr>
          <w:p w14:paraId="3872F249" w14:textId="77777777" w:rsidR="00B53E36" w:rsidRPr="00250EA9" w:rsidRDefault="00B53E36">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Chapter 3</w:t>
            </w:r>
          </w:p>
        </w:tc>
      </w:tr>
      <w:tr w:rsidR="00B53E36" w:rsidRPr="00AA3071" w14:paraId="31E9552A" w14:textId="77777777" w:rsidTr="00B53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8CFF1A5" w14:textId="1EE8671C" w:rsidR="00B53E36" w:rsidRPr="00250EA9" w:rsidRDefault="00B53E36" w:rsidP="007D4855">
            <w:pPr>
              <w:pStyle w:val="ListParagraph"/>
              <w:numPr>
                <w:ilvl w:val="0"/>
                <w:numId w:val="49"/>
              </w:numPr>
              <w:spacing w:after="0" w:line="240" w:lineRule="auto"/>
              <w:ind w:left="242" w:hanging="242"/>
              <w:jc w:val="left"/>
              <w:rPr>
                <w:rFonts w:asciiTheme="minorHAnsi" w:hAnsiTheme="minorHAnsi" w:cs="Arial"/>
                <w:sz w:val="20"/>
                <w:szCs w:val="20"/>
              </w:rPr>
            </w:pPr>
            <w:r w:rsidRPr="00250EA9">
              <w:rPr>
                <w:rFonts w:asciiTheme="minorHAnsi" w:hAnsiTheme="minorHAnsi" w:cs="Arial"/>
                <w:sz w:val="20"/>
                <w:szCs w:val="20"/>
              </w:rPr>
              <w:t>Public Domain Investment</w:t>
            </w:r>
          </w:p>
        </w:tc>
        <w:tc>
          <w:tcPr>
            <w:tcW w:w="4820" w:type="dxa"/>
          </w:tcPr>
          <w:p w14:paraId="1C7619BD" w14:textId="77777777" w:rsidR="00B53E36" w:rsidRPr="00250EA9" w:rsidRDefault="00B53E36" w:rsidP="000075A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Planning and managing ‘second wave’ of public investments in social facilities and services (police, education, healthcare, rec)</w:t>
            </w:r>
          </w:p>
        </w:tc>
        <w:tc>
          <w:tcPr>
            <w:tcW w:w="4252" w:type="dxa"/>
          </w:tcPr>
          <w:p w14:paraId="79C6367B"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‘Second Wave’ Social Services investment</w:t>
            </w:r>
          </w:p>
          <w:p w14:paraId="4425102F"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Social Services Delivery</w:t>
            </w:r>
          </w:p>
        </w:tc>
        <w:tc>
          <w:tcPr>
            <w:tcW w:w="1701" w:type="dxa"/>
          </w:tcPr>
          <w:p w14:paraId="5CEAAC85" w14:textId="77777777" w:rsidR="00B53E36" w:rsidRPr="00250EA9" w:rsidRDefault="00B53E36" w:rsidP="000E53F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Not included.</w:t>
            </w:r>
          </w:p>
        </w:tc>
      </w:tr>
      <w:tr w:rsidR="00B53E36" w:rsidRPr="00AA3071" w14:paraId="0E3AC1CD" w14:textId="77777777" w:rsidTr="00B53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F7506D8" w14:textId="54C863D4" w:rsidR="00B53E36" w:rsidRPr="00250EA9" w:rsidRDefault="00B53E36" w:rsidP="007D4855">
            <w:pPr>
              <w:pStyle w:val="ListParagraph"/>
              <w:numPr>
                <w:ilvl w:val="0"/>
                <w:numId w:val="49"/>
              </w:numPr>
              <w:spacing w:after="0" w:line="240" w:lineRule="auto"/>
              <w:ind w:left="242" w:hanging="242"/>
              <w:jc w:val="left"/>
              <w:rPr>
                <w:rFonts w:asciiTheme="minorHAnsi" w:hAnsiTheme="minorHAnsi" w:cs="Arial"/>
                <w:sz w:val="20"/>
                <w:szCs w:val="20"/>
              </w:rPr>
            </w:pPr>
            <w:r w:rsidRPr="00250EA9">
              <w:rPr>
                <w:rFonts w:asciiTheme="minorHAnsi" w:hAnsiTheme="minorHAnsi" w:cs="Arial"/>
                <w:sz w:val="20"/>
                <w:szCs w:val="20"/>
              </w:rPr>
              <w:t xml:space="preserve">Layout Planning </w:t>
            </w:r>
          </w:p>
        </w:tc>
        <w:tc>
          <w:tcPr>
            <w:tcW w:w="4820" w:type="dxa"/>
          </w:tcPr>
          <w:p w14:paraId="27947D76" w14:textId="77777777" w:rsidR="00B53E36" w:rsidRPr="00250EA9" w:rsidRDefault="00B53E36" w:rsidP="000075A8">
            <w:pPr>
              <w:tabs>
                <w:tab w:val="center" w:pos="4513"/>
                <w:tab w:val="right" w:pos="9026"/>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p>
        </w:tc>
        <w:tc>
          <w:tcPr>
            <w:tcW w:w="4252" w:type="dxa"/>
          </w:tcPr>
          <w:p w14:paraId="069DEE6A"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Interactive Settlement Planning</w:t>
            </w:r>
          </w:p>
        </w:tc>
        <w:tc>
          <w:tcPr>
            <w:tcW w:w="1701" w:type="dxa"/>
          </w:tcPr>
          <w:p w14:paraId="73D0041D" w14:textId="77777777" w:rsidR="00B53E36" w:rsidRPr="00250EA9" w:rsidRDefault="00B53E36" w:rsidP="009A316A">
            <w:pPr>
              <w:tabs>
                <w:tab w:val="center" w:pos="4513"/>
                <w:tab w:val="right" w:pos="9026"/>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p>
        </w:tc>
      </w:tr>
      <w:tr w:rsidR="00B53E36" w:rsidRPr="00AA3071" w14:paraId="7CE1BD7E" w14:textId="77777777" w:rsidTr="00B53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F299349" w14:textId="08E84EB0" w:rsidR="00B53E36" w:rsidRPr="00250EA9" w:rsidRDefault="00B53E36" w:rsidP="007D4855">
            <w:pPr>
              <w:pStyle w:val="ListParagraph"/>
              <w:numPr>
                <w:ilvl w:val="0"/>
                <w:numId w:val="49"/>
              </w:numPr>
              <w:spacing w:after="0" w:line="240" w:lineRule="auto"/>
              <w:ind w:left="242" w:hanging="242"/>
              <w:jc w:val="left"/>
              <w:rPr>
                <w:rFonts w:asciiTheme="minorHAnsi" w:hAnsiTheme="minorHAnsi" w:cs="Arial"/>
                <w:sz w:val="20"/>
                <w:szCs w:val="20"/>
              </w:rPr>
            </w:pPr>
            <w:r w:rsidRPr="00250EA9">
              <w:rPr>
                <w:rFonts w:asciiTheme="minorHAnsi" w:hAnsiTheme="minorHAnsi" w:cs="Arial"/>
                <w:sz w:val="20"/>
                <w:szCs w:val="20"/>
              </w:rPr>
              <w:t xml:space="preserve">Urban </w:t>
            </w:r>
            <w:r w:rsidR="00443B00" w:rsidRPr="00250EA9">
              <w:rPr>
                <w:rFonts w:asciiTheme="minorHAnsi" w:hAnsiTheme="minorHAnsi" w:cs="Arial"/>
                <w:sz w:val="20"/>
                <w:szCs w:val="20"/>
              </w:rPr>
              <w:t>Planning and</w:t>
            </w:r>
            <w:r w:rsidRPr="00250EA9">
              <w:rPr>
                <w:rFonts w:asciiTheme="minorHAnsi" w:hAnsiTheme="minorHAnsi" w:cs="Arial"/>
                <w:sz w:val="20"/>
                <w:szCs w:val="20"/>
              </w:rPr>
              <w:t xml:space="preserve"> Management </w:t>
            </w:r>
          </w:p>
        </w:tc>
        <w:tc>
          <w:tcPr>
            <w:tcW w:w="4820" w:type="dxa"/>
          </w:tcPr>
          <w:p w14:paraId="79045219" w14:textId="77777777" w:rsidR="00B53E36" w:rsidRPr="00250EA9" w:rsidRDefault="00B53E36" w:rsidP="000075A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Setting a facilitative planning and urban management platform for incremental housing development &amp; Implementing and maintaining municipal services and town planning controls to provide a platform for household development.</w:t>
            </w:r>
          </w:p>
        </w:tc>
        <w:tc>
          <w:tcPr>
            <w:tcW w:w="4252" w:type="dxa"/>
          </w:tcPr>
          <w:p w14:paraId="35CE8F94"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Defining housing typology</w:t>
            </w:r>
          </w:p>
          <w:p w14:paraId="5066FC67"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Zoning &amp; building regulations</w:t>
            </w:r>
          </w:p>
          <w:p w14:paraId="19EDDAE1"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Approved designs</w:t>
            </w:r>
          </w:p>
        </w:tc>
        <w:tc>
          <w:tcPr>
            <w:tcW w:w="1701" w:type="dxa"/>
          </w:tcPr>
          <w:p w14:paraId="54F2ACF3" w14:textId="77777777" w:rsidR="00B53E36" w:rsidRPr="00250EA9" w:rsidRDefault="00B53E36" w:rsidP="00E73E81">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Section 6.2</w:t>
            </w:r>
          </w:p>
        </w:tc>
      </w:tr>
      <w:tr w:rsidR="00B53E36" w:rsidRPr="00AA3071" w14:paraId="2BA0A7D6" w14:textId="77777777" w:rsidTr="00B53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B2F7518" w14:textId="531F6EBB" w:rsidR="00B53E36" w:rsidRPr="00250EA9" w:rsidRDefault="00B53E36" w:rsidP="007D4855">
            <w:pPr>
              <w:pStyle w:val="ListParagraph"/>
              <w:numPr>
                <w:ilvl w:val="0"/>
                <w:numId w:val="49"/>
              </w:numPr>
              <w:spacing w:after="0" w:line="240" w:lineRule="auto"/>
              <w:ind w:left="242" w:hanging="242"/>
              <w:jc w:val="left"/>
              <w:rPr>
                <w:rFonts w:asciiTheme="minorHAnsi" w:hAnsiTheme="minorHAnsi" w:cs="Arial"/>
                <w:sz w:val="20"/>
                <w:szCs w:val="20"/>
              </w:rPr>
            </w:pPr>
            <w:r w:rsidRPr="00250EA9">
              <w:rPr>
                <w:rFonts w:asciiTheme="minorHAnsi" w:hAnsiTheme="minorHAnsi" w:cs="Arial"/>
                <w:sz w:val="20"/>
                <w:szCs w:val="20"/>
              </w:rPr>
              <w:t xml:space="preserve">Community Capacitation/social capital development </w:t>
            </w:r>
          </w:p>
        </w:tc>
        <w:tc>
          <w:tcPr>
            <w:tcW w:w="4820" w:type="dxa"/>
          </w:tcPr>
          <w:p w14:paraId="66AC1054" w14:textId="77777777" w:rsidR="00B53E36" w:rsidRPr="00250EA9" w:rsidRDefault="00B53E36" w:rsidP="000075A8">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Engaging, capacitating and where necessary representing the informal settlement community during the upgrading process.</w:t>
            </w:r>
          </w:p>
        </w:tc>
        <w:tc>
          <w:tcPr>
            <w:tcW w:w="4252" w:type="dxa"/>
          </w:tcPr>
          <w:p w14:paraId="71FB5508"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Community engagement</w:t>
            </w:r>
          </w:p>
          <w:p w14:paraId="51FA1109"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Community capacitation</w:t>
            </w:r>
          </w:p>
          <w:p w14:paraId="016C6D26"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Community Representation</w:t>
            </w:r>
          </w:p>
        </w:tc>
        <w:tc>
          <w:tcPr>
            <w:tcW w:w="1701" w:type="dxa"/>
          </w:tcPr>
          <w:p w14:paraId="37A40D58" w14:textId="77777777" w:rsidR="00B53E36" w:rsidRPr="00250EA9" w:rsidRDefault="00B53E36" w:rsidP="000E53F6">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Chapter 3</w:t>
            </w:r>
          </w:p>
        </w:tc>
      </w:tr>
      <w:tr w:rsidR="00B53E36" w:rsidRPr="00AA3071" w14:paraId="6E44F3C7" w14:textId="77777777" w:rsidTr="00B53E36">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518" w:type="dxa"/>
          </w:tcPr>
          <w:p w14:paraId="4D538AE4" w14:textId="77E7EFFF" w:rsidR="00B53E36" w:rsidRPr="00250EA9" w:rsidRDefault="00B53E36" w:rsidP="007D4855">
            <w:pPr>
              <w:pStyle w:val="ListParagraph"/>
              <w:numPr>
                <w:ilvl w:val="0"/>
                <w:numId w:val="49"/>
              </w:numPr>
              <w:spacing w:after="0" w:line="240" w:lineRule="auto"/>
              <w:ind w:left="242" w:hanging="242"/>
              <w:jc w:val="left"/>
              <w:rPr>
                <w:rFonts w:asciiTheme="minorHAnsi" w:hAnsiTheme="minorHAnsi" w:cs="Arial"/>
                <w:sz w:val="20"/>
                <w:szCs w:val="20"/>
              </w:rPr>
            </w:pPr>
            <w:r w:rsidRPr="00250EA9">
              <w:rPr>
                <w:rFonts w:asciiTheme="minorHAnsi" w:hAnsiTheme="minorHAnsi" w:cs="Arial"/>
                <w:sz w:val="20"/>
                <w:szCs w:val="20"/>
              </w:rPr>
              <w:t xml:space="preserve">Housing consolidation </w:t>
            </w:r>
          </w:p>
        </w:tc>
        <w:tc>
          <w:tcPr>
            <w:tcW w:w="4820" w:type="dxa"/>
          </w:tcPr>
          <w:p w14:paraId="190437FA" w14:textId="77777777" w:rsidR="00B53E36" w:rsidRPr="00250EA9" w:rsidRDefault="00B53E36" w:rsidP="000075A8">
            <w:pPr>
              <w:tabs>
                <w:tab w:val="center" w:pos="4513"/>
                <w:tab w:val="right" w:pos="90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tc>
        <w:tc>
          <w:tcPr>
            <w:tcW w:w="4252" w:type="dxa"/>
          </w:tcPr>
          <w:p w14:paraId="51E441EB" w14:textId="77777777" w:rsidR="00B53E36" w:rsidRPr="00250EA9" w:rsidRDefault="00B53E36" w:rsidP="0055634E">
            <w:pPr>
              <w:pStyle w:val="ListParagraph"/>
              <w:numPr>
                <w:ilvl w:val="0"/>
                <w:numId w:val="35"/>
              </w:numPr>
              <w:tabs>
                <w:tab w:val="center" w:pos="4513"/>
                <w:tab w:val="right" w:pos="9026"/>
              </w:tabs>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tc>
        <w:tc>
          <w:tcPr>
            <w:tcW w:w="1701" w:type="dxa"/>
          </w:tcPr>
          <w:p w14:paraId="3CC1B4E1" w14:textId="77777777" w:rsidR="00B53E36" w:rsidRPr="00250EA9" w:rsidRDefault="00B53E36" w:rsidP="009A316A">
            <w:pPr>
              <w:tabs>
                <w:tab w:val="center" w:pos="4513"/>
                <w:tab w:val="right" w:pos="9026"/>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tc>
      </w:tr>
      <w:tr w:rsidR="00B53E36" w:rsidRPr="00AA3071" w14:paraId="2E0EADBF" w14:textId="77777777" w:rsidTr="00B53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649038A" w14:textId="62B7B647" w:rsidR="00B53E36" w:rsidRPr="0064017E" w:rsidRDefault="0064017E" w:rsidP="0064017E">
            <w:pPr>
              <w:spacing w:after="0"/>
              <w:ind w:left="242" w:hanging="270"/>
              <w:jc w:val="left"/>
              <w:rPr>
                <w:rFonts w:asciiTheme="minorHAnsi" w:hAnsiTheme="minorHAnsi" w:cs="Arial"/>
                <w:b w:val="0"/>
                <w:i/>
                <w:color w:val="FF0000"/>
                <w:sz w:val="20"/>
                <w:szCs w:val="20"/>
              </w:rPr>
            </w:pPr>
            <w:r w:rsidRPr="0064017E">
              <w:rPr>
                <w:rFonts w:asciiTheme="minorHAnsi" w:hAnsiTheme="minorHAnsi" w:cs="Arial"/>
                <w:b w:val="0"/>
                <w:i/>
                <w:sz w:val="20"/>
                <w:szCs w:val="20"/>
              </w:rPr>
              <w:t>7</w:t>
            </w:r>
            <w:r w:rsidR="00B53E36" w:rsidRPr="0064017E">
              <w:rPr>
                <w:rFonts w:asciiTheme="minorHAnsi" w:hAnsiTheme="minorHAnsi" w:cs="Arial"/>
                <w:b w:val="0"/>
                <w:i/>
                <w:sz w:val="20"/>
                <w:szCs w:val="20"/>
              </w:rPr>
              <w:t>.1</w:t>
            </w:r>
            <w:r w:rsidR="007D4855" w:rsidRPr="0064017E">
              <w:rPr>
                <w:rFonts w:asciiTheme="minorHAnsi" w:hAnsiTheme="minorHAnsi" w:cs="Arial"/>
                <w:b w:val="0"/>
                <w:i/>
                <w:sz w:val="20"/>
                <w:szCs w:val="20"/>
              </w:rPr>
              <w:t xml:space="preserve"> </w:t>
            </w:r>
            <w:r w:rsidR="00B53E36" w:rsidRPr="0064017E">
              <w:rPr>
                <w:rFonts w:asciiTheme="minorHAnsi" w:hAnsiTheme="minorHAnsi" w:cs="Arial"/>
                <w:b w:val="0"/>
                <w:i/>
                <w:sz w:val="20"/>
                <w:szCs w:val="20"/>
              </w:rPr>
              <w:t>House Subsidy Implementation</w:t>
            </w:r>
          </w:p>
        </w:tc>
        <w:tc>
          <w:tcPr>
            <w:tcW w:w="4820" w:type="dxa"/>
          </w:tcPr>
          <w:p w14:paraId="1A19B4B4" w14:textId="77777777" w:rsidR="00B53E36" w:rsidRPr="00250EA9" w:rsidRDefault="00B53E36" w:rsidP="000075A8">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 xml:space="preserve">Selecting and implementing subsidies for individual full or partial house construction. </w:t>
            </w:r>
          </w:p>
        </w:tc>
        <w:tc>
          <w:tcPr>
            <w:tcW w:w="4252" w:type="dxa"/>
          </w:tcPr>
          <w:p w14:paraId="6736229F"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Identifying availability of house subsidies</w:t>
            </w:r>
          </w:p>
          <w:p w14:paraId="22DB27AC"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Selecting mode of house consolidation</w:t>
            </w:r>
          </w:p>
          <w:p w14:paraId="4C8DB944" w14:textId="17EEF157" w:rsidR="00B53E36" w:rsidRPr="00250EA9" w:rsidRDefault="00B53E36" w:rsidP="0055634E">
            <w:pPr>
              <w:pStyle w:val="ListParagraph"/>
              <w:numPr>
                <w:ilvl w:val="0"/>
                <w:numId w:val="35"/>
              </w:numPr>
              <w:spacing w:after="0" w:line="240" w:lineRule="auto"/>
              <w:ind w:left="357" w:hanging="357"/>
              <w:jc w:val="left"/>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Implementing</w:t>
            </w:r>
            <w:r w:rsidR="00AA3071">
              <w:rPr>
                <w:rFonts w:asciiTheme="minorHAnsi" w:hAnsiTheme="minorHAnsi" w:cs="Arial"/>
                <w:sz w:val="20"/>
                <w:szCs w:val="20"/>
              </w:rPr>
              <w:t xml:space="preserve"> </w:t>
            </w:r>
            <w:r w:rsidRPr="00250EA9">
              <w:rPr>
                <w:rFonts w:asciiTheme="minorHAnsi" w:hAnsiTheme="minorHAnsi" w:cs="Arial"/>
                <w:sz w:val="20"/>
                <w:szCs w:val="20"/>
              </w:rPr>
              <w:t>subsidy-led house development programme</w:t>
            </w:r>
          </w:p>
          <w:p w14:paraId="74093FFD"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Implementing blended approach</w:t>
            </w:r>
          </w:p>
        </w:tc>
        <w:tc>
          <w:tcPr>
            <w:tcW w:w="1701" w:type="dxa"/>
          </w:tcPr>
          <w:p w14:paraId="21E8C865" w14:textId="007F82EB" w:rsidR="00B53E36" w:rsidRPr="00250EA9" w:rsidRDefault="00B53E36" w:rsidP="000075A8">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 xml:space="preserve">Chapter </w:t>
            </w:r>
            <w:r w:rsidRPr="00250EA9">
              <w:rPr>
                <w:rFonts w:asciiTheme="minorHAnsi" w:hAnsiTheme="minorHAnsi" w:cs="Arial"/>
                <w:sz w:val="20"/>
                <w:szCs w:val="20"/>
              </w:rPr>
              <w:fldChar w:fldCharType="begin"/>
            </w:r>
            <w:r w:rsidRPr="00250EA9">
              <w:rPr>
                <w:rFonts w:asciiTheme="minorHAnsi" w:hAnsiTheme="minorHAnsi" w:cs="Arial"/>
                <w:sz w:val="20"/>
                <w:szCs w:val="20"/>
              </w:rPr>
              <w:instrText xml:space="preserve"> REF _Ref262065724 \w \h </w:instrText>
            </w:r>
            <w:r w:rsidR="00443B00" w:rsidRPr="00250EA9">
              <w:rPr>
                <w:rFonts w:asciiTheme="minorHAnsi" w:hAnsiTheme="minorHAnsi" w:cs="Arial"/>
                <w:sz w:val="20"/>
                <w:szCs w:val="20"/>
              </w:rPr>
              <w:instrText xml:space="preserve"> \* MERGEFORMAT </w:instrText>
            </w:r>
            <w:r w:rsidRPr="00250EA9">
              <w:rPr>
                <w:rFonts w:asciiTheme="minorHAnsi" w:hAnsiTheme="minorHAnsi" w:cs="Arial"/>
                <w:sz w:val="20"/>
                <w:szCs w:val="20"/>
              </w:rPr>
            </w:r>
            <w:r w:rsidRPr="00250EA9">
              <w:rPr>
                <w:rFonts w:asciiTheme="minorHAnsi" w:hAnsiTheme="minorHAnsi" w:cs="Arial"/>
                <w:sz w:val="20"/>
                <w:szCs w:val="20"/>
              </w:rPr>
              <w:fldChar w:fldCharType="separate"/>
            </w:r>
            <w:r w:rsidR="00E9048A">
              <w:rPr>
                <w:rFonts w:asciiTheme="minorHAnsi" w:hAnsiTheme="minorHAnsi" w:cs="Arial"/>
                <w:sz w:val="20"/>
                <w:szCs w:val="20"/>
              </w:rPr>
              <w:t>5</w:t>
            </w:r>
            <w:r w:rsidRPr="00250EA9">
              <w:rPr>
                <w:rFonts w:asciiTheme="minorHAnsi" w:hAnsiTheme="minorHAnsi" w:cs="Arial"/>
                <w:sz w:val="20"/>
                <w:szCs w:val="20"/>
              </w:rPr>
              <w:fldChar w:fldCharType="end"/>
            </w:r>
          </w:p>
          <w:p w14:paraId="7A5C8B5A" w14:textId="77777777" w:rsidR="00B53E36" w:rsidRPr="00250EA9" w:rsidRDefault="00B53E36" w:rsidP="000075A8">
            <w:pPr>
              <w:tabs>
                <w:tab w:val="center" w:pos="4513"/>
                <w:tab w:val="right" w:pos="9026"/>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p>
          <w:p w14:paraId="4B5AF288" w14:textId="77777777" w:rsidR="00B53E36" w:rsidRPr="00250EA9" w:rsidRDefault="00B53E36" w:rsidP="009A316A">
            <w:pPr>
              <w:tabs>
                <w:tab w:val="center" w:pos="4513"/>
                <w:tab w:val="right" w:pos="9026"/>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p>
          <w:p w14:paraId="7B172864" w14:textId="77777777" w:rsidR="00B53E36" w:rsidRPr="00250EA9" w:rsidRDefault="00B53E36" w:rsidP="009A316A">
            <w:pPr>
              <w:tabs>
                <w:tab w:val="center" w:pos="4513"/>
                <w:tab w:val="right" w:pos="9026"/>
              </w:tabs>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p>
          <w:p w14:paraId="42756E21" w14:textId="77777777" w:rsidR="00B53E36" w:rsidRPr="00250EA9" w:rsidRDefault="00B53E36" w:rsidP="000E53F6">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Section 6.5</w:t>
            </w:r>
          </w:p>
        </w:tc>
      </w:tr>
      <w:tr w:rsidR="00B53E36" w:rsidRPr="00AA3071" w14:paraId="7BFFF0B3" w14:textId="77777777" w:rsidTr="00B53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42C565A" w14:textId="01C0026F" w:rsidR="00B53E36" w:rsidRPr="0064017E" w:rsidRDefault="0064017E" w:rsidP="0064017E">
            <w:pPr>
              <w:spacing w:after="0"/>
              <w:ind w:left="242" w:hanging="270"/>
              <w:jc w:val="left"/>
              <w:rPr>
                <w:rFonts w:asciiTheme="minorHAnsi" w:hAnsiTheme="minorHAnsi" w:cs="Arial"/>
                <w:b w:val="0"/>
                <w:i/>
                <w:sz w:val="20"/>
                <w:szCs w:val="20"/>
              </w:rPr>
            </w:pPr>
            <w:r w:rsidRPr="0064017E">
              <w:rPr>
                <w:rFonts w:asciiTheme="minorHAnsi" w:hAnsiTheme="minorHAnsi" w:cs="Arial"/>
                <w:b w:val="0"/>
                <w:i/>
                <w:sz w:val="20"/>
                <w:szCs w:val="20"/>
              </w:rPr>
              <w:t>7</w:t>
            </w:r>
            <w:r w:rsidR="00B53E36" w:rsidRPr="0064017E">
              <w:rPr>
                <w:rFonts w:asciiTheme="minorHAnsi" w:hAnsiTheme="minorHAnsi" w:cs="Arial"/>
                <w:b w:val="0"/>
                <w:i/>
                <w:sz w:val="20"/>
                <w:szCs w:val="20"/>
              </w:rPr>
              <w:t>.2 Facilitating Household Investments</w:t>
            </w:r>
          </w:p>
        </w:tc>
        <w:tc>
          <w:tcPr>
            <w:tcW w:w="4820" w:type="dxa"/>
          </w:tcPr>
          <w:p w14:paraId="33F965A1" w14:textId="77777777" w:rsidR="00B53E36" w:rsidRPr="00250EA9" w:rsidRDefault="00B53E36" w:rsidP="000075A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Facilitating private or household investment in their house design, costing and implementation process.</w:t>
            </w:r>
          </w:p>
        </w:tc>
        <w:tc>
          <w:tcPr>
            <w:tcW w:w="4252" w:type="dxa"/>
          </w:tcPr>
          <w:p w14:paraId="01BCAE67"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Encourage savings</w:t>
            </w:r>
          </w:p>
          <w:p w14:paraId="3E7B61E3"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Consumer education and assistance</w:t>
            </w:r>
          </w:p>
          <w:p w14:paraId="1E670B59"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Housing affordability assessment</w:t>
            </w:r>
          </w:p>
        </w:tc>
        <w:tc>
          <w:tcPr>
            <w:tcW w:w="1701" w:type="dxa"/>
          </w:tcPr>
          <w:p w14:paraId="722B238E" w14:textId="77777777" w:rsidR="00B53E36" w:rsidRPr="00250EA9" w:rsidRDefault="00B53E36" w:rsidP="000E53F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Section 6.3</w:t>
            </w:r>
          </w:p>
        </w:tc>
      </w:tr>
      <w:tr w:rsidR="00B53E36" w:rsidRPr="00AA3071" w14:paraId="552CFC6B" w14:textId="77777777" w:rsidTr="00B53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4C1F572" w14:textId="6CD87239" w:rsidR="00B53E36" w:rsidRPr="0064017E" w:rsidRDefault="0064017E" w:rsidP="0064017E">
            <w:pPr>
              <w:spacing w:after="0"/>
              <w:ind w:left="242" w:hanging="270"/>
              <w:jc w:val="left"/>
              <w:rPr>
                <w:rFonts w:asciiTheme="minorHAnsi" w:hAnsiTheme="minorHAnsi" w:cs="Arial"/>
                <w:b w:val="0"/>
                <w:i/>
                <w:sz w:val="20"/>
                <w:szCs w:val="20"/>
              </w:rPr>
            </w:pPr>
            <w:r w:rsidRPr="0064017E">
              <w:rPr>
                <w:rFonts w:asciiTheme="minorHAnsi" w:hAnsiTheme="minorHAnsi" w:cs="Arial"/>
                <w:b w:val="0"/>
                <w:i/>
                <w:sz w:val="20"/>
                <w:szCs w:val="20"/>
              </w:rPr>
              <w:lastRenderedPageBreak/>
              <w:t>7</w:t>
            </w:r>
            <w:r w:rsidR="00B53E36" w:rsidRPr="0064017E">
              <w:rPr>
                <w:rFonts w:asciiTheme="minorHAnsi" w:hAnsiTheme="minorHAnsi" w:cs="Arial"/>
                <w:b w:val="0"/>
                <w:i/>
                <w:sz w:val="20"/>
                <w:szCs w:val="20"/>
              </w:rPr>
              <w:t>.3</w:t>
            </w:r>
            <w:r w:rsidR="007D4855" w:rsidRPr="0064017E">
              <w:rPr>
                <w:rFonts w:asciiTheme="minorHAnsi" w:hAnsiTheme="minorHAnsi" w:cs="Arial"/>
                <w:b w:val="0"/>
                <w:i/>
                <w:sz w:val="20"/>
                <w:szCs w:val="20"/>
              </w:rPr>
              <w:t xml:space="preserve">  </w:t>
            </w:r>
            <w:r w:rsidR="00B53E36" w:rsidRPr="0064017E">
              <w:rPr>
                <w:rFonts w:asciiTheme="minorHAnsi" w:hAnsiTheme="minorHAnsi" w:cs="Arial"/>
                <w:b w:val="0"/>
                <w:i/>
                <w:sz w:val="20"/>
                <w:szCs w:val="20"/>
              </w:rPr>
              <w:t>Support Private Finance Market Access</w:t>
            </w:r>
          </w:p>
        </w:tc>
        <w:tc>
          <w:tcPr>
            <w:tcW w:w="4820" w:type="dxa"/>
          </w:tcPr>
          <w:p w14:paraId="3FF1D7FA" w14:textId="77777777" w:rsidR="00B53E36" w:rsidRPr="00250EA9" w:rsidRDefault="00B53E36" w:rsidP="000075A8">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Implementing approaches to extend the access frontier for locally appropriate financial services suited to household consolidation requirements</w:t>
            </w:r>
          </w:p>
        </w:tc>
        <w:tc>
          <w:tcPr>
            <w:tcW w:w="4252" w:type="dxa"/>
          </w:tcPr>
          <w:p w14:paraId="3BF76930"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Stimulate household investment</w:t>
            </w:r>
          </w:p>
          <w:p w14:paraId="1D8B2856"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Access to community finance instruments</w:t>
            </w:r>
          </w:p>
          <w:p w14:paraId="7E97332B"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Access to credit instruments</w:t>
            </w:r>
          </w:p>
          <w:p w14:paraId="09930737" w14:textId="77777777" w:rsidR="00B53E36" w:rsidRPr="00250EA9" w:rsidRDefault="00B53E36" w:rsidP="00250EA9">
            <w:pPr>
              <w:pStyle w:val="ListParagraph"/>
              <w:spacing w:after="0" w:line="240" w:lineRule="auto"/>
              <w:ind w:left="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p>
        </w:tc>
        <w:tc>
          <w:tcPr>
            <w:tcW w:w="1701" w:type="dxa"/>
          </w:tcPr>
          <w:p w14:paraId="68886F91" w14:textId="77777777" w:rsidR="00B53E36" w:rsidRPr="00250EA9" w:rsidRDefault="00B53E36" w:rsidP="000075A8">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Section 6.4</w:t>
            </w:r>
          </w:p>
        </w:tc>
      </w:tr>
      <w:tr w:rsidR="00B53E36" w:rsidRPr="00AA3071" w14:paraId="7CB998C4" w14:textId="77777777" w:rsidTr="00B53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9DC808B" w14:textId="752A19EC" w:rsidR="00B53E36" w:rsidRPr="0064017E" w:rsidRDefault="0064017E" w:rsidP="0064017E">
            <w:pPr>
              <w:spacing w:after="0"/>
              <w:ind w:left="242" w:hanging="270"/>
              <w:jc w:val="left"/>
              <w:rPr>
                <w:rFonts w:asciiTheme="minorHAnsi" w:hAnsiTheme="minorHAnsi" w:cs="Arial"/>
                <w:b w:val="0"/>
                <w:i/>
                <w:sz w:val="20"/>
                <w:szCs w:val="20"/>
              </w:rPr>
            </w:pPr>
            <w:r w:rsidRPr="0064017E">
              <w:rPr>
                <w:rFonts w:asciiTheme="minorHAnsi" w:hAnsiTheme="minorHAnsi" w:cs="Arial"/>
                <w:b w:val="0"/>
                <w:i/>
                <w:sz w:val="20"/>
                <w:szCs w:val="20"/>
              </w:rPr>
              <w:t>7.</w:t>
            </w:r>
            <w:r w:rsidR="00B53E36" w:rsidRPr="0064017E">
              <w:rPr>
                <w:rFonts w:asciiTheme="minorHAnsi" w:hAnsiTheme="minorHAnsi" w:cs="Arial"/>
                <w:b w:val="0"/>
                <w:i/>
                <w:sz w:val="20"/>
                <w:szCs w:val="20"/>
              </w:rPr>
              <w:t>.4 Technical Support to Households</w:t>
            </w:r>
          </w:p>
        </w:tc>
        <w:tc>
          <w:tcPr>
            <w:tcW w:w="4820" w:type="dxa"/>
          </w:tcPr>
          <w:p w14:paraId="5B3C2F02" w14:textId="77777777" w:rsidR="00B53E36" w:rsidRPr="00250EA9" w:rsidRDefault="00B53E36" w:rsidP="000075A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Providing support to households regarding the home building processes that they may not be sufficiently skilled to understand or access.</w:t>
            </w:r>
          </w:p>
        </w:tc>
        <w:tc>
          <w:tcPr>
            <w:tcW w:w="4252" w:type="dxa"/>
          </w:tcPr>
          <w:p w14:paraId="2EE449C0"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Training</w:t>
            </w:r>
          </w:p>
          <w:p w14:paraId="06EE256B"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House plans</w:t>
            </w:r>
          </w:p>
          <w:p w14:paraId="791E251A"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Professional services inputs</w:t>
            </w:r>
          </w:p>
          <w:p w14:paraId="14824F3C"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Access to building materials</w:t>
            </w:r>
          </w:p>
          <w:p w14:paraId="66265CC7"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Consumer protection</w:t>
            </w:r>
          </w:p>
        </w:tc>
        <w:tc>
          <w:tcPr>
            <w:tcW w:w="1701" w:type="dxa"/>
          </w:tcPr>
          <w:p w14:paraId="68C23008" w14:textId="77777777" w:rsidR="00B53E36" w:rsidRPr="00250EA9" w:rsidRDefault="00B53E3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Section 6.6</w:t>
            </w:r>
          </w:p>
        </w:tc>
      </w:tr>
      <w:tr w:rsidR="00B53E36" w:rsidRPr="00AA3071" w14:paraId="78ADD2AE" w14:textId="77777777" w:rsidTr="00B53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7268CB0" w14:textId="61EB202E" w:rsidR="00B53E36" w:rsidRPr="0064017E" w:rsidRDefault="0064017E" w:rsidP="0064017E">
            <w:pPr>
              <w:spacing w:after="0"/>
              <w:ind w:left="242" w:hanging="270"/>
              <w:jc w:val="left"/>
              <w:rPr>
                <w:rFonts w:asciiTheme="minorHAnsi" w:hAnsiTheme="minorHAnsi" w:cs="Arial"/>
                <w:b w:val="0"/>
                <w:i/>
                <w:sz w:val="20"/>
                <w:szCs w:val="20"/>
              </w:rPr>
            </w:pPr>
            <w:r w:rsidRPr="0064017E">
              <w:rPr>
                <w:rFonts w:asciiTheme="minorHAnsi" w:hAnsiTheme="minorHAnsi" w:cs="Arial"/>
                <w:b w:val="0"/>
                <w:i/>
                <w:sz w:val="20"/>
                <w:szCs w:val="20"/>
              </w:rPr>
              <w:t>7</w:t>
            </w:r>
            <w:r w:rsidR="00B53E36" w:rsidRPr="0064017E">
              <w:rPr>
                <w:rFonts w:asciiTheme="minorHAnsi" w:hAnsiTheme="minorHAnsi" w:cs="Arial"/>
                <w:b w:val="0"/>
                <w:i/>
                <w:sz w:val="20"/>
                <w:szCs w:val="20"/>
              </w:rPr>
              <w:t>.5  Construction Sector Capacity Development</w:t>
            </w:r>
          </w:p>
        </w:tc>
        <w:tc>
          <w:tcPr>
            <w:tcW w:w="4820" w:type="dxa"/>
          </w:tcPr>
          <w:p w14:paraId="1CF034F3" w14:textId="77777777" w:rsidR="00B53E36" w:rsidRPr="00250EA9" w:rsidRDefault="00B53E36" w:rsidP="000075A8">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Facilitating the development and availability of suitably skilled, efficient and cost-competitive contractors and building materials suppliers.</w:t>
            </w:r>
          </w:p>
        </w:tc>
        <w:tc>
          <w:tcPr>
            <w:tcW w:w="4252" w:type="dxa"/>
          </w:tcPr>
          <w:p w14:paraId="462C0F3D"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Contractor registration</w:t>
            </w:r>
          </w:p>
          <w:p w14:paraId="23518382"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Contractor Capacitation</w:t>
            </w:r>
          </w:p>
          <w:p w14:paraId="092EDEBB" w14:textId="77777777" w:rsidR="00B53E36" w:rsidRPr="00250EA9" w:rsidRDefault="00B53E36" w:rsidP="0055634E">
            <w:pPr>
              <w:pStyle w:val="ListParagraph"/>
              <w:numPr>
                <w:ilvl w:val="0"/>
                <w:numId w:val="35"/>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Access to Contractors / Skills</w:t>
            </w:r>
          </w:p>
        </w:tc>
        <w:tc>
          <w:tcPr>
            <w:tcW w:w="1701" w:type="dxa"/>
          </w:tcPr>
          <w:p w14:paraId="662370DE" w14:textId="77777777" w:rsidR="00B53E36" w:rsidRPr="00250EA9" w:rsidRDefault="00B53E36" w:rsidP="000E53F6">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Section 6.7</w:t>
            </w:r>
          </w:p>
        </w:tc>
      </w:tr>
      <w:tr w:rsidR="00B53E36" w:rsidRPr="00AA3071" w14:paraId="7C0CCB19" w14:textId="77777777" w:rsidTr="00B53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F785BD7" w14:textId="380E9546" w:rsidR="00B53E36" w:rsidRPr="0064017E" w:rsidRDefault="0064017E" w:rsidP="0064017E">
            <w:pPr>
              <w:spacing w:after="0"/>
              <w:ind w:left="242" w:hanging="270"/>
              <w:jc w:val="left"/>
              <w:rPr>
                <w:rFonts w:asciiTheme="minorHAnsi" w:hAnsiTheme="minorHAnsi" w:cs="Arial"/>
                <w:b w:val="0"/>
                <w:i/>
                <w:sz w:val="20"/>
                <w:szCs w:val="20"/>
              </w:rPr>
            </w:pPr>
            <w:r w:rsidRPr="0064017E">
              <w:rPr>
                <w:rFonts w:asciiTheme="minorHAnsi" w:hAnsiTheme="minorHAnsi" w:cs="Arial"/>
                <w:b w:val="0"/>
                <w:i/>
                <w:sz w:val="20"/>
                <w:szCs w:val="20"/>
              </w:rPr>
              <w:t>7</w:t>
            </w:r>
            <w:r w:rsidR="00B53E36" w:rsidRPr="0064017E">
              <w:rPr>
                <w:rFonts w:asciiTheme="minorHAnsi" w:hAnsiTheme="minorHAnsi" w:cs="Arial"/>
                <w:b w:val="0"/>
                <w:i/>
                <w:sz w:val="20"/>
                <w:szCs w:val="20"/>
              </w:rPr>
              <w:t>.6 Special Needs Supplementary Finance</w:t>
            </w:r>
          </w:p>
        </w:tc>
        <w:tc>
          <w:tcPr>
            <w:tcW w:w="4820" w:type="dxa"/>
          </w:tcPr>
          <w:p w14:paraId="07681FE6" w14:textId="77777777" w:rsidR="00B53E36" w:rsidRPr="00250EA9" w:rsidRDefault="00B53E36" w:rsidP="000075A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Specific targeted assistance to those households or individuals who are unable to participate in the consolidation mode (such as child headed or aged households).</w:t>
            </w:r>
          </w:p>
        </w:tc>
        <w:tc>
          <w:tcPr>
            <w:tcW w:w="4252" w:type="dxa"/>
          </w:tcPr>
          <w:p w14:paraId="409C7766"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Special needs housing subsidies</w:t>
            </w:r>
          </w:p>
          <w:p w14:paraId="4D9D4A69" w14:textId="77777777" w:rsidR="00B53E36" w:rsidRPr="00250EA9" w:rsidRDefault="00B53E36" w:rsidP="0055634E">
            <w:pPr>
              <w:pStyle w:val="ListParagraph"/>
              <w:numPr>
                <w:ilvl w:val="0"/>
                <w:numId w:val="35"/>
              </w:numPr>
              <w:spacing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Transfer to welfare programmes</w:t>
            </w:r>
          </w:p>
        </w:tc>
        <w:tc>
          <w:tcPr>
            <w:tcW w:w="1701" w:type="dxa"/>
          </w:tcPr>
          <w:p w14:paraId="263C8D7D" w14:textId="77777777" w:rsidR="00B53E36" w:rsidRPr="00250EA9" w:rsidRDefault="00B53E36" w:rsidP="009A316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50EA9">
              <w:rPr>
                <w:rFonts w:asciiTheme="minorHAnsi" w:hAnsiTheme="minorHAnsi" w:cs="Arial"/>
                <w:sz w:val="20"/>
                <w:szCs w:val="20"/>
              </w:rPr>
              <w:t>Section 6.8</w:t>
            </w:r>
          </w:p>
        </w:tc>
      </w:tr>
    </w:tbl>
    <w:p w14:paraId="11D8845B" w14:textId="77777777" w:rsidR="00B53E36" w:rsidRDefault="00B53E36" w:rsidP="00B53E36">
      <w:pPr>
        <w:spacing w:line="360" w:lineRule="auto"/>
        <w:ind w:left="488"/>
        <w:rPr>
          <w:szCs w:val="22"/>
        </w:rPr>
      </w:pPr>
    </w:p>
    <w:p w14:paraId="3A5A5DB7" w14:textId="77777777" w:rsidR="00B53E36" w:rsidRDefault="00B53E36" w:rsidP="00B53E36"/>
    <w:p w14:paraId="4150C10C" w14:textId="77777777" w:rsidR="00B53E36" w:rsidRPr="00B53E36" w:rsidRDefault="00B53E36" w:rsidP="00B53E36"/>
    <w:p w14:paraId="59D7779A" w14:textId="77777777" w:rsidR="00D60E99" w:rsidRDefault="00D60E99" w:rsidP="00D60E99">
      <w:pPr>
        <w:spacing w:line="360" w:lineRule="auto"/>
        <w:ind w:left="488"/>
        <w:rPr>
          <w:szCs w:val="22"/>
        </w:rPr>
      </w:pPr>
    </w:p>
    <w:p w14:paraId="3A14469B" w14:textId="77777777" w:rsidR="00D60E99" w:rsidRDefault="00D60E99" w:rsidP="00D60E99">
      <w:pPr>
        <w:spacing w:line="360" w:lineRule="auto"/>
        <w:ind w:left="488"/>
        <w:rPr>
          <w:szCs w:val="22"/>
        </w:rPr>
        <w:sectPr w:rsidR="00D60E99" w:rsidSect="00E11203">
          <w:pgSz w:w="15840" w:h="12240" w:orient="landscape"/>
          <w:pgMar w:top="1440" w:right="1440" w:bottom="1440" w:left="1440" w:header="720" w:footer="720" w:gutter="0"/>
          <w:cols w:space="720"/>
          <w:docGrid w:linePitch="360"/>
        </w:sectPr>
      </w:pPr>
    </w:p>
    <w:p w14:paraId="7E159081" w14:textId="77777777" w:rsidR="001C5146" w:rsidRDefault="001C5146" w:rsidP="00540DD7">
      <w:pPr>
        <w:pStyle w:val="Heading2"/>
      </w:pPr>
      <w:bookmarkStart w:id="179" w:name="_Toc261617611"/>
      <w:bookmarkStart w:id="180" w:name="_Toc262067825"/>
      <w:bookmarkStart w:id="181" w:name="_Toc270946029"/>
      <w:r>
        <w:lastRenderedPageBreak/>
        <w:t xml:space="preserve">Conceptual Framework in Relation to </w:t>
      </w:r>
      <w:r w:rsidRPr="00251378">
        <w:t>South Africa’s Upgrading of Informal Settlement Programme (UISP)</w:t>
      </w:r>
      <w:bookmarkEnd w:id="179"/>
      <w:bookmarkEnd w:id="180"/>
      <w:bookmarkEnd w:id="181"/>
      <w:r>
        <w:t xml:space="preserve"> </w:t>
      </w:r>
    </w:p>
    <w:p w14:paraId="29118F5B" w14:textId="77777777" w:rsidR="00AA3071" w:rsidRPr="000075A8" w:rsidRDefault="00AA3071" w:rsidP="00250EA9">
      <w:pPr>
        <w:spacing w:after="0"/>
      </w:pPr>
    </w:p>
    <w:p w14:paraId="60D8ED32" w14:textId="4DE3CDFA" w:rsidR="007D4855" w:rsidRDefault="009506C1" w:rsidP="00AA3071">
      <w:pPr>
        <w:spacing w:line="360" w:lineRule="auto"/>
        <w:rPr>
          <w:rFonts w:cs="Arial"/>
          <w:szCs w:val="22"/>
        </w:rPr>
      </w:pPr>
      <w:r>
        <w:rPr>
          <w:rFonts w:cs="Arial"/>
          <w:szCs w:val="22"/>
        </w:rPr>
        <w:t xml:space="preserve">Combining the broad conceptual framework in Figure </w:t>
      </w:r>
      <w:r w:rsidR="00CF3A8D">
        <w:rPr>
          <w:rFonts w:cs="Arial"/>
          <w:szCs w:val="22"/>
        </w:rPr>
        <w:t>11</w:t>
      </w:r>
      <w:r>
        <w:rPr>
          <w:rFonts w:cs="Arial"/>
          <w:szCs w:val="22"/>
        </w:rPr>
        <w:t xml:space="preserve"> above with the specific categories of facilitative support and core functions specific to each category, we are able to develop a more complete view of the conceptual framework in </w:t>
      </w:r>
      <w:r w:rsidR="00AA3071">
        <w:rPr>
          <w:rFonts w:cs="Arial"/>
          <w:szCs w:val="22"/>
        </w:rPr>
        <w:fldChar w:fldCharType="begin"/>
      </w:r>
      <w:r w:rsidR="00AA3071">
        <w:rPr>
          <w:rFonts w:cs="Arial"/>
          <w:szCs w:val="22"/>
        </w:rPr>
        <w:instrText xml:space="preserve"> REF _Ref388619471 \h </w:instrText>
      </w:r>
      <w:r w:rsidR="00AA3071">
        <w:rPr>
          <w:rFonts w:cs="Arial"/>
          <w:szCs w:val="22"/>
        </w:rPr>
      </w:r>
      <w:r w:rsidR="00AA3071">
        <w:rPr>
          <w:rFonts w:cs="Arial"/>
          <w:szCs w:val="22"/>
        </w:rPr>
        <w:fldChar w:fldCharType="separate"/>
      </w:r>
      <w:r w:rsidR="00E9048A">
        <w:rPr>
          <w:rFonts w:cs="Arial"/>
          <w:b/>
          <w:szCs w:val="22"/>
        </w:rPr>
        <w:t>Error! Reference source not found.</w:t>
      </w:r>
      <w:r w:rsidR="00AA3071">
        <w:rPr>
          <w:rFonts w:cs="Arial"/>
          <w:szCs w:val="22"/>
        </w:rPr>
        <w:fldChar w:fldCharType="end"/>
      </w:r>
      <w:r w:rsidR="00AA3071">
        <w:rPr>
          <w:rFonts w:cs="Arial"/>
          <w:szCs w:val="22"/>
        </w:rPr>
        <w:t xml:space="preserve"> </w:t>
      </w:r>
      <w:r>
        <w:rPr>
          <w:rFonts w:cs="Arial"/>
          <w:szCs w:val="22"/>
        </w:rPr>
        <w:t xml:space="preserve">overleaf. </w:t>
      </w:r>
    </w:p>
    <w:p w14:paraId="322A17A8" w14:textId="63A0D21F" w:rsidR="003668CF" w:rsidRDefault="009506C1" w:rsidP="00AA3071">
      <w:pPr>
        <w:spacing w:line="360" w:lineRule="auto"/>
        <w:rPr>
          <w:rFonts w:cs="Arial"/>
          <w:szCs w:val="22"/>
        </w:rPr>
      </w:pPr>
      <w:r>
        <w:rPr>
          <w:rFonts w:cs="Arial"/>
          <w:szCs w:val="22"/>
        </w:rPr>
        <w:t>This</w:t>
      </w:r>
      <w:r w:rsidR="007D4855">
        <w:rPr>
          <w:rFonts w:cs="Arial"/>
          <w:szCs w:val="22"/>
        </w:rPr>
        <w:t xml:space="preserve"> Figure</w:t>
      </w:r>
      <w:r>
        <w:rPr>
          <w:rFonts w:cs="Arial"/>
          <w:szCs w:val="22"/>
        </w:rPr>
        <w:t xml:space="preserve"> plots the categories of support against the main roles performed in each </w:t>
      </w:r>
      <w:r w:rsidR="007D4855">
        <w:rPr>
          <w:rFonts w:cs="Arial"/>
          <w:szCs w:val="22"/>
        </w:rPr>
        <w:t xml:space="preserve">of the </w:t>
      </w:r>
      <w:r w:rsidR="009A6BFF">
        <w:rPr>
          <w:rFonts w:cs="Arial"/>
          <w:szCs w:val="22"/>
        </w:rPr>
        <w:t>key</w:t>
      </w:r>
      <w:r w:rsidR="007D4855">
        <w:rPr>
          <w:rFonts w:cs="Arial"/>
          <w:szCs w:val="22"/>
        </w:rPr>
        <w:t xml:space="preserve"> identified </w:t>
      </w:r>
      <w:r>
        <w:rPr>
          <w:rFonts w:cs="Arial"/>
          <w:szCs w:val="22"/>
        </w:rPr>
        <w:t xml:space="preserve">informal settlement upgrading implementation </w:t>
      </w:r>
      <w:r w:rsidR="007D4855">
        <w:rPr>
          <w:rFonts w:cs="Arial"/>
          <w:szCs w:val="22"/>
        </w:rPr>
        <w:t xml:space="preserve">approaches / </w:t>
      </w:r>
      <w:r>
        <w:rPr>
          <w:rFonts w:cs="Arial"/>
          <w:szCs w:val="22"/>
        </w:rPr>
        <w:t>scenario</w:t>
      </w:r>
      <w:r w:rsidR="007D4855">
        <w:rPr>
          <w:rFonts w:cs="Arial"/>
          <w:szCs w:val="22"/>
        </w:rPr>
        <w:t>s</w:t>
      </w:r>
      <w:r>
        <w:rPr>
          <w:rFonts w:cs="Arial"/>
          <w:szCs w:val="22"/>
        </w:rPr>
        <w:t xml:space="preserve">.  This conceptual overview will be used to position the balance of the discussion in this document.  </w:t>
      </w:r>
    </w:p>
    <w:p w14:paraId="5107B061" w14:textId="77777777" w:rsidR="009506C1" w:rsidRPr="003668CF" w:rsidRDefault="009506C1" w:rsidP="009506C1">
      <w:pPr>
        <w:spacing w:line="360" w:lineRule="auto"/>
        <w:ind w:left="488"/>
        <w:rPr>
          <w:rFonts w:cs="Arial"/>
          <w:b/>
        </w:rPr>
        <w:sectPr w:rsidR="009506C1" w:rsidRPr="003668CF" w:rsidSect="00217568">
          <w:pgSz w:w="12240" w:h="15840"/>
          <w:pgMar w:top="1440" w:right="1440" w:bottom="1440" w:left="1440" w:header="720" w:footer="720" w:gutter="0"/>
          <w:cols w:space="720"/>
          <w:docGrid w:linePitch="360"/>
        </w:sectPr>
      </w:pPr>
    </w:p>
    <w:p w14:paraId="2FD96B2F" w14:textId="0C33C144" w:rsidR="0089336E" w:rsidRDefault="00A874BF" w:rsidP="00CF1919">
      <w:pPr>
        <w:pStyle w:val="Caption"/>
      </w:pPr>
      <w:r w:rsidRPr="00A874BF">
        <w:rPr>
          <w:noProof/>
          <w:lang w:val="en-US"/>
        </w:rPr>
        <w:lastRenderedPageBreak/>
        <w:drawing>
          <wp:inline distT="0" distB="0" distL="0" distR="0" wp14:anchorId="2CFEEBB6" wp14:editId="4BEB286F">
            <wp:extent cx="8229600" cy="5380894"/>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8231012" cy="5381817"/>
                    </a:xfrm>
                    <a:prstGeom prst="rect">
                      <a:avLst/>
                    </a:prstGeom>
                    <a:noFill/>
                    <a:ln>
                      <a:noFill/>
                    </a:ln>
                  </pic:spPr>
                </pic:pic>
              </a:graphicData>
            </a:graphic>
          </wp:inline>
        </w:drawing>
      </w:r>
    </w:p>
    <w:p w14:paraId="68A0862D" w14:textId="77777777" w:rsidR="0089336E" w:rsidRDefault="0089336E" w:rsidP="00CF1919">
      <w:pPr>
        <w:pStyle w:val="Caption"/>
      </w:pPr>
    </w:p>
    <w:p w14:paraId="41664A6A" w14:textId="010F6199" w:rsidR="00B41322" w:rsidRPr="00CF3A8D" w:rsidRDefault="00CF3A8D" w:rsidP="00CF1919">
      <w:pPr>
        <w:pStyle w:val="Caption"/>
      </w:pPr>
      <w:bookmarkStart w:id="182" w:name="_Toc270945515"/>
      <w:r w:rsidRPr="00CF3A8D">
        <w:t xml:space="preserve">Figure </w:t>
      </w:r>
      <w:r w:rsidRPr="00CF3A8D">
        <w:fldChar w:fldCharType="begin"/>
      </w:r>
      <w:r w:rsidRPr="00CF3A8D">
        <w:instrText xml:space="preserve"> SEQ Figure \* ARABIC </w:instrText>
      </w:r>
      <w:r w:rsidRPr="00CF3A8D">
        <w:fldChar w:fldCharType="separate"/>
      </w:r>
      <w:r w:rsidR="00E9048A">
        <w:rPr>
          <w:noProof/>
        </w:rPr>
        <w:t>12</w:t>
      </w:r>
      <w:r w:rsidRPr="00CF3A8D">
        <w:fldChar w:fldCharType="end"/>
      </w:r>
      <w:r w:rsidR="00DA3B1C" w:rsidRPr="00CF3A8D">
        <w:t>: Conceptual Framework</w:t>
      </w:r>
      <w:r w:rsidR="007D2AF6" w:rsidRPr="00CF3A8D">
        <w:t xml:space="preserve"> – Nature of </w:t>
      </w:r>
      <w:r w:rsidR="00E92BF1" w:rsidRPr="00CF3A8D">
        <w:t xml:space="preserve">Support </w:t>
      </w:r>
      <w:r w:rsidR="007D2AF6" w:rsidRPr="00CF3A8D">
        <w:t>Inputs per Scenario, per Role</w:t>
      </w:r>
      <w:bookmarkEnd w:id="182"/>
    </w:p>
    <w:p w14:paraId="79A524B1" w14:textId="1A6500B9" w:rsidR="00196B83" w:rsidRPr="00CF3A8D" w:rsidRDefault="00196B83" w:rsidP="000732BD">
      <w:pPr>
        <w:spacing w:line="360" w:lineRule="auto"/>
        <w:ind w:left="567"/>
        <w:rPr>
          <w:rFonts w:cs="Arial"/>
          <w:b/>
          <w:szCs w:val="22"/>
        </w:rPr>
        <w:sectPr w:rsidR="00196B83" w:rsidRPr="00CF3A8D" w:rsidSect="00217568">
          <w:pgSz w:w="15840" w:h="12240" w:orient="landscape"/>
          <w:pgMar w:top="1440" w:right="1440" w:bottom="1440" w:left="1440" w:header="720" w:footer="720" w:gutter="0"/>
          <w:cols w:space="720"/>
          <w:docGrid w:linePitch="360"/>
        </w:sectPr>
      </w:pPr>
    </w:p>
    <w:p w14:paraId="4D5ACBEC" w14:textId="77777777" w:rsidR="00EE4B47" w:rsidRPr="004464A4" w:rsidRDefault="00EE4B47" w:rsidP="00E67269">
      <w:pPr>
        <w:pStyle w:val="Heading1"/>
      </w:pPr>
      <w:bookmarkStart w:id="183" w:name="_Toc270946030"/>
      <w:bookmarkStart w:id="184" w:name="_Toc261617612"/>
      <w:bookmarkStart w:id="185" w:name="_Ref262065903"/>
      <w:bookmarkStart w:id="186" w:name="_Toc262067826"/>
      <w:bookmarkStart w:id="187" w:name="_Toc377127524"/>
      <w:bookmarkEnd w:id="99"/>
      <w:r w:rsidRPr="004464A4">
        <w:lastRenderedPageBreak/>
        <w:t>The Upgrading of Informal Settlement Programme (UISP)</w:t>
      </w:r>
      <w:bookmarkEnd w:id="183"/>
    </w:p>
    <w:p w14:paraId="7657E107" w14:textId="77777777" w:rsidR="00E245A4" w:rsidRDefault="00E245A4" w:rsidP="00250EA9">
      <w:pPr>
        <w:rPr>
          <w:rFonts w:cs="Arial"/>
          <w:szCs w:val="22"/>
        </w:rPr>
      </w:pPr>
    </w:p>
    <w:p w14:paraId="2F4E0A6E" w14:textId="42B17EE4" w:rsidR="00EE4B47" w:rsidRPr="008B7412" w:rsidRDefault="00EE4B47" w:rsidP="00EE4B47">
      <w:pPr>
        <w:spacing w:line="360" w:lineRule="auto"/>
        <w:rPr>
          <w:rFonts w:cs="Arial"/>
          <w:szCs w:val="22"/>
        </w:rPr>
      </w:pPr>
      <w:r w:rsidRPr="008B7412">
        <w:rPr>
          <w:rFonts w:cs="Arial"/>
          <w:szCs w:val="22"/>
        </w:rPr>
        <w:t xml:space="preserve">In this chapter we will examine the </w:t>
      </w:r>
      <w:r w:rsidR="000F09B3">
        <w:rPr>
          <w:rFonts w:cs="Arial"/>
          <w:szCs w:val="22"/>
        </w:rPr>
        <w:t>principal</w:t>
      </w:r>
      <w:r w:rsidRPr="008B7412">
        <w:rPr>
          <w:rFonts w:cs="Arial"/>
          <w:szCs w:val="22"/>
        </w:rPr>
        <w:t xml:space="preserve"> programme instrument for ISU in SA</w:t>
      </w:r>
      <w:r>
        <w:rPr>
          <w:rFonts w:cs="Arial"/>
          <w:szCs w:val="22"/>
        </w:rPr>
        <w:t xml:space="preserve"> – the Upgrading of Informal Settlements Programme and explore where it fits, and how it provides for the in situ settlement upgrading work streams and activities discussed conceptually in Chapter 3. The chapter concludes by discussing the three basic strategic options for addressing the housing consolidation component of ISU.</w:t>
      </w:r>
    </w:p>
    <w:p w14:paraId="5FF2F4CD" w14:textId="77777777" w:rsidR="00EE4B47" w:rsidRDefault="00EE4B47" w:rsidP="00540DD7">
      <w:pPr>
        <w:pStyle w:val="Heading2"/>
      </w:pPr>
      <w:bookmarkStart w:id="188" w:name="_Toc270946031"/>
      <w:r>
        <w:t>Background</w:t>
      </w:r>
      <w:bookmarkEnd w:id="188"/>
      <w:r>
        <w:t xml:space="preserve"> </w:t>
      </w:r>
    </w:p>
    <w:p w14:paraId="07330BEE" w14:textId="77777777" w:rsidR="001619C6" w:rsidRDefault="001619C6" w:rsidP="006D2861">
      <w:pPr>
        <w:spacing w:line="360" w:lineRule="auto"/>
        <w:rPr>
          <w:rFonts w:cs="Arial"/>
          <w:szCs w:val="22"/>
        </w:rPr>
      </w:pPr>
    </w:p>
    <w:p w14:paraId="06A64A52" w14:textId="7695BFB4" w:rsidR="00EE4B47" w:rsidRPr="009D4DA2" w:rsidRDefault="00EE4B47" w:rsidP="006D2861">
      <w:pPr>
        <w:spacing w:line="360" w:lineRule="auto"/>
        <w:rPr>
          <w:rFonts w:cs="Arial"/>
          <w:szCs w:val="22"/>
        </w:rPr>
      </w:pPr>
      <w:r>
        <w:rPr>
          <w:rFonts w:cs="Arial"/>
          <w:szCs w:val="22"/>
        </w:rPr>
        <w:t>The n</w:t>
      </w:r>
      <w:r w:rsidRPr="009D4DA2">
        <w:rPr>
          <w:rFonts w:cs="Arial"/>
          <w:szCs w:val="22"/>
        </w:rPr>
        <w:t>ationwide approach to informal settlement upgrading was unveiled in the department’s 2004 policy statement, Breaking New Ground: The Comprehensive Plan for the Development of Sustainable Human Settlements. It was subsequently regulated in Chapter 13 of the National Housing Code</w:t>
      </w:r>
      <w:r w:rsidR="000F09B3">
        <w:rPr>
          <w:rFonts w:cs="Arial"/>
          <w:szCs w:val="22"/>
        </w:rPr>
        <w:t>,</w:t>
      </w:r>
      <w:r w:rsidRPr="009D4DA2">
        <w:rPr>
          <w:rFonts w:cs="Arial"/>
          <w:szCs w:val="22"/>
        </w:rPr>
        <w:t xml:space="preserve"> 2004</w:t>
      </w:r>
      <w:r>
        <w:rPr>
          <w:rFonts w:cs="Arial"/>
          <w:szCs w:val="22"/>
        </w:rPr>
        <w:t xml:space="preserve">. </w:t>
      </w:r>
      <w:r w:rsidRPr="009D4DA2">
        <w:rPr>
          <w:rFonts w:cs="Arial"/>
          <w:szCs w:val="22"/>
        </w:rPr>
        <w:t>Chapter 13 was incorporated as Part 3: Upgrading Informal Settlements in the 2007</w:t>
      </w:r>
      <w:r w:rsidR="00CC6B4F">
        <w:rPr>
          <w:rFonts w:cs="Arial"/>
          <w:szCs w:val="22"/>
        </w:rPr>
        <w:t xml:space="preserve"> and 2009</w:t>
      </w:r>
      <w:r w:rsidRPr="009D4DA2">
        <w:rPr>
          <w:rFonts w:cs="Arial"/>
          <w:szCs w:val="22"/>
        </w:rPr>
        <w:t xml:space="preserve"> update</w:t>
      </w:r>
      <w:r w:rsidR="00CC6B4F">
        <w:rPr>
          <w:rFonts w:cs="Arial"/>
          <w:szCs w:val="22"/>
        </w:rPr>
        <w:t>s</w:t>
      </w:r>
      <w:r w:rsidRPr="009D4DA2">
        <w:rPr>
          <w:rFonts w:cs="Arial"/>
          <w:szCs w:val="22"/>
        </w:rPr>
        <w:t xml:space="preserve"> of the National Housing Code. The four-phase approach remains the same.</w:t>
      </w:r>
      <w:r>
        <w:rPr>
          <w:rFonts w:cs="Arial"/>
          <w:szCs w:val="22"/>
        </w:rPr>
        <w:t xml:space="preserve">  </w:t>
      </w:r>
    </w:p>
    <w:p w14:paraId="347DEA35" w14:textId="77777777" w:rsidR="00EE4B47" w:rsidRDefault="00EE4B47" w:rsidP="00E67269">
      <w:pPr>
        <w:pStyle w:val="Heading3"/>
      </w:pPr>
      <w:r>
        <w:t xml:space="preserve">Policy Principles </w:t>
      </w:r>
    </w:p>
    <w:p w14:paraId="5D8EB27E" w14:textId="77777777" w:rsidR="00EE4B47" w:rsidRPr="00EF7F76" w:rsidRDefault="00EE4B47" w:rsidP="006D2861">
      <w:pPr>
        <w:spacing w:line="360" w:lineRule="auto"/>
        <w:rPr>
          <w:rFonts w:cs="Arial"/>
          <w:szCs w:val="22"/>
        </w:rPr>
      </w:pPr>
      <w:r>
        <w:rPr>
          <w:rFonts w:cs="Arial"/>
          <w:szCs w:val="22"/>
        </w:rPr>
        <w:t>The core policy objectives of the UISP are</w:t>
      </w:r>
      <w:r w:rsidRPr="00EF7F76">
        <w:rPr>
          <w:rFonts w:cs="Arial"/>
          <w:szCs w:val="22"/>
        </w:rPr>
        <w:t>:</w:t>
      </w:r>
    </w:p>
    <w:p w14:paraId="4662714D" w14:textId="2E5DBE91" w:rsidR="00EE4B47" w:rsidRPr="006A605F" w:rsidRDefault="00EE4B47" w:rsidP="0055634E">
      <w:pPr>
        <w:pStyle w:val="ListParagraph"/>
        <w:numPr>
          <w:ilvl w:val="0"/>
          <w:numId w:val="12"/>
        </w:numPr>
        <w:ind w:left="720"/>
        <w:rPr>
          <w:b/>
          <w:i/>
        </w:rPr>
      </w:pPr>
      <w:r w:rsidRPr="006A605F">
        <w:rPr>
          <w:b/>
          <w:i/>
        </w:rPr>
        <w:t>“Tenure security: T</w:t>
      </w:r>
      <w:r w:rsidRPr="006A605F">
        <w:rPr>
          <w:i/>
        </w:rPr>
        <w:t xml:space="preserve">o enhance the concept of citizenship, incorporating both rights and obligations, by </w:t>
      </w:r>
      <w:r w:rsidR="008B47BF">
        <w:rPr>
          <w:i/>
        </w:rPr>
        <w:t>Recogniz</w:t>
      </w:r>
      <w:r w:rsidRPr="006A605F">
        <w:rPr>
          <w:i/>
        </w:rPr>
        <w:t>ing and formalising the tenure rights of residents within informal settlements;</w:t>
      </w:r>
    </w:p>
    <w:p w14:paraId="49A17588" w14:textId="77777777" w:rsidR="00EE4B47" w:rsidRPr="006A605F" w:rsidRDefault="00EE4B47" w:rsidP="0055634E">
      <w:pPr>
        <w:pStyle w:val="ListParagraph"/>
        <w:numPr>
          <w:ilvl w:val="0"/>
          <w:numId w:val="12"/>
        </w:numPr>
        <w:ind w:left="720"/>
        <w:rPr>
          <w:i/>
        </w:rPr>
      </w:pPr>
      <w:r w:rsidRPr="006A605F">
        <w:rPr>
          <w:b/>
          <w:i/>
        </w:rPr>
        <w:t xml:space="preserve">Health and Security: </w:t>
      </w:r>
      <w:r w:rsidRPr="006A605F">
        <w:rPr>
          <w:i/>
        </w:rPr>
        <w:t xml:space="preserve">To promote the development of healthy and secure living environments by facilitating the provision of affordable and sustainable basic municipal engineering infrastructure; and </w:t>
      </w:r>
    </w:p>
    <w:p w14:paraId="5226C516" w14:textId="630F34EC" w:rsidR="00EE4B47" w:rsidRPr="00EF7F76" w:rsidRDefault="00EE4B47" w:rsidP="0055634E">
      <w:pPr>
        <w:pStyle w:val="ListParagraph"/>
        <w:numPr>
          <w:ilvl w:val="0"/>
          <w:numId w:val="12"/>
        </w:numPr>
        <w:ind w:left="720"/>
        <w:rPr>
          <w:b/>
        </w:rPr>
      </w:pPr>
      <w:r w:rsidRPr="006A605F">
        <w:rPr>
          <w:b/>
          <w:i/>
        </w:rPr>
        <w:t xml:space="preserve">Empowerment: </w:t>
      </w:r>
      <w:r w:rsidRPr="006A605F">
        <w:rPr>
          <w:i/>
        </w:rPr>
        <w:t>to address the social and economic exclusion by focusing on the community empowerment and the promotion of social and economic integration , building social capital through participative processes and addressing the broader social needs of communities”</w:t>
      </w:r>
      <w:r>
        <w:t xml:space="preserve"> </w:t>
      </w:r>
      <w:r w:rsidRPr="00EF7F76">
        <w:t xml:space="preserve"> </w:t>
      </w:r>
      <w:r w:rsidRPr="001619C6">
        <w:t>(Housing Code,</w:t>
      </w:r>
      <w:r w:rsidR="006D2861" w:rsidRPr="001619C6">
        <w:t xml:space="preserve"> 2009</w:t>
      </w:r>
      <w:r w:rsidRPr="001619C6">
        <w:t xml:space="preserve"> p13).</w:t>
      </w:r>
    </w:p>
    <w:p w14:paraId="3463BF4D" w14:textId="77777777" w:rsidR="00EE4B47" w:rsidRDefault="00EE4B47" w:rsidP="00250EA9">
      <w:pPr>
        <w:spacing w:line="360" w:lineRule="auto"/>
        <w:rPr>
          <w:rFonts w:cs="Arial"/>
          <w:szCs w:val="22"/>
        </w:rPr>
      </w:pPr>
      <w:r w:rsidRPr="00EF7F76">
        <w:rPr>
          <w:rFonts w:cs="Arial"/>
          <w:szCs w:val="22"/>
        </w:rPr>
        <w:lastRenderedPageBreak/>
        <w:t xml:space="preserve">The </w:t>
      </w:r>
      <w:r>
        <w:rPr>
          <w:rFonts w:cs="Arial"/>
          <w:szCs w:val="22"/>
        </w:rPr>
        <w:t>UISP</w:t>
      </w:r>
      <w:r w:rsidRPr="00EF7F76">
        <w:rPr>
          <w:rFonts w:cs="Arial"/>
          <w:szCs w:val="22"/>
        </w:rPr>
        <w:t xml:space="preserve"> </w:t>
      </w:r>
      <w:r>
        <w:rPr>
          <w:rFonts w:cs="Arial"/>
          <w:szCs w:val="22"/>
        </w:rPr>
        <w:t>therefore takes as it starting point a broad and inclusive approach to upgrading and is consistent in the seven work streams described in Section 3.1.3.</w:t>
      </w:r>
    </w:p>
    <w:p w14:paraId="2E6B564A" w14:textId="77777777" w:rsidR="00EE4B47" w:rsidRDefault="00EE4B47" w:rsidP="00E67269">
      <w:pPr>
        <w:pStyle w:val="Heading3"/>
      </w:pPr>
      <w:r>
        <w:t xml:space="preserve">Targeting </w:t>
      </w:r>
    </w:p>
    <w:p w14:paraId="66DA2C9F" w14:textId="735B3BBB" w:rsidR="00EE4B47" w:rsidRPr="0013506E" w:rsidRDefault="00EE4B47" w:rsidP="00250EA9">
      <w:pPr>
        <w:spacing w:line="360" w:lineRule="auto"/>
        <w:rPr>
          <w:rFonts w:cs="Arial"/>
          <w:i/>
          <w:szCs w:val="22"/>
        </w:rPr>
      </w:pPr>
      <w:r>
        <w:rPr>
          <w:rFonts w:cs="Arial"/>
          <w:szCs w:val="22"/>
        </w:rPr>
        <w:t xml:space="preserve">The UISP is strongly orientated towards </w:t>
      </w:r>
      <w:r w:rsidRPr="00A63A04">
        <w:rPr>
          <w:rFonts w:cs="Arial"/>
          <w:b/>
          <w:szCs w:val="22"/>
        </w:rPr>
        <w:t>in situ upgrading</w:t>
      </w:r>
      <w:r>
        <w:rPr>
          <w:rFonts w:cs="Arial"/>
          <w:szCs w:val="22"/>
        </w:rPr>
        <w:t xml:space="preserve"> and provides for </w:t>
      </w:r>
      <w:r w:rsidRPr="0013506E">
        <w:rPr>
          <w:rFonts w:cs="Arial"/>
          <w:i/>
          <w:szCs w:val="22"/>
        </w:rPr>
        <w:t>“…fast tracking the provision of security of tenure, basic municipal services, social and economic amenities and the empowerment of residents in informal settlements to take control of housing development directly applicable to them</w:t>
      </w:r>
      <w:r>
        <w:rPr>
          <w:rFonts w:cs="Arial"/>
          <w:i/>
          <w:szCs w:val="22"/>
        </w:rPr>
        <w:t>..</w:t>
      </w:r>
      <w:r w:rsidRPr="0013506E">
        <w:rPr>
          <w:rFonts w:cs="Arial"/>
          <w:i/>
          <w:szCs w:val="22"/>
        </w:rPr>
        <w:t>.</w:t>
      </w:r>
      <w:r>
        <w:rPr>
          <w:rFonts w:cs="Arial"/>
          <w:i/>
          <w:szCs w:val="22"/>
        </w:rPr>
        <w:t xml:space="preserve">’ </w:t>
      </w:r>
      <w:r w:rsidRPr="00564FF8">
        <w:rPr>
          <w:rFonts w:cs="Arial"/>
          <w:szCs w:val="22"/>
        </w:rPr>
        <w:t>It sta</w:t>
      </w:r>
      <w:r>
        <w:rPr>
          <w:rFonts w:cs="Arial"/>
          <w:szCs w:val="22"/>
        </w:rPr>
        <w:t>t</w:t>
      </w:r>
      <w:r w:rsidRPr="00564FF8">
        <w:rPr>
          <w:rFonts w:cs="Arial"/>
          <w:szCs w:val="22"/>
        </w:rPr>
        <w:t>es that only</w:t>
      </w:r>
      <w:r>
        <w:rPr>
          <w:rFonts w:cs="Arial"/>
          <w:i/>
          <w:szCs w:val="22"/>
        </w:rPr>
        <w:t xml:space="preserve"> ‘</w:t>
      </w:r>
      <w:r w:rsidRPr="00564FF8">
        <w:rPr>
          <w:rFonts w:cs="Arial"/>
          <w:b/>
          <w:i/>
          <w:szCs w:val="22"/>
        </w:rPr>
        <w:t>as a last resort, in exceptional circumstances</w:t>
      </w:r>
      <w:r w:rsidRPr="0013506E">
        <w:rPr>
          <w:rFonts w:cs="Arial"/>
          <w:i/>
          <w:szCs w:val="22"/>
        </w:rPr>
        <w:t>, the possible relocation and resettlement of people on a voluntary and cooperative basis as a result of the implementation of upgrading projects.</w:t>
      </w:r>
      <w:r w:rsidR="003A1B4A">
        <w:rPr>
          <w:rFonts w:cs="Arial"/>
          <w:i/>
          <w:szCs w:val="22"/>
        </w:rPr>
        <w:t>’</w:t>
      </w:r>
      <w:r w:rsidRPr="0013506E">
        <w:rPr>
          <w:rFonts w:cs="Arial"/>
          <w:i/>
          <w:szCs w:val="22"/>
        </w:rPr>
        <w:t xml:space="preserve"> </w:t>
      </w:r>
      <w:r>
        <w:rPr>
          <w:rFonts w:cs="Arial"/>
          <w:i/>
          <w:szCs w:val="22"/>
        </w:rPr>
        <w:t>(</w:t>
      </w:r>
      <w:r w:rsidRPr="0013506E">
        <w:rPr>
          <w:rFonts w:cs="Arial"/>
          <w:i/>
          <w:szCs w:val="22"/>
        </w:rPr>
        <w:t>National</w:t>
      </w:r>
      <w:r>
        <w:rPr>
          <w:rFonts w:cs="Arial"/>
          <w:i/>
          <w:szCs w:val="22"/>
        </w:rPr>
        <w:t xml:space="preserve"> Housing Code, Volume 4, p9 emphasis added).</w:t>
      </w:r>
    </w:p>
    <w:p w14:paraId="5AEEC480" w14:textId="2A6B7B12" w:rsidR="00EE4B47" w:rsidRPr="00AE3C6A" w:rsidRDefault="00EE4B47" w:rsidP="006D2861">
      <w:pPr>
        <w:spacing w:line="360" w:lineRule="auto"/>
        <w:rPr>
          <w:rFonts w:cs="Arial"/>
          <w:i/>
          <w:szCs w:val="22"/>
        </w:rPr>
      </w:pPr>
      <w:r w:rsidRPr="006E0875">
        <w:rPr>
          <w:rFonts w:cs="Arial"/>
          <w:szCs w:val="22"/>
        </w:rPr>
        <w:t xml:space="preserve">The Housing Code </w:t>
      </w:r>
      <w:r>
        <w:rPr>
          <w:rFonts w:cs="Arial"/>
          <w:szCs w:val="22"/>
        </w:rPr>
        <w:t xml:space="preserve">also </w:t>
      </w:r>
      <w:r w:rsidRPr="006E0875">
        <w:rPr>
          <w:rFonts w:cs="Arial"/>
          <w:szCs w:val="22"/>
        </w:rPr>
        <w:t>states that the UISP is a holistic approach that</w:t>
      </w:r>
      <w:r>
        <w:rPr>
          <w:rFonts w:cs="Arial"/>
          <w:szCs w:val="22"/>
        </w:rPr>
        <w:t>:</w:t>
      </w:r>
      <w:r w:rsidRPr="00D61521">
        <w:rPr>
          <w:rFonts w:cs="Arial"/>
          <w:szCs w:val="22"/>
        </w:rPr>
        <w:t xml:space="preserve"> </w:t>
      </w:r>
      <w:r w:rsidR="000075A8">
        <w:rPr>
          <w:rFonts w:cs="Arial"/>
          <w:i/>
          <w:szCs w:val="22"/>
        </w:rPr>
        <w:t>‘</w:t>
      </w:r>
      <w:r>
        <w:rPr>
          <w:rFonts w:cs="Arial"/>
          <w:i/>
          <w:szCs w:val="22"/>
        </w:rPr>
        <w:t xml:space="preserve">entails an area and/or community wide focus, fostering holistic development of settlement with minimum disruption of existing fragile community networks and support structures. </w:t>
      </w:r>
      <w:r w:rsidR="000075A8">
        <w:rPr>
          <w:rFonts w:cs="Arial"/>
          <w:i/>
          <w:szCs w:val="22"/>
        </w:rPr>
        <w:t>(</w:t>
      </w:r>
      <w:r w:rsidR="0047610A">
        <w:rPr>
          <w:rFonts w:cs="Arial"/>
          <w:i/>
          <w:szCs w:val="22"/>
        </w:rPr>
        <w:t>Ibid.</w:t>
      </w:r>
      <w:r w:rsidR="000075A8">
        <w:rPr>
          <w:rFonts w:cs="Arial"/>
          <w:i/>
          <w:szCs w:val="22"/>
        </w:rPr>
        <w:t>,</w:t>
      </w:r>
      <w:r w:rsidR="00D16FD4">
        <w:rPr>
          <w:rFonts w:cs="Arial"/>
          <w:i/>
          <w:szCs w:val="22"/>
        </w:rPr>
        <w:t xml:space="preserve"> </w:t>
      </w:r>
      <w:r>
        <w:rPr>
          <w:rFonts w:cs="Arial"/>
          <w:i/>
          <w:szCs w:val="22"/>
        </w:rPr>
        <w:t xml:space="preserve">p13) </w:t>
      </w:r>
    </w:p>
    <w:p w14:paraId="14F53C31" w14:textId="77777777" w:rsidR="00EE4B47" w:rsidRDefault="00EE4B47" w:rsidP="00E67269">
      <w:pPr>
        <w:pStyle w:val="Heading3"/>
      </w:pPr>
      <w:r>
        <w:t>Beneficiaries</w:t>
      </w:r>
    </w:p>
    <w:p w14:paraId="1F12E78A" w14:textId="758EED50" w:rsidR="00EE4B47" w:rsidRDefault="00EE4B47" w:rsidP="000075A8">
      <w:pPr>
        <w:spacing w:line="360" w:lineRule="auto"/>
        <w:rPr>
          <w:rFonts w:cs="Arial"/>
          <w:i/>
          <w:szCs w:val="22"/>
        </w:rPr>
      </w:pPr>
      <w:r>
        <w:rPr>
          <w:rFonts w:cs="Arial"/>
          <w:szCs w:val="22"/>
        </w:rPr>
        <w:t xml:space="preserve">The UISP takes a practical, broad, and inclusive approach to the target group and </w:t>
      </w:r>
      <w:r w:rsidR="000075A8">
        <w:rPr>
          <w:rFonts w:cs="Arial"/>
          <w:szCs w:val="22"/>
        </w:rPr>
        <w:t>‘</w:t>
      </w:r>
      <w:r>
        <w:rPr>
          <w:rFonts w:cs="Arial"/>
          <w:szCs w:val="22"/>
        </w:rPr>
        <w:t>…</w:t>
      </w:r>
      <w:r w:rsidR="000075A8">
        <w:rPr>
          <w:rFonts w:cs="Arial"/>
          <w:szCs w:val="22"/>
        </w:rPr>
        <w:t xml:space="preserve"> </w:t>
      </w:r>
      <w:r w:rsidRPr="006852BF">
        <w:rPr>
          <w:rFonts w:cs="Arial"/>
          <w:i/>
          <w:szCs w:val="22"/>
        </w:rPr>
        <w:t>provides benefits for all the inhabitants of an informal settlement, in a variety of ways, including persons currently excluded from the benefits of the Housing Subsidy Scheme…</w:t>
      </w:r>
      <w:r w:rsidR="000075A8">
        <w:rPr>
          <w:rFonts w:cs="Arial"/>
          <w:i/>
          <w:szCs w:val="22"/>
        </w:rPr>
        <w:t xml:space="preserve"> </w:t>
      </w:r>
      <w:r w:rsidRPr="006852BF">
        <w:rPr>
          <w:rFonts w:cs="Arial"/>
          <w:i/>
          <w:szCs w:val="22"/>
        </w:rPr>
        <w:t>[and]</w:t>
      </w:r>
      <w:r>
        <w:rPr>
          <w:rFonts w:cs="Arial"/>
          <w:i/>
          <w:szCs w:val="22"/>
        </w:rPr>
        <w:t>…</w:t>
      </w:r>
      <w:r w:rsidRPr="006852BF">
        <w:rPr>
          <w:rFonts w:cs="Arial"/>
          <w:i/>
          <w:szCs w:val="22"/>
        </w:rPr>
        <w:t xml:space="preserve"> the programme will finance the development of serviced stands… beneficiaries of this programme will only receive access to land, basic municipal engineering services and social amenities and services</w:t>
      </w:r>
      <w:r w:rsidR="000075A8">
        <w:rPr>
          <w:rFonts w:cs="Arial"/>
          <w:i/>
          <w:szCs w:val="22"/>
        </w:rPr>
        <w:t>’</w:t>
      </w:r>
      <w:r w:rsidR="00CC6B4F">
        <w:rPr>
          <w:rFonts w:cs="Arial"/>
          <w:i/>
          <w:szCs w:val="22"/>
        </w:rPr>
        <w:t xml:space="preserve"> (Housing Code</w:t>
      </w:r>
      <w:r w:rsidR="00CC6B4F" w:rsidRPr="00CC6B4F">
        <w:rPr>
          <w:rFonts w:cs="Arial"/>
          <w:i/>
          <w:szCs w:val="22"/>
        </w:rPr>
        <w:t>, 2009</w:t>
      </w:r>
      <w:r w:rsidR="00CC6B4F">
        <w:rPr>
          <w:rFonts w:cs="Arial"/>
          <w:i/>
          <w:szCs w:val="22"/>
        </w:rPr>
        <w:t>)</w:t>
      </w:r>
      <w:r w:rsidR="000075A8" w:rsidRPr="006852BF">
        <w:rPr>
          <w:rFonts w:cs="Arial"/>
          <w:i/>
          <w:szCs w:val="22"/>
        </w:rPr>
        <w:t xml:space="preserve">. </w:t>
      </w:r>
    </w:p>
    <w:p w14:paraId="33495467" w14:textId="77777777" w:rsidR="00EE4B47" w:rsidRDefault="00EE4B47" w:rsidP="000075A8">
      <w:pPr>
        <w:spacing w:line="360" w:lineRule="auto"/>
        <w:rPr>
          <w:rFonts w:cs="Arial"/>
          <w:szCs w:val="22"/>
        </w:rPr>
      </w:pPr>
      <w:r w:rsidRPr="0029467A">
        <w:rPr>
          <w:rFonts w:cs="Arial"/>
          <w:szCs w:val="22"/>
        </w:rPr>
        <w:t xml:space="preserve">In essence the UISP allows all informal settlement residents to access the </w:t>
      </w:r>
      <w:r>
        <w:rPr>
          <w:rFonts w:cs="Arial"/>
          <w:szCs w:val="22"/>
        </w:rPr>
        <w:t xml:space="preserve">core </w:t>
      </w:r>
      <w:r w:rsidRPr="0029467A">
        <w:rPr>
          <w:rFonts w:cs="Arial"/>
          <w:szCs w:val="22"/>
        </w:rPr>
        <w:t xml:space="preserve">outputs of the programme, </w:t>
      </w:r>
      <w:r>
        <w:rPr>
          <w:rFonts w:cs="Arial"/>
          <w:szCs w:val="22"/>
        </w:rPr>
        <w:t>(</w:t>
      </w:r>
      <w:r w:rsidRPr="0029467A">
        <w:rPr>
          <w:rFonts w:cs="Arial"/>
          <w:szCs w:val="22"/>
        </w:rPr>
        <w:t>including basic tenure rights</w:t>
      </w:r>
      <w:r>
        <w:rPr>
          <w:rFonts w:cs="Arial"/>
          <w:szCs w:val="22"/>
        </w:rPr>
        <w:t xml:space="preserve">) but introduces a set of requirements associated with what is seen as the last step in the tenure work stream. This step is seen as the passage of the sites into registered ownership in terms of the SA land legal system. See section 4.6 below. </w:t>
      </w:r>
      <w:r w:rsidRPr="0029467A">
        <w:rPr>
          <w:rFonts w:cs="Arial"/>
          <w:szCs w:val="22"/>
        </w:rPr>
        <w:t xml:space="preserve">  </w:t>
      </w:r>
    </w:p>
    <w:p w14:paraId="1F37C0E5" w14:textId="77777777" w:rsidR="00EE4B47" w:rsidRPr="009B58BB" w:rsidRDefault="00EE4B47" w:rsidP="00540DD7">
      <w:pPr>
        <w:pStyle w:val="Heading2"/>
      </w:pPr>
      <w:bookmarkStart w:id="189" w:name="_Toc270946032"/>
      <w:r w:rsidRPr="009B58BB">
        <w:t xml:space="preserve">Phases of </w:t>
      </w:r>
      <w:r>
        <w:t>UISP Implementation</w:t>
      </w:r>
      <w:bookmarkEnd w:id="189"/>
    </w:p>
    <w:p w14:paraId="4C5D524C" w14:textId="77777777" w:rsidR="001619C6" w:rsidRDefault="001619C6" w:rsidP="00250EA9">
      <w:pPr>
        <w:spacing w:line="360" w:lineRule="auto"/>
        <w:rPr>
          <w:rFonts w:cs="Arial"/>
          <w:szCs w:val="22"/>
        </w:rPr>
      </w:pPr>
    </w:p>
    <w:p w14:paraId="38EFE3FD" w14:textId="6C2B9E94" w:rsidR="00EE4B47" w:rsidRDefault="00EE4B47" w:rsidP="00250EA9">
      <w:pPr>
        <w:spacing w:line="360" w:lineRule="auto"/>
        <w:rPr>
          <w:rFonts w:cs="Arial"/>
          <w:szCs w:val="22"/>
        </w:rPr>
      </w:pPr>
      <w:r w:rsidRPr="002863C8">
        <w:rPr>
          <w:rFonts w:cs="Arial"/>
          <w:szCs w:val="22"/>
        </w:rPr>
        <w:t>The UISP provides f</w:t>
      </w:r>
      <w:r>
        <w:rPr>
          <w:rFonts w:cs="Arial"/>
          <w:szCs w:val="22"/>
        </w:rPr>
        <w:t xml:space="preserve">or the funding and execution of an array of activities associated with ISU in a </w:t>
      </w:r>
      <w:r w:rsidR="000075A8">
        <w:rPr>
          <w:rFonts w:cs="Arial"/>
          <w:szCs w:val="22"/>
        </w:rPr>
        <w:t>four</w:t>
      </w:r>
      <w:r>
        <w:rPr>
          <w:rFonts w:cs="Arial"/>
          <w:szCs w:val="22"/>
        </w:rPr>
        <w:t>-phase methodology. Within these three phases provision is made for:</w:t>
      </w:r>
    </w:p>
    <w:p w14:paraId="660A2FBC" w14:textId="0C721E8D" w:rsidR="00EE4B47" w:rsidRPr="009A316A" w:rsidRDefault="00EE4B47" w:rsidP="0055634E">
      <w:pPr>
        <w:pStyle w:val="ListParagraph"/>
        <w:numPr>
          <w:ilvl w:val="0"/>
          <w:numId w:val="15"/>
        </w:numPr>
        <w:ind w:left="720"/>
        <w:rPr>
          <w:rFonts w:cs="Arial"/>
        </w:rPr>
      </w:pPr>
      <w:r w:rsidRPr="000075A8">
        <w:rPr>
          <w:rFonts w:cs="Arial"/>
          <w:b/>
        </w:rPr>
        <w:t>Phase</w:t>
      </w:r>
      <w:r w:rsidR="000075A8" w:rsidRPr="000075A8">
        <w:rPr>
          <w:rFonts w:cs="Arial"/>
          <w:b/>
        </w:rPr>
        <w:t xml:space="preserve"> </w:t>
      </w:r>
      <w:r w:rsidRPr="000075A8">
        <w:rPr>
          <w:rFonts w:cs="Arial"/>
          <w:b/>
        </w:rPr>
        <w:t>1: Application</w:t>
      </w:r>
      <w:r w:rsidRPr="009A316A">
        <w:rPr>
          <w:rFonts w:cs="Arial"/>
        </w:rPr>
        <w:t>: project identification and interim business plan</w:t>
      </w:r>
    </w:p>
    <w:p w14:paraId="2FD61C6F" w14:textId="31225E92" w:rsidR="00EE4B47" w:rsidRPr="00C937C5" w:rsidRDefault="00EE4B47" w:rsidP="0055634E">
      <w:pPr>
        <w:pStyle w:val="ListParagraph"/>
        <w:numPr>
          <w:ilvl w:val="0"/>
          <w:numId w:val="15"/>
        </w:numPr>
        <w:ind w:left="720"/>
        <w:rPr>
          <w:rFonts w:cs="Arial"/>
        </w:rPr>
      </w:pPr>
      <w:r w:rsidRPr="009A316A">
        <w:rPr>
          <w:rFonts w:cs="Arial"/>
          <w:b/>
        </w:rPr>
        <w:lastRenderedPageBreak/>
        <w:t>Phase</w:t>
      </w:r>
      <w:r w:rsidR="000075A8" w:rsidRPr="009A316A">
        <w:rPr>
          <w:rFonts w:cs="Arial"/>
          <w:b/>
        </w:rPr>
        <w:t xml:space="preserve"> </w:t>
      </w:r>
      <w:r w:rsidRPr="009A316A">
        <w:rPr>
          <w:rFonts w:cs="Arial"/>
          <w:b/>
        </w:rPr>
        <w:t>2:</w:t>
      </w:r>
      <w:r w:rsidRPr="00C937C5">
        <w:rPr>
          <w:rFonts w:cs="Arial"/>
          <w:b/>
        </w:rPr>
        <w:t xml:space="preserve"> Project Initiation</w:t>
      </w:r>
      <w:r w:rsidRPr="00C937C5">
        <w:rPr>
          <w:rFonts w:cs="Arial"/>
        </w:rPr>
        <w:t>: and land acquisition where required, pre-planning and provision of interim services.</w:t>
      </w:r>
    </w:p>
    <w:p w14:paraId="440D9FB2" w14:textId="110ACCAF" w:rsidR="00EE4B47" w:rsidRPr="000E53F6" w:rsidRDefault="00EE4B47" w:rsidP="0055634E">
      <w:pPr>
        <w:pStyle w:val="ListParagraph"/>
        <w:numPr>
          <w:ilvl w:val="0"/>
          <w:numId w:val="15"/>
        </w:numPr>
        <w:rPr>
          <w:rFonts w:cs="Arial"/>
        </w:rPr>
      </w:pPr>
      <w:r w:rsidRPr="009A316A">
        <w:rPr>
          <w:rFonts w:cs="Arial"/>
          <w:b/>
        </w:rPr>
        <w:t>Phase</w:t>
      </w:r>
      <w:r w:rsidR="009A316A" w:rsidRPr="009A316A">
        <w:rPr>
          <w:rFonts w:cs="Arial"/>
          <w:b/>
        </w:rPr>
        <w:t xml:space="preserve"> </w:t>
      </w:r>
      <w:r w:rsidRPr="009A316A">
        <w:rPr>
          <w:rFonts w:cs="Arial"/>
          <w:b/>
        </w:rPr>
        <w:t>3: Project Implementation</w:t>
      </w:r>
      <w:r w:rsidRPr="009A316A">
        <w:rPr>
          <w:rFonts w:cs="Arial"/>
        </w:rPr>
        <w:t>: detailed planning, permanent services, secure tenure, land rehabilitation, housing support services</w:t>
      </w:r>
    </w:p>
    <w:p w14:paraId="59B4538B" w14:textId="344583DA" w:rsidR="00EE4B47" w:rsidRPr="00250EA9" w:rsidRDefault="00EE4B47" w:rsidP="0055634E">
      <w:pPr>
        <w:pStyle w:val="ListParagraph"/>
        <w:numPr>
          <w:ilvl w:val="0"/>
          <w:numId w:val="15"/>
        </w:numPr>
        <w:rPr>
          <w:rFonts w:cs="Arial"/>
          <w:b/>
        </w:rPr>
      </w:pPr>
      <w:r w:rsidRPr="00250EA9">
        <w:rPr>
          <w:rFonts w:cs="Arial"/>
          <w:b/>
        </w:rPr>
        <w:t xml:space="preserve">Phase 4: Housing Consolidation.  See section </w:t>
      </w:r>
      <w:r w:rsidR="000B081C">
        <w:rPr>
          <w:rFonts w:cs="Arial"/>
          <w:b/>
        </w:rPr>
        <w:t>4.8</w:t>
      </w:r>
      <w:r w:rsidRPr="00250EA9">
        <w:rPr>
          <w:rFonts w:cs="Arial"/>
          <w:b/>
        </w:rPr>
        <w:t xml:space="preserve"> below </w:t>
      </w:r>
    </w:p>
    <w:p w14:paraId="578AE4C4" w14:textId="77777777" w:rsidR="00E46357" w:rsidRDefault="00EE4B47" w:rsidP="00250EA9">
      <w:pPr>
        <w:spacing w:after="0" w:line="360" w:lineRule="auto"/>
      </w:pPr>
      <w:r>
        <w:t xml:space="preserve">The UISP requires that </w:t>
      </w:r>
      <w:r w:rsidR="009A316A">
        <w:t>‘</w:t>
      </w:r>
      <w:r w:rsidRPr="00250EA9">
        <w:rPr>
          <w:i/>
        </w:rPr>
        <w:t>the Business Plan for Phase</w:t>
      </w:r>
      <w:r w:rsidR="009A316A" w:rsidRPr="00250EA9">
        <w:rPr>
          <w:i/>
        </w:rPr>
        <w:t xml:space="preserve"> </w:t>
      </w:r>
      <w:r w:rsidRPr="00250EA9">
        <w:rPr>
          <w:i/>
        </w:rPr>
        <w:t>3</w:t>
      </w:r>
      <w:r w:rsidR="00CC6B4F">
        <w:rPr>
          <w:i/>
        </w:rPr>
        <w:t>…</w:t>
      </w:r>
      <w:r w:rsidRPr="00250EA9">
        <w:rPr>
          <w:i/>
        </w:rPr>
        <w:t>must address the planning, commencement and time frame for Phase 4</w:t>
      </w:r>
      <w:r w:rsidR="009A316A" w:rsidRPr="00250EA9">
        <w:rPr>
          <w:i/>
        </w:rPr>
        <w:t xml:space="preserve"> </w:t>
      </w:r>
      <w:r w:rsidRPr="00250EA9">
        <w:rPr>
          <w:i/>
        </w:rPr>
        <w:t>(the Consolidation for House Construction Phase)</w:t>
      </w:r>
      <w:r w:rsidR="009A316A" w:rsidRPr="00250EA9">
        <w:rPr>
          <w:i/>
        </w:rPr>
        <w:t>’</w:t>
      </w:r>
      <w:r w:rsidR="00CC6B4F">
        <w:rPr>
          <w:i/>
        </w:rPr>
        <w:t xml:space="preserve"> </w:t>
      </w:r>
      <w:r w:rsidR="009A316A">
        <w:t>(</w:t>
      </w:r>
      <w:r w:rsidR="0047610A">
        <w:t>ibid.</w:t>
      </w:r>
      <w:r>
        <w:t xml:space="preserve"> p 44</w:t>
      </w:r>
      <w:r w:rsidR="009A316A">
        <w:t>)</w:t>
      </w:r>
      <w:r>
        <w:t>. This implies that the plan for Phase 4 should be compiled during Phase 2 Project Initiation</w:t>
      </w:r>
      <w:r w:rsidR="00E46357">
        <w:t xml:space="preserve">, which at least in theory, ensures that house consolidation is considered early on in the house development process.  </w:t>
      </w:r>
    </w:p>
    <w:p w14:paraId="211C6695" w14:textId="77777777" w:rsidR="00E46357" w:rsidRDefault="00E46357" w:rsidP="00250EA9">
      <w:pPr>
        <w:spacing w:after="0" w:line="360" w:lineRule="auto"/>
      </w:pPr>
    </w:p>
    <w:p w14:paraId="75F5DA34" w14:textId="240D8235" w:rsidR="00EE4B47" w:rsidRDefault="00E46357" w:rsidP="00250EA9">
      <w:pPr>
        <w:spacing w:after="0" w:line="360" w:lineRule="auto"/>
      </w:pPr>
      <w:r>
        <w:t>However, on the one hand it will be argued that planning and even supporting house consolidation should commence earlier than this (in Phase 1), and on the other, that the provision for house consolidation facilitation within the UISP in subsequent phases is not yet conceived of widely enough, and not resourced to the degree that it should be to ensure a greater chance of success.</w:t>
      </w:r>
    </w:p>
    <w:p w14:paraId="73C0ED81" w14:textId="77777777" w:rsidR="00EE4B47" w:rsidRDefault="00EE4B47" w:rsidP="00540DD7">
      <w:pPr>
        <w:pStyle w:val="Heading2"/>
      </w:pPr>
      <w:bookmarkStart w:id="190" w:name="_Toc270946033"/>
      <w:r>
        <w:t>Programme Scope</w:t>
      </w:r>
      <w:bookmarkEnd w:id="190"/>
    </w:p>
    <w:p w14:paraId="332B073A" w14:textId="77777777" w:rsidR="001619C6" w:rsidRDefault="001619C6" w:rsidP="00250EA9">
      <w:pPr>
        <w:spacing w:after="0" w:line="360" w:lineRule="auto"/>
      </w:pPr>
    </w:p>
    <w:p w14:paraId="4B646E5D" w14:textId="74841A8E" w:rsidR="00EE4B47" w:rsidRDefault="00EE4B47" w:rsidP="00250EA9">
      <w:pPr>
        <w:spacing w:after="0" w:line="360" w:lineRule="auto"/>
      </w:pPr>
      <w:r>
        <w:t xml:space="preserve">The USIP provides for an array of activities associated with ISU at the management and facilitation level </w:t>
      </w:r>
      <w:r w:rsidR="009A316A">
        <w:t>and include</w:t>
      </w:r>
      <w:r>
        <w:t xml:space="preserve">: </w:t>
      </w:r>
    </w:p>
    <w:p w14:paraId="66EAD367" w14:textId="4A0DFB00" w:rsidR="00EE4B47" w:rsidRPr="00D63D37" w:rsidRDefault="00EE4B47" w:rsidP="0055634E">
      <w:pPr>
        <w:pStyle w:val="ListParagraph"/>
        <w:numPr>
          <w:ilvl w:val="0"/>
          <w:numId w:val="16"/>
        </w:numPr>
        <w:ind w:left="720"/>
        <w:rPr>
          <w:rFonts w:cs="Arial"/>
        </w:rPr>
      </w:pPr>
      <w:r w:rsidRPr="00D63D37">
        <w:rPr>
          <w:rFonts w:cs="Arial"/>
          <w:b/>
        </w:rPr>
        <w:t>Project management fees</w:t>
      </w:r>
      <w:r>
        <w:rPr>
          <w:rFonts w:cs="Arial"/>
        </w:rPr>
        <w:t xml:space="preserve">: </w:t>
      </w:r>
      <w:r w:rsidRPr="00D63D37">
        <w:rPr>
          <w:rFonts w:cs="Arial"/>
        </w:rPr>
        <w:t xml:space="preserve"> The programme provides for project management fees up to an amount not exceeding 8% of the project cost. The amount must be calculated of the total; actual costs of Phases 1 to 3</w:t>
      </w:r>
      <w:r>
        <w:rPr>
          <w:rFonts w:cs="Arial"/>
        </w:rPr>
        <w:t xml:space="preserve"> (</w:t>
      </w:r>
      <w:r w:rsidR="009A316A">
        <w:rPr>
          <w:rFonts w:cs="Arial"/>
        </w:rPr>
        <w:t xml:space="preserve">Housing </w:t>
      </w:r>
      <w:r>
        <w:rPr>
          <w:rFonts w:cs="Arial"/>
        </w:rPr>
        <w:t>Code,</w:t>
      </w:r>
      <w:r w:rsidR="009A316A">
        <w:rPr>
          <w:rFonts w:cs="Arial"/>
        </w:rPr>
        <w:t xml:space="preserve"> 2009,</w:t>
      </w:r>
      <w:r>
        <w:rPr>
          <w:rFonts w:cs="Arial"/>
        </w:rPr>
        <w:t xml:space="preserve"> p</w:t>
      </w:r>
      <w:r w:rsidRPr="00D63D37">
        <w:rPr>
          <w:rFonts w:cs="Arial"/>
        </w:rPr>
        <w:t>39</w:t>
      </w:r>
      <w:r>
        <w:rPr>
          <w:rFonts w:cs="Arial"/>
        </w:rPr>
        <w:t>).</w:t>
      </w:r>
    </w:p>
    <w:p w14:paraId="59BD0CA7" w14:textId="665B17A9" w:rsidR="00EE4B47" w:rsidRDefault="00EE4B47" w:rsidP="0055634E">
      <w:pPr>
        <w:pStyle w:val="ListParagraph"/>
        <w:numPr>
          <w:ilvl w:val="0"/>
          <w:numId w:val="16"/>
        </w:numPr>
        <w:ind w:left="720"/>
      </w:pPr>
      <w:r w:rsidRPr="00A351A8">
        <w:rPr>
          <w:rFonts w:cs="Arial"/>
          <w:b/>
        </w:rPr>
        <w:t>Facilitation:</w:t>
      </w:r>
      <w:r w:rsidRPr="00A351A8">
        <w:rPr>
          <w:rFonts w:cs="Arial"/>
        </w:rPr>
        <w:t xml:space="preserve"> The funding available under the project for the appointment of external capacity to undertake the community participation activities amounts to 3% of the project costs for Phases 1 to 3 (</w:t>
      </w:r>
      <w:r w:rsidR="009A316A">
        <w:rPr>
          <w:rFonts w:cs="Arial"/>
        </w:rPr>
        <w:t xml:space="preserve">Housing </w:t>
      </w:r>
      <w:r w:rsidRPr="00A351A8">
        <w:rPr>
          <w:rFonts w:cs="Arial"/>
        </w:rPr>
        <w:t xml:space="preserve">Code, </w:t>
      </w:r>
      <w:r w:rsidR="009A316A">
        <w:rPr>
          <w:rFonts w:cs="Arial"/>
        </w:rPr>
        <w:t xml:space="preserve">2009, </w:t>
      </w:r>
      <w:r w:rsidRPr="00A351A8">
        <w:rPr>
          <w:rFonts w:cs="Arial"/>
        </w:rPr>
        <w:t xml:space="preserve">p31). </w:t>
      </w:r>
    </w:p>
    <w:p w14:paraId="3385F843" w14:textId="0AFBA33D" w:rsidR="005E5B04" w:rsidRDefault="009A316A" w:rsidP="00EE4B47">
      <w:r>
        <w:fldChar w:fldCharType="begin"/>
      </w:r>
      <w:r>
        <w:instrText xml:space="preserve"> REF _Ref388620707 \h </w:instrText>
      </w:r>
      <w:r>
        <w:fldChar w:fldCharType="separate"/>
      </w:r>
      <w:r w:rsidR="00E9048A">
        <w:t xml:space="preserve">Table </w:t>
      </w:r>
      <w:r w:rsidR="00E9048A">
        <w:rPr>
          <w:noProof/>
        </w:rPr>
        <w:t>5</w:t>
      </w:r>
      <w:r>
        <w:fldChar w:fldCharType="end"/>
      </w:r>
      <w:r>
        <w:t xml:space="preserve"> </w:t>
      </w:r>
      <w:r w:rsidR="00EE4B47">
        <w:t xml:space="preserve">below </w:t>
      </w:r>
      <w:r w:rsidRPr="009A316A">
        <w:t>summarises what ISU activities are provided for under the UISP</w:t>
      </w:r>
      <w:r>
        <w:t xml:space="preserve"> in </w:t>
      </w:r>
      <w:r w:rsidRPr="009A316A">
        <w:t>phases 1 to 4.</w:t>
      </w:r>
    </w:p>
    <w:p w14:paraId="449B54A2" w14:textId="72B21321" w:rsidR="00EE4B47" w:rsidRDefault="00EE4B47" w:rsidP="00EE4B47"/>
    <w:p w14:paraId="14C0F8D7" w14:textId="77777777" w:rsidR="001619C6" w:rsidRDefault="001619C6" w:rsidP="00EE4B47"/>
    <w:p w14:paraId="4A170F7F" w14:textId="77777777" w:rsidR="001619C6" w:rsidRDefault="001619C6" w:rsidP="00EE4B47"/>
    <w:p w14:paraId="3CFBB38B" w14:textId="637615DE" w:rsidR="009A316A" w:rsidRDefault="009A316A" w:rsidP="00250EA9">
      <w:pPr>
        <w:pStyle w:val="Caption"/>
        <w:keepNext/>
      </w:pPr>
      <w:bookmarkStart w:id="191" w:name="_Ref388620707"/>
      <w:bookmarkStart w:id="192" w:name="_Toc270945496"/>
      <w:r>
        <w:lastRenderedPageBreak/>
        <w:t xml:space="preserve">Table </w:t>
      </w:r>
      <w:r>
        <w:fldChar w:fldCharType="begin"/>
      </w:r>
      <w:r>
        <w:instrText xml:space="preserve"> SEQ Table \* ARABIC </w:instrText>
      </w:r>
      <w:r>
        <w:fldChar w:fldCharType="separate"/>
      </w:r>
      <w:r w:rsidR="00E9048A">
        <w:rPr>
          <w:noProof/>
        </w:rPr>
        <w:t>5</w:t>
      </w:r>
      <w:r>
        <w:fldChar w:fldCharType="end"/>
      </w:r>
      <w:bookmarkEnd w:id="191"/>
      <w:r>
        <w:t xml:space="preserve">: Summary of </w:t>
      </w:r>
      <w:r w:rsidRPr="002834D1">
        <w:t>ISU activities</w:t>
      </w:r>
      <w:r>
        <w:t xml:space="preserve"> that</w:t>
      </w:r>
      <w:r w:rsidRPr="002834D1">
        <w:t xml:space="preserve"> are provided for under the UISP </w:t>
      </w:r>
      <w:r>
        <w:t>P</w:t>
      </w:r>
      <w:r w:rsidRPr="002834D1">
        <w:t>hases 1 to 4.</w:t>
      </w:r>
      <w:bookmarkEnd w:id="192"/>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4"/>
        <w:gridCol w:w="6042"/>
      </w:tblGrid>
      <w:tr w:rsidR="00EE4B47" w:rsidRPr="009A316A" w14:paraId="119DDB6F" w14:textId="77777777" w:rsidTr="00250EA9">
        <w:trPr>
          <w:trHeight w:val="300"/>
        </w:trPr>
        <w:tc>
          <w:tcPr>
            <w:tcW w:w="1842" w:type="pct"/>
            <w:shd w:val="clear" w:color="auto" w:fill="A6A6A6" w:themeFill="background1" w:themeFillShade="A6"/>
            <w:noWrap/>
            <w:hideMark/>
          </w:tcPr>
          <w:p w14:paraId="160AAF42" w14:textId="77777777" w:rsidR="00EE4B47" w:rsidRPr="00250EA9" w:rsidRDefault="00EE4B47" w:rsidP="00250EA9">
            <w:pPr>
              <w:spacing w:after="0"/>
              <w:jc w:val="left"/>
              <w:rPr>
                <w:rFonts w:asciiTheme="minorHAnsi" w:hAnsiTheme="minorHAnsi"/>
                <w:b/>
                <w:bCs/>
                <w:color w:val="000000"/>
                <w:sz w:val="20"/>
                <w:szCs w:val="20"/>
                <w:lang w:val="en-US"/>
              </w:rPr>
            </w:pPr>
            <w:r w:rsidRPr="00250EA9">
              <w:rPr>
                <w:rFonts w:asciiTheme="minorHAnsi" w:hAnsiTheme="minorHAnsi"/>
                <w:b/>
                <w:bCs/>
                <w:color w:val="000000"/>
                <w:sz w:val="20"/>
                <w:szCs w:val="20"/>
                <w:lang w:val="en-US"/>
              </w:rPr>
              <w:t xml:space="preserve">ISU - Work stream </w:t>
            </w:r>
          </w:p>
        </w:tc>
        <w:tc>
          <w:tcPr>
            <w:tcW w:w="3158" w:type="pct"/>
            <w:shd w:val="clear" w:color="auto" w:fill="A6A6A6" w:themeFill="background1" w:themeFillShade="A6"/>
            <w:noWrap/>
            <w:hideMark/>
          </w:tcPr>
          <w:p w14:paraId="32F239BD" w14:textId="77777777" w:rsidR="00EE4B47" w:rsidRPr="00250EA9" w:rsidRDefault="00EE4B47" w:rsidP="00250EA9">
            <w:pPr>
              <w:spacing w:after="0"/>
              <w:jc w:val="left"/>
              <w:rPr>
                <w:rFonts w:asciiTheme="minorHAnsi" w:hAnsiTheme="minorHAnsi"/>
                <w:color w:val="000000"/>
                <w:sz w:val="20"/>
                <w:szCs w:val="20"/>
                <w:lang w:val="en-US"/>
              </w:rPr>
            </w:pPr>
            <w:r w:rsidRPr="00250EA9">
              <w:rPr>
                <w:rFonts w:asciiTheme="minorHAnsi" w:hAnsiTheme="minorHAnsi"/>
                <w:color w:val="000000"/>
                <w:sz w:val="20"/>
                <w:szCs w:val="20"/>
                <w:lang w:val="en-US"/>
              </w:rPr>
              <w:t>UISP Phase’s  1 to 3</w:t>
            </w:r>
          </w:p>
        </w:tc>
      </w:tr>
      <w:tr w:rsidR="00EE4B47" w:rsidRPr="009A316A" w14:paraId="57C942AD" w14:textId="77777777" w:rsidTr="00250EA9">
        <w:trPr>
          <w:trHeight w:val="630"/>
        </w:trPr>
        <w:tc>
          <w:tcPr>
            <w:tcW w:w="1842" w:type="pct"/>
            <w:shd w:val="clear" w:color="auto" w:fill="auto"/>
            <w:hideMark/>
          </w:tcPr>
          <w:p w14:paraId="6FF7E7A5" w14:textId="77777777" w:rsidR="00EE4B47" w:rsidRPr="00250EA9" w:rsidRDefault="00EE4B47" w:rsidP="00250EA9">
            <w:pPr>
              <w:spacing w:after="0"/>
              <w:jc w:val="left"/>
              <w:rPr>
                <w:rFonts w:asciiTheme="minorHAnsi" w:hAnsiTheme="minorHAnsi" w:cs="Arial"/>
                <w:b/>
                <w:bCs/>
                <w:sz w:val="20"/>
                <w:szCs w:val="20"/>
                <w:lang w:val="en-US"/>
              </w:rPr>
            </w:pPr>
            <w:r w:rsidRPr="00250EA9">
              <w:rPr>
                <w:rFonts w:asciiTheme="minorHAnsi" w:hAnsiTheme="minorHAnsi" w:cs="Arial"/>
                <w:b/>
                <w:bCs/>
                <w:sz w:val="20"/>
                <w:szCs w:val="20"/>
              </w:rPr>
              <w:t>1. Tenure Security</w:t>
            </w:r>
          </w:p>
        </w:tc>
        <w:tc>
          <w:tcPr>
            <w:tcW w:w="3158" w:type="pct"/>
            <w:shd w:val="clear" w:color="auto" w:fill="auto"/>
            <w:hideMark/>
          </w:tcPr>
          <w:p w14:paraId="147E993C" w14:textId="77777777" w:rsidR="00EE4B47" w:rsidRPr="00250EA9" w:rsidRDefault="00EE4B47" w:rsidP="009A316A">
            <w:pPr>
              <w:spacing w:after="0"/>
              <w:jc w:val="left"/>
              <w:rPr>
                <w:rFonts w:asciiTheme="minorHAnsi" w:hAnsiTheme="minorHAnsi"/>
                <w:color w:val="000000"/>
                <w:sz w:val="20"/>
                <w:szCs w:val="20"/>
                <w:lang w:val="en-US"/>
              </w:rPr>
            </w:pPr>
            <w:r w:rsidRPr="00250EA9">
              <w:rPr>
                <w:rFonts w:asciiTheme="minorHAnsi" w:hAnsiTheme="minorHAnsi"/>
                <w:color w:val="000000"/>
                <w:sz w:val="20"/>
                <w:szCs w:val="20"/>
                <w:lang w:val="en-US"/>
              </w:rPr>
              <w:t>Land acquisition, community survey, registration, participation, relocation support, land survey and pegging, land survey examination fee, proclamation of the township( The community survey, registration, participation are to be funded out of the Facilitation fees)</w:t>
            </w:r>
          </w:p>
        </w:tc>
      </w:tr>
      <w:tr w:rsidR="00EE4B47" w:rsidRPr="009A316A" w14:paraId="6165413C" w14:textId="77777777" w:rsidTr="00250EA9">
        <w:trPr>
          <w:trHeight w:val="450"/>
        </w:trPr>
        <w:tc>
          <w:tcPr>
            <w:tcW w:w="1842" w:type="pct"/>
            <w:shd w:val="clear" w:color="auto" w:fill="auto"/>
            <w:hideMark/>
          </w:tcPr>
          <w:p w14:paraId="5F0FC34F" w14:textId="77777777" w:rsidR="00EE4B47" w:rsidRPr="00250EA9" w:rsidRDefault="00EE4B47" w:rsidP="00250EA9">
            <w:pPr>
              <w:spacing w:after="0"/>
              <w:jc w:val="left"/>
              <w:rPr>
                <w:rFonts w:asciiTheme="minorHAnsi" w:hAnsiTheme="minorHAnsi" w:cs="Arial"/>
                <w:b/>
                <w:bCs/>
                <w:sz w:val="20"/>
                <w:szCs w:val="20"/>
                <w:lang w:val="en-US"/>
              </w:rPr>
            </w:pPr>
            <w:r w:rsidRPr="00250EA9">
              <w:rPr>
                <w:rFonts w:asciiTheme="minorHAnsi" w:hAnsiTheme="minorHAnsi" w:cs="Arial"/>
                <w:b/>
                <w:bCs/>
                <w:sz w:val="20"/>
                <w:szCs w:val="20"/>
              </w:rPr>
              <w:t>2. Health, safety and urban services</w:t>
            </w:r>
          </w:p>
        </w:tc>
        <w:tc>
          <w:tcPr>
            <w:tcW w:w="3158" w:type="pct"/>
            <w:shd w:val="clear" w:color="auto" w:fill="auto"/>
            <w:hideMark/>
          </w:tcPr>
          <w:p w14:paraId="7AC48D14" w14:textId="77777777" w:rsidR="00EE4B47" w:rsidRPr="00250EA9" w:rsidRDefault="00EE4B47" w:rsidP="009A316A">
            <w:pPr>
              <w:spacing w:after="0"/>
              <w:jc w:val="left"/>
              <w:rPr>
                <w:rFonts w:asciiTheme="minorHAnsi" w:hAnsiTheme="minorHAnsi"/>
                <w:color w:val="000000"/>
                <w:sz w:val="20"/>
                <w:szCs w:val="20"/>
                <w:lang w:val="en-US"/>
              </w:rPr>
            </w:pPr>
            <w:r w:rsidRPr="00250EA9">
              <w:rPr>
                <w:rFonts w:asciiTheme="minorHAnsi" w:hAnsiTheme="minorHAnsi"/>
                <w:color w:val="000000"/>
                <w:sz w:val="20"/>
                <w:szCs w:val="20"/>
                <w:lang w:val="en-US"/>
              </w:rPr>
              <w:t xml:space="preserve">Interim engineering services, Permanent engineering services (including geotech, topo survey , design and supervision) </w:t>
            </w:r>
          </w:p>
        </w:tc>
      </w:tr>
      <w:tr w:rsidR="00EE4B47" w:rsidRPr="009A316A" w14:paraId="7E0DBDAA" w14:textId="77777777" w:rsidTr="00250EA9">
        <w:trPr>
          <w:trHeight w:val="435"/>
        </w:trPr>
        <w:tc>
          <w:tcPr>
            <w:tcW w:w="1842" w:type="pct"/>
            <w:shd w:val="clear" w:color="auto" w:fill="auto"/>
            <w:hideMark/>
          </w:tcPr>
          <w:p w14:paraId="04847623" w14:textId="77777777" w:rsidR="00EE4B47" w:rsidRPr="00250EA9" w:rsidRDefault="00EE4B47" w:rsidP="00250EA9">
            <w:pPr>
              <w:spacing w:after="0"/>
              <w:jc w:val="left"/>
              <w:rPr>
                <w:rFonts w:asciiTheme="minorHAnsi" w:hAnsiTheme="minorHAnsi" w:cs="Arial"/>
                <w:b/>
                <w:bCs/>
                <w:sz w:val="20"/>
                <w:szCs w:val="20"/>
                <w:lang w:val="en-US"/>
              </w:rPr>
            </w:pPr>
            <w:r w:rsidRPr="00250EA9">
              <w:rPr>
                <w:rFonts w:asciiTheme="minorHAnsi" w:hAnsiTheme="minorHAnsi" w:cs="Arial"/>
                <w:b/>
                <w:bCs/>
                <w:sz w:val="20"/>
                <w:szCs w:val="20"/>
              </w:rPr>
              <w:t>3. Public Domain Investment</w:t>
            </w:r>
          </w:p>
        </w:tc>
        <w:tc>
          <w:tcPr>
            <w:tcW w:w="3158" w:type="pct"/>
            <w:shd w:val="clear" w:color="auto" w:fill="auto"/>
            <w:hideMark/>
          </w:tcPr>
          <w:p w14:paraId="68B4E04C" w14:textId="77777777" w:rsidR="00EE4B47" w:rsidRPr="00250EA9" w:rsidRDefault="00EE4B47" w:rsidP="009A316A">
            <w:pPr>
              <w:spacing w:after="0"/>
              <w:jc w:val="left"/>
              <w:rPr>
                <w:rFonts w:asciiTheme="minorHAnsi" w:hAnsiTheme="minorHAnsi"/>
                <w:color w:val="000000"/>
                <w:sz w:val="20"/>
                <w:szCs w:val="20"/>
                <w:lang w:val="en-US"/>
              </w:rPr>
            </w:pPr>
            <w:r w:rsidRPr="00250EA9">
              <w:rPr>
                <w:rFonts w:asciiTheme="minorHAnsi" w:hAnsiTheme="minorHAnsi"/>
                <w:color w:val="000000"/>
                <w:sz w:val="20"/>
                <w:szCs w:val="20"/>
                <w:lang w:val="en-US"/>
              </w:rPr>
              <w:t xml:space="preserve">To be funded out of other line departments or Social and Economic Amenities Grant. </w:t>
            </w:r>
          </w:p>
        </w:tc>
      </w:tr>
      <w:tr w:rsidR="00EE4B47" w:rsidRPr="009A316A" w14:paraId="236ADE1D" w14:textId="77777777" w:rsidTr="00250EA9">
        <w:trPr>
          <w:trHeight w:val="435"/>
        </w:trPr>
        <w:tc>
          <w:tcPr>
            <w:tcW w:w="1842" w:type="pct"/>
            <w:shd w:val="clear" w:color="auto" w:fill="auto"/>
            <w:hideMark/>
          </w:tcPr>
          <w:p w14:paraId="70321ED6" w14:textId="77777777" w:rsidR="00EE4B47" w:rsidRPr="00250EA9" w:rsidRDefault="00EE4B47" w:rsidP="00250EA9">
            <w:pPr>
              <w:spacing w:after="0"/>
              <w:jc w:val="left"/>
              <w:rPr>
                <w:rFonts w:asciiTheme="minorHAnsi" w:hAnsiTheme="minorHAnsi" w:cs="Arial"/>
                <w:b/>
                <w:bCs/>
                <w:sz w:val="20"/>
                <w:szCs w:val="20"/>
                <w:lang w:val="en-US"/>
              </w:rPr>
            </w:pPr>
            <w:r w:rsidRPr="00250EA9">
              <w:rPr>
                <w:rFonts w:asciiTheme="minorHAnsi" w:hAnsiTheme="minorHAnsi" w:cs="Arial"/>
                <w:b/>
                <w:bCs/>
                <w:sz w:val="20"/>
                <w:szCs w:val="20"/>
              </w:rPr>
              <w:t xml:space="preserve">4.Layout Planning </w:t>
            </w:r>
          </w:p>
        </w:tc>
        <w:tc>
          <w:tcPr>
            <w:tcW w:w="3158" w:type="pct"/>
            <w:shd w:val="clear" w:color="auto" w:fill="auto"/>
            <w:hideMark/>
          </w:tcPr>
          <w:p w14:paraId="4DD5F027" w14:textId="77777777" w:rsidR="00EE4B47" w:rsidRPr="00250EA9" w:rsidRDefault="00EE4B47" w:rsidP="009A316A">
            <w:pPr>
              <w:spacing w:after="0"/>
              <w:jc w:val="left"/>
              <w:rPr>
                <w:rFonts w:asciiTheme="minorHAnsi" w:hAnsiTheme="minorHAnsi"/>
                <w:color w:val="000000"/>
                <w:sz w:val="20"/>
                <w:szCs w:val="20"/>
                <w:lang w:val="en-US"/>
              </w:rPr>
            </w:pPr>
            <w:r w:rsidRPr="00250EA9">
              <w:rPr>
                <w:rFonts w:asciiTheme="minorHAnsi" w:hAnsiTheme="minorHAnsi"/>
                <w:color w:val="000000"/>
                <w:sz w:val="20"/>
                <w:szCs w:val="20"/>
                <w:lang w:val="en-US"/>
              </w:rPr>
              <w:t>Pre planning (ph1) ; Detailed town planning  (Ph2)</w:t>
            </w:r>
          </w:p>
        </w:tc>
      </w:tr>
      <w:tr w:rsidR="00EE4B47" w:rsidRPr="009A316A" w14:paraId="3BFAEB19" w14:textId="77777777" w:rsidTr="00250EA9">
        <w:trPr>
          <w:trHeight w:val="555"/>
        </w:trPr>
        <w:tc>
          <w:tcPr>
            <w:tcW w:w="1842" w:type="pct"/>
            <w:shd w:val="clear" w:color="auto" w:fill="auto"/>
            <w:hideMark/>
          </w:tcPr>
          <w:p w14:paraId="55D7BF1F" w14:textId="77777777" w:rsidR="00EE4B47" w:rsidRPr="00250EA9" w:rsidRDefault="00EE4B47" w:rsidP="00250EA9">
            <w:pPr>
              <w:spacing w:after="0"/>
              <w:jc w:val="left"/>
              <w:rPr>
                <w:rFonts w:asciiTheme="minorHAnsi" w:hAnsiTheme="minorHAnsi" w:cs="Arial"/>
                <w:b/>
                <w:bCs/>
                <w:sz w:val="20"/>
                <w:szCs w:val="20"/>
                <w:lang w:val="en-US"/>
              </w:rPr>
            </w:pPr>
            <w:r w:rsidRPr="00250EA9">
              <w:rPr>
                <w:rFonts w:asciiTheme="minorHAnsi" w:hAnsiTheme="minorHAnsi" w:cs="Arial"/>
                <w:b/>
                <w:bCs/>
                <w:sz w:val="20"/>
                <w:szCs w:val="20"/>
              </w:rPr>
              <w:t xml:space="preserve">5.  Urban Management </w:t>
            </w:r>
          </w:p>
        </w:tc>
        <w:tc>
          <w:tcPr>
            <w:tcW w:w="3158" w:type="pct"/>
            <w:shd w:val="clear" w:color="auto" w:fill="auto"/>
            <w:hideMark/>
          </w:tcPr>
          <w:p w14:paraId="50CBF821" w14:textId="3494CD21" w:rsidR="00EE4B47" w:rsidRPr="00250EA9" w:rsidRDefault="00EE4B47" w:rsidP="009A316A">
            <w:pPr>
              <w:keepNext/>
              <w:keepLines/>
              <w:spacing w:before="200" w:after="0"/>
              <w:jc w:val="left"/>
              <w:outlineLvl w:val="7"/>
              <w:rPr>
                <w:rFonts w:asciiTheme="minorHAnsi" w:hAnsiTheme="minorHAnsi"/>
                <w:color w:val="000000"/>
                <w:sz w:val="20"/>
                <w:szCs w:val="20"/>
                <w:lang w:val="en-US"/>
              </w:rPr>
            </w:pPr>
            <w:r w:rsidRPr="00250EA9">
              <w:rPr>
                <w:rFonts w:asciiTheme="minorHAnsi" w:hAnsiTheme="minorHAnsi"/>
                <w:color w:val="000000"/>
                <w:sz w:val="20"/>
                <w:szCs w:val="20"/>
                <w:lang w:val="en-US"/>
              </w:rPr>
              <w:t xml:space="preserve">Not provided for </w:t>
            </w:r>
          </w:p>
        </w:tc>
      </w:tr>
      <w:tr w:rsidR="00EE4B47" w:rsidRPr="009A316A" w14:paraId="7BB7B268" w14:textId="77777777" w:rsidTr="00250EA9">
        <w:trPr>
          <w:trHeight w:val="600"/>
        </w:trPr>
        <w:tc>
          <w:tcPr>
            <w:tcW w:w="1842" w:type="pct"/>
            <w:shd w:val="clear" w:color="auto" w:fill="auto"/>
            <w:hideMark/>
          </w:tcPr>
          <w:p w14:paraId="2419E125" w14:textId="77777777" w:rsidR="00EE4B47" w:rsidRPr="00250EA9" w:rsidRDefault="00EE4B47" w:rsidP="00250EA9">
            <w:pPr>
              <w:spacing w:after="0"/>
              <w:jc w:val="left"/>
              <w:rPr>
                <w:rFonts w:asciiTheme="minorHAnsi" w:hAnsiTheme="minorHAnsi" w:cs="Arial"/>
                <w:b/>
                <w:bCs/>
                <w:sz w:val="20"/>
                <w:szCs w:val="20"/>
                <w:lang w:val="en-US"/>
              </w:rPr>
            </w:pPr>
            <w:r w:rsidRPr="00250EA9">
              <w:rPr>
                <w:rFonts w:asciiTheme="minorHAnsi" w:hAnsiTheme="minorHAnsi" w:cs="Arial"/>
                <w:b/>
                <w:bCs/>
                <w:sz w:val="20"/>
                <w:szCs w:val="20"/>
              </w:rPr>
              <w:t xml:space="preserve">7. Community Capacitation/social capital development </w:t>
            </w:r>
          </w:p>
        </w:tc>
        <w:tc>
          <w:tcPr>
            <w:tcW w:w="3158" w:type="pct"/>
            <w:shd w:val="clear" w:color="auto" w:fill="auto"/>
            <w:hideMark/>
          </w:tcPr>
          <w:p w14:paraId="0FDF11B9" w14:textId="77777777" w:rsidR="00EE4B47" w:rsidRPr="00250EA9" w:rsidRDefault="00EE4B47" w:rsidP="009A316A">
            <w:pPr>
              <w:spacing w:after="0"/>
              <w:jc w:val="left"/>
              <w:rPr>
                <w:rFonts w:asciiTheme="minorHAnsi" w:hAnsiTheme="minorHAnsi"/>
                <w:color w:val="000000"/>
                <w:sz w:val="20"/>
                <w:szCs w:val="20"/>
                <w:lang w:val="en-US"/>
              </w:rPr>
            </w:pPr>
            <w:r w:rsidRPr="00250EA9">
              <w:rPr>
                <w:rFonts w:asciiTheme="minorHAnsi" w:hAnsiTheme="minorHAnsi"/>
                <w:color w:val="000000"/>
                <w:sz w:val="20"/>
                <w:szCs w:val="20"/>
                <w:lang w:val="en-US"/>
              </w:rPr>
              <w:t xml:space="preserve">To be funded out of the 3% allowance for Community facilitation - Facilitating community participation , project information sharing and progress reporting, conflict resolution </w:t>
            </w:r>
          </w:p>
        </w:tc>
      </w:tr>
      <w:tr w:rsidR="00EE4B47" w:rsidRPr="009A316A" w14:paraId="507056EE" w14:textId="77777777" w:rsidTr="00250EA9">
        <w:trPr>
          <w:trHeight w:val="975"/>
        </w:trPr>
        <w:tc>
          <w:tcPr>
            <w:tcW w:w="1842" w:type="pct"/>
            <w:shd w:val="clear" w:color="auto" w:fill="auto"/>
            <w:hideMark/>
          </w:tcPr>
          <w:p w14:paraId="51443591" w14:textId="77777777" w:rsidR="00EE4B47" w:rsidRPr="00250EA9" w:rsidRDefault="00EE4B47" w:rsidP="00250EA9">
            <w:pPr>
              <w:spacing w:after="0"/>
              <w:jc w:val="left"/>
              <w:rPr>
                <w:rFonts w:asciiTheme="minorHAnsi" w:hAnsiTheme="minorHAnsi" w:cs="Arial"/>
                <w:b/>
                <w:bCs/>
                <w:sz w:val="20"/>
                <w:szCs w:val="20"/>
                <w:lang w:val="en-US"/>
              </w:rPr>
            </w:pPr>
            <w:r w:rsidRPr="00250EA9">
              <w:rPr>
                <w:rFonts w:asciiTheme="minorHAnsi" w:hAnsiTheme="minorHAnsi" w:cs="Arial"/>
                <w:b/>
                <w:bCs/>
                <w:sz w:val="20"/>
                <w:szCs w:val="20"/>
              </w:rPr>
              <w:t xml:space="preserve">8.Housing consolidation – prior to Phase 4 </w:t>
            </w:r>
          </w:p>
        </w:tc>
        <w:tc>
          <w:tcPr>
            <w:tcW w:w="3158" w:type="pct"/>
            <w:shd w:val="clear" w:color="auto" w:fill="auto"/>
            <w:hideMark/>
          </w:tcPr>
          <w:p w14:paraId="40C7EA32" w14:textId="77777777" w:rsidR="00EE4B47" w:rsidRPr="00250EA9" w:rsidRDefault="00EE4B47" w:rsidP="009A316A">
            <w:pPr>
              <w:spacing w:after="0"/>
              <w:jc w:val="left"/>
              <w:rPr>
                <w:rFonts w:asciiTheme="minorHAnsi" w:hAnsiTheme="minorHAnsi"/>
                <w:color w:val="000000"/>
                <w:sz w:val="20"/>
                <w:szCs w:val="20"/>
                <w:lang w:val="en-US"/>
              </w:rPr>
            </w:pPr>
            <w:r w:rsidRPr="00250EA9">
              <w:rPr>
                <w:rFonts w:asciiTheme="minorHAnsi" w:hAnsiTheme="minorHAnsi"/>
                <w:color w:val="000000"/>
                <w:sz w:val="20"/>
                <w:szCs w:val="20"/>
                <w:lang w:val="en-US"/>
              </w:rPr>
              <w:t>Housing support services comprising , (i) training and education on housing rights and obligations,(ii) Capacity building of housing beneficiaries, (iii) assistance with the selection of housing options, (iv) management of building materials, (v) relocation assistance</w:t>
            </w:r>
          </w:p>
        </w:tc>
      </w:tr>
    </w:tbl>
    <w:p w14:paraId="76572712" w14:textId="77777777" w:rsidR="0011625C" w:rsidRDefault="0011625C" w:rsidP="0011625C">
      <w:pPr>
        <w:spacing w:after="0" w:line="360" w:lineRule="auto"/>
        <w:rPr>
          <w:rFonts w:cs="Arial"/>
          <w:szCs w:val="22"/>
        </w:rPr>
      </w:pPr>
    </w:p>
    <w:p w14:paraId="2F5C1EC5" w14:textId="497F520A" w:rsidR="0011625C" w:rsidRDefault="0011625C" w:rsidP="0011625C">
      <w:pPr>
        <w:spacing w:after="0" w:line="360" w:lineRule="auto"/>
        <w:rPr>
          <w:rFonts w:cs="Arial"/>
          <w:szCs w:val="22"/>
        </w:rPr>
      </w:pPr>
      <w:r w:rsidRPr="0011625C">
        <w:rPr>
          <w:rFonts w:cs="Arial"/>
          <w:szCs w:val="22"/>
        </w:rPr>
        <w:t>In</w:t>
      </w:r>
      <w:r>
        <w:rPr>
          <w:rFonts w:cs="Arial"/>
          <w:szCs w:val="22"/>
        </w:rPr>
        <w:t xml:space="preserve"> relation to the UISP’s implementation approach, Figure </w:t>
      </w:r>
      <w:r w:rsidR="009A6835">
        <w:rPr>
          <w:rFonts w:cs="Arial"/>
          <w:szCs w:val="22"/>
        </w:rPr>
        <w:t>13</w:t>
      </w:r>
      <w:r>
        <w:rPr>
          <w:rFonts w:cs="Arial"/>
          <w:szCs w:val="22"/>
        </w:rPr>
        <w:t xml:space="preserve"> overleaf shows the sequence of phases, and key steps relating to each phase of the </w:t>
      </w:r>
      <w:r w:rsidRPr="0011625C">
        <w:rPr>
          <w:rFonts w:cs="Arial"/>
          <w:szCs w:val="22"/>
        </w:rPr>
        <w:t>UISP</w:t>
      </w:r>
      <w:r>
        <w:rPr>
          <w:rFonts w:cs="Arial"/>
          <w:szCs w:val="22"/>
        </w:rPr>
        <w:t xml:space="preserve">. </w:t>
      </w:r>
      <w:r w:rsidRPr="0011625C">
        <w:rPr>
          <w:rFonts w:cs="Arial"/>
          <w:szCs w:val="22"/>
        </w:rPr>
        <w:t>In in</w:t>
      </w:r>
      <w:r>
        <w:rPr>
          <w:rFonts w:cs="Arial"/>
          <w:szCs w:val="22"/>
        </w:rPr>
        <w:t>-</w:t>
      </w:r>
      <w:r w:rsidRPr="0011625C">
        <w:rPr>
          <w:rFonts w:cs="Arial"/>
          <w:szCs w:val="22"/>
        </w:rPr>
        <w:t>situ upgrading, with all its in</w:t>
      </w:r>
      <w:r>
        <w:rPr>
          <w:rFonts w:cs="Arial"/>
          <w:szCs w:val="22"/>
        </w:rPr>
        <w:t>-</w:t>
      </w:r>
      <w:r w:rsidRPr="0011625C">
        <w:rPr>
          <w:rFonts w:cs="Arial"/>
          <w:szCs w:val="22"/>
        </w:rPr>
        <w:t>built complexities, the time frame required to reach the end of Phase 3 could be very long</w:t>
      </w:r>
      <w:r>
        <w:rPr>
          <w:rFonts w:cs="Arial"/>
          <w:szCs w:val="22"/>
        </w:rPr>
        <w:t>,</w:t>
      </w:r>
      <w:r w:rsidRPr="0011625C">
        <w:rPr>
          <w:rFonts w:cs="Arial"/>
          <w:szCs w:val="22"/>
        </w:rPr>
        <w:t xml:space="preserve"> anything up to 10 years after project initiation. </w:t>
      </w:r>
    </w:p>
    <w:p w14:paraId="3A015828" w14:textId="77777777" w:rsidR="0011625C" w:rsidRPr="0011625C" w:rsidRDefault="0011625C" w:rsidP="0011625C">
      <w:pPr>
        <w:spacing w:after="0" w:line="360" w:lineRule="auto"/>
        <w:rPr>
          <w:rFonts w:cs="Arial"/>
          <w:szCs w:val="22"/>
        </w:rPr>
      </w:pPr>
    </w:p>
    <w:p w14:paraId="1E0A2C39" w14:textId="77777777" w:rsidR="00FD2D6A" w:rsidRDefault="00FD2D6A" w:rsidP="00EE4B47">
      <w:pPr>
        <w:sectPr w:rsidR="00FD2D6A">
          <w:pgSz w:w="12240" w:h="15840"/>
          <w:pgMar w:top="1440" w:right="1440" w:bottom="1440" w:left="1440" w:header="720" w:footer="720" w:gutter="0"/>
          <w:cols w:space="720"/>
          <w:docGrid w:linePitch="360"/>
        </w:sectPr>
      </w:pPr>
    </w:p>
    <w:p w14:paraId="0A8F44F7" w14:textId="410481C1" w:rsidR="00FD2D6A" w:rsidRDefault="009A6835" w:rsidP="00EE4B47">
      <w:pPr>
        <w:rPr>
          <w:b/>
        </w:rPr>
      </w:pPr>
      <w:bookmarkStart w:id="193" w:name="_Toc270945516"/>
      <w:r w:rsidRPr="008C45F2">
        <w:rPr>
          <w:b/>
        </w:rPr>
        <w:lastRenderedPageBreak/>
        <w:t xml:space="preserve">Figure </w:t>
      </w:r>
      <w:r w:rsidRPr="00220C7D">
        <w:rPr>
          <w:b/>
        </w:rPr>
        <w:fldChar w:fldCharType="begin"/>
      </w:r>
      <w:r w:rsidRPr="00220C7D">
        <w:rPr>
          <w:b/>
        </w:rPr>
        <w:instrText xml:space="preserve"> SEQ Figure \* ARABIC </w:instrText>
      </w:r>
      <w:r w:rsidRPr="00220C7D">
        <w:rPr>
          <w:b/>
        </w:rPr>
        <w:fldChar w:fldCharType="separate"/>
      </w:r>
      <w:r w:rsidR="00E9048A">
        <w:rPr>
          <w:b/>
          <w:noProof/>
        </w:rPr>
        <w:t>13</w:t>
      </w:r>
      <w:r w:rsidRPr="00220C7D">
        <w:rPr>
          <w:b/>
        </w:rPr>
        <w:fldChar w:fldCharType="end"/>
      </w:r>
      <w:r w:rsidR="00552937" w:rsidRPr="00552937">
        <w:rPr>
          <w:b/>
        </w:rPr>
        <w:t xml:space="preserve">: </w:t>
      </w:r>
      <w:r w:rsidR="00552937">
        <w:rPr>
          <w:b/>
        </w:rPr>
        <w:t xml:space="preserve">Implementation Framework for the UISP (Phases </w:t>
      </w:r>
      <w:r w:rsidR="009F18CE">
        <w:rPr>
          <w:b/>
        </w:rPr>
        <w:t>O</w:t>
      </w:r>
      <w:r w:rsidR="00552937">
        <w:rPr>
          <w:b/>
        </w:rPr>
        <w:t xml:space="preserve">ne to </w:t>
      </w:r>
      <w:r w:rsidR="009F18CE">
        <w:rPr>
          <w:b/>
        </w:rPr>
        <w:t>F</w:t>
      </w:r>
      <w:r w:rsidR="00552937">
        <w:rPr>
          <w:b/>
        </w:rPr>
        <w:t>our)</w:t>
      </w:r>
      <w:bookmarkEnd w:id="193"/>
    </w:p>
    <w:p w14:paraId="06E3FB5A" w14:textId="77777777" w:rsidR="00552937" w:rsidRPr="009F18CE" w:rsidRDefault="00552937" w:rsidP="009F18CE">
      <w:pPr>
        <w:spacing w:after="0" w:line="360" w:lineRule="auto"/>
        <w:rPr>
          <w:rFonts w:cs="Arial"/>
          <w:szCs w:val="22"/>
        </w:rPr>
      </w:pPr>
    </w:p>
    <w:p w14:paraId="732E5B32" w14:textId="6BF489A9" w:rsidR="00552937" w:rsidRPr="009F18CE" w:rsidRDefault="00D81C50" w:rsidP="009F18CE">
      <w:pPr>
        <w:spacing w:after="0" w:line="360" w:lineRule="auto"/>
        <w:rPr>
          <w:rFonts w:cs="Arial"/>
          <w:szCs w:val="22"/>
        </w:rPr>
        <w:sectPr w:rsidR="00552937" w:rsidRPr="009F18CE" w:rsidSect="00FD2D6A">
          <w:pgSz w:w="15840" w:h="12240" w:orient="landscape"/>
          <w:pgMar w:top="1440" w:right="1440" w:bottom="1440" w:left="1440" w:header="720" w:footer="720" w:gutter="0"/>
          <w:cols w:space="720"/>
          <w:docGrid w:linePitch="360"/>
        </w:sectPr>
      </w:pPr>
      <w:r>
        <w:rPr>
          <w:rFonts w:cs="Arial"/>
          <w:szCs w:val="22"/>
        </w:rPr>
        <w:pict w14:anchorId="7DEC5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in;height:322.65pt">
            <v:imagedata r:id="rId27" o:title=""/>
          </v:shape>
        </w:pict>
      </w:r>
    </w:p>
    <w:p w14:paraId="074F3D09" w14:textId="39ABB017" w:rsidR="00FD2D6A" w:rsidRDefault="00FD2D6A" w:rsidP="00EE4B47"/>
    <w:p w14:paraId="10342549" w14:textId="77777777" w:rsidR="00EE4B47" w:rsidRPr="003B1281" w:rsidRDefault="00EE4B47" w:rsidP="00E67269">
      <w:pPr>
        <w:pStyle w:val="Heading3"/>
      </w:pPr>
      <w:r w:rsidRPr="003B1281">
        <w:t xml:space="preserve">Qualification for </w:t>
      </w:r>
      <w:r>
        <w:t>B</w:t>
      </w:r>
      <w:r w:rsidRPr="003B1281">
        <w:t xml:space="preserve">enefits </w:t>
      </w:r>
      <w:r>
        <w:t>under</w:t>
      </w:r>
      <w:r w:rsidRPr="003B1281">
        <w:t xml:space="preserve"> </w:t>
      </w:r>
      <w:r>
        <w:t>UISP (Serviced Sites)</w:t>
      </w:r>
    </w:p>
    <w:p w14:paraId="3B871BAA" w14:textId="4B8E3372" w:rsidR="00EE4B47" w:rsidRPr="003A1C40" w:rsidRDefault="00EE4B47" w:rsidP="00250EA9">
      <w:pPr>
        <w:spacing w:after="0" w:line="360" w:lineRule="auto"/>
        <w:rPr>
          <w:rFonts w:cs="Arial"/>
          <w:szCs w:val="22"/>
        </w:rPr>
      </w:pPr>
      <w:r w:rsidRPr="003B1281">
        <w:rPr>
          <w:rFonts w:cs="Arial"/>
          <w:szCs w:val="22"/>
        </w:rPr>
        <w:t xml:space="preserve">The </w:t>
      </w:r>
      <w:r>
        <w:rPr>
          <w:rFonts w:cs="Arial"/>
          <w:szCs w:val="22"/>
        </w:rPr>
        <w:t xml:space="preserve">UISP aims to </w:t>
      </w:r>
      <w:r w:rsidRPr="003B1281">
        <w:rPr>
          <w:rFonts w:cs="Arial"/>
          <w:szCs w:val="22"/>
        </w:rPr>
        <w:t>provide benefits for all the inhabitants of an informal settlement, in a variety of ways</w:t>
      </w:r>
      <w:r>
        <w:rPr>
          <w:rFonts w:cs="Arial"/>
          <w:szCs w:val="22"/>
        </w:rPr>
        <w:t>. This in</w:t>
      </w:r>
      <w:r w:rsidRPr="003B1281">
        <w:rPr>
          <w:rFonts w:cs="Arial"/>
          <w:szCs w:val="22"/>
        </w:rPr>
        <w:t>clud</w:t>
      </w:r>
      <w:r>
        <w:rPr>
          <w:rFonts w:cs="Arial"/>
          <w:szCs w:val="22"/>
        </w:rPr>
        <w:t>es</w:t>
      </w:r>
      <w:r w:rsidRPr="003B1281">
        <w:rPr>
          <w:rFonts w:cs="Arial"/>
          <w:szCs w:val="22"/>
        </w:rPr>
        <w:t xml:space="preserve"> persons currently excluded from the benefits of the </w:t>
      </w:r>
      <w:r w:rsidR="000B081C">
        <w:rPr>
          <w:rFonts w:cs="Arial"/>
          <w:szCs w:val="22"/>
        </w:rPr>
        <w:t xml:space="preserve">individual </w:t>
      </w:r>
      <w:r w:rsidRPr="003B1281">
        <w:rPr>
          <w:rFonts w:cs="Arial"/>
          <w:szCs w:val="22"/>
        </w:rPr>
        <w:t>housing subsidy scheme</w:t>
      </w:r>
      <w:r>
        <w:rPr>
          <w:rFonts w:cs="Arial"/>
          <w:szCs w:val="22"/>
        </w:rPr>
        <w:t xml:space="preserve">. </w:t>
      </w:r>
      <w:r w:rsidRPr="003A1C40">
        <w:rPr>
          <w:rFonts w:cs="Arial"/>
          <w:szCs w:val="22"/>
        </w:rPr>
        <w:t>The Housing Code (</w:t>
      </w:r>
      <w:r w:rsidR="000B081C">
        <w:rPr>
          <w:rFonts w:cs="Arial"/>
          <w:szCs w:val="22"/>
        </w:rPr>
        <w:t xml:space="preserve">2009, </w:t>
      </w:r>
      <w:r w:rsidRPr="003A1C40">
        <w:rPr>
          <w:rFonts w:cs="Arial"/>
          <w:szCs w:val="22"/>
        </w:rPr>
        <w:t>p14, 16 &amp; 17) states:</w:t>
      </w:r>
    </w:p>
    <w:p w14:paraId="493D20CC" w14:textId="77777777" w:rsidR="00EE4B47" w:rsidRPr="003B1281" w:rsidRDefault="00EE4B47" w:rsidP="00250EA9">
      <w:pPr>
        <w:spacing w:after="0" w:line="360" w:lineRule="auto"/>
        <w:rPr>
          <w:rFonts w:cs="Arial"/>
          <w:i/>
          <w:szCs w:val="22"/>
        </w:rPr>
      </w:pPr>
      <w:r>
        <w:rPr>
          <w:rFonts w:cs="Arial"/>
          <w:i/>
          <w:szCs w:val="22"/>
        </w:rPr>
        <w:t>“</w:t>
      </w:r>
      <w:r w:rsidRPr="003B1281">
        <w:rPr>
          <w:rFonts w:cs="Arial"/>
          <w:i/>
          <w:szCs w:val="22"/>
        </w:rPr>
        <w:t>The programme will benefit households and individuals residing in informal settlements and the following individuals will qualify for assistance under this programme:</w:t>
      </w:r>
    </w:p>
    <w:p w14:paraId="49201C5C" w14:textId="77777777" w:rsidR="00EE4B47" w:rsidRPr="003B1281" w:rsidRDefault="00EE4B47" w:rsidP="0055634E">
      <w:pPr>
        <w:pStyle w:val="ListParagraph"/>
        <w:numPr>
          <w:ilvl w:val="0"/>
          <w:numId w:val="17"/>
        </w:numPr>
        <w:spacing w:after="0"/>
        <w:ind w:left="720"/>
        <w:rPr>
          <w:rFonts w:cs="Arial"/>
          <w:i/>
        </w:rPr>
      </w:pPr>
      <w:r w:rsidRPr="003B1281">
        <w:rPr>
          <w:rFonts w:cs="Arial"/>
          <w:i/>
        </w:rPr>
        <w:t>Households that comply with the Housing subsidy Scheme qualification criteria</w:t>
      </w:r>
    </w:p>
    <w:p w14:paraId="6FECBEA0" w14:textId="77777777" w:rsidR="00EE4B47" w:rsidRPr="003B1281" w:rsidRDefault="00EE4B47" w:rsidP="0055634E">
      <w:pPr>
        <w:pStyle w:val="ListParagraph"/>
        <w:numPr>
          <w:ilvl w:val="0"/>
          <w:numId w:val="17"/>
        </w:numPr>
        <w:spacing w:after="0"/>
        <w:ind w:left="720"/>
        <w:rPr>
          <w:rFonts w:cs="Arial"/>
          <w:i/>
        </w:rPr>
      </w:pPr>
      <w:r w:rsidRPr="003B1281">
        <w:rPr>
          <w:rFonts w:cs="Arial"/>
          <w:i/>
        </w:rPr>
        <w:t>Households /</w:t>
      </w:r>
      <w:r>
        <w:rPr>
          <w:rFonts w:cs="Arial"/>
          <w:i/>
        </w:rPr>
        <w:t xml:space="preserve"> </w:t>
      </w:r>
      <w:r w:rsidRPr="003B1281">
        <w:rPr>
          <w:rFonts w:cs="Arial"/>
          <w:i/>
        </w:rPr>
        <w:t>persons with a monthly income exceeding the maximum income limit as approved by the Minister from time to time</w:t>
      </w:r>
    </w:p>
    <w:p w14:paraId="6859EBB8" w14:textId="17154013" w:rsidR="00EE4B47" w:rsidRPr="003B1281" w:rsidRDefault="00EE4B47" w:rsidP="0055634E">
      <w:pPr>
        <w:pStyle w:val="ListParagraph"/>
        <w:numPr>
          <w:ilvl w:val="0"/>
          <w:numId w:val="17"/>
        </w:numPr>
        <w:spacing w:after="0"/>
        <w:ind w:left="720"/>
        <w:rPr>
          <w:rFonts w:cs="Arial"/>
          <w:i/>
        </w:rPr>
      </w:pPr>
      <w:r w:rsidRPr="003B1281">
        <w:rPr>
          <w:rFonts w:cs="Arial"/>
          <w:i/>
        </w:rPr>
        <w:t>Households headed by minors</w:t>
      </w:r>
      <w:r w:rsidR="001619C6">
        <w:rPr>
          <w:rFonts w:cs="Arial"/>
          <w:i/>
        </w:rPr>
        <w:t>…</w:t>
      </w:r>
      <w:r>
        <w:rPr>
          <w:rFonts w:cs="Arial"/>
          <w:i/>
        </w:rPr>
        <w:t>;</w:t>
      </w:r>
    </w:p>
    <w:p w14:paraId="5CB4EBC0" w14:textId="77777777" w:rsidR="00EE4B47" w:rsidRPr="003B1281" w:rsidRDefault="00EE4B47" w:rsidP="0055634E">
      <w:pPr>
        <w:pStyle w:val="ListParagraph"/>
        <w:numPr>
          <w:ilvl w:val="0"/>
          <w:numId w:val="17"/>
        </w:numPr>
        <w:spacing w:after="0"/>
        <w:ind w:left="720"/>
        <w:rPr>
          <w:rFonts w:cs="Arial"/>
          <w:i/>
        </w:rPr>
      </w:pPr>
      <w:r w:rsidRPr="003B1281">
        <w:rPr>
          <w:rFonts w:cs="Arial"/>
          <w:i/>
        </w:rPr>
        <w:t>Persons without dependents;</w:t>
      </w:r>
    </w:p>
    <w:p w14:paraId="23C512E6" w14:textId="77777777" w:rsidR="00EE4B47" w:rsidRPr="003B1281" w:rsidRDefault="00EE4B47" w:rsidP="0055634E">
      <w:pPr>
        <w:pStyle w:val="ListParagraph"/>
        <w:numPr>
          <w:ilvl w:val="0"/>
          <w:numId w:val="17"/>
        </w:numPr>
        <w:spacing w:after="0"/>
        <w:ind w:left="720"/>
        <w:rPr>
          <w:rFonts w:cs="Arial"/>
          <w:i/>
        </w:rPr>
      </w:pPr>
      <w:r w:rsidRPr="003B1281">
        <w:rPr>
          <w:rFonts w:cs="Arial"/>
          <w:i/>
        </w:rPr>
        <w:t>Persons who are not first time homeowners</w:t>
      </w:r>
      <w:r>
        <w:rPr>
          <w:rFonts w:cs="Arial"/>
          <w:i/>
        </w:rPr>
        <w:t>;</w:t>
      </w:r>
    </w:p>
    <w:p w14:paraId="5A72B57B" w14:textId="71BA483C" w:rsidR="00EE4B47" w:rsidRDefault="00EE4B47" w:rsidP="0055634E">
      <w:pPr>
        <w:pStyle w:val="ListParagraph"/>
        <w:numPr>
          <w:ilvl w:val="0"/>
          <w:numId w:val="17"/>
        </w:numPr>
        <w:spacing w:after="0"/>
        <w:ind w:left="720"/>
        <w:rPr>
          <w:rFonts w:cs="Arial"/>
          <w:i/>
        </w:rPr>
      </w:pPr>
      <w:r w:rsidRPr="003B1281">
        <w:rPr>
          <w:rFonts w:cs="Arial"/>
          <w:i/>
        </w:rPr>
        <w:t xml:space="preserve">Persons who have previously received housing assistance and/or currently own a residential property..;  </w:t>
      </w:r>
    </w:p>
    <w:p w14:paraId="7DA904CC" w14:textId="77777777" w:rsidR="00EE4B47" w:rsidRPr="003B1281" w:rsidRDefault="00EE4B47" w:rsidP="0055634E">
      <w:pPr>
        <w:pStyle w:val="ListParagraph"/>
        <w:numPr>
          <w:ilvl w:val="0"/>
          <w:numId w:val="17"/>
        </w:numPr>
        <w:spacing w:after="0"/>
        <w:ind w:left="720"/>
        <w:rPr>
          <w:rFonts w:cs="Arial"/>
          <w:i/>
        </w:rPr>
      </w:pPr>
      <w:r w:rsidRPr="003B1281">
        <w:rPr>
          <w:rFonts w:cs="Arial"/>
          <w:i/>
        </w:rPr>
        <w:t>Illegal immigrants on the conditions prescribed by the Department of Home Affairs</w:t>
      </w:r>
      <w:r>
        <w:rPr>
          <w:rStyle w:val="FootnoteReference"/>
        </w:rPr>
        <w:footnoteReference w:id="8"/>
      </w:r>
      <w:r w:rsidRPr="003B1281">
        <w:rPr>
          <w:rFonts w:cs="Arial"/>
          <w:i/>
        </w:rPr>
        <w:t>;</w:t>
      </w:r>
      <w:r>
        <w:rPr>
          <w:rFonts w:cs="Arial"/>
          <w:i/>
        </w:rPr>
        <w:t xml:space="preserve"> [and]</w:t>
      </w:r>
    </w:p>
    <w:p w14:paraId="582A137F" w14:textId="77777777" w:rsidR="00EE4B47" w:rsidRDefault="00EE4B47" w:rsidP="0055634E">
      <w:pPr>
        <w:pStyle w:val="ListParagraph"/>
        <w:numPr>
          <w:ilvl w:val="0"/>
          <w:numId w:val="17"/>
        </w:numPr>
        <w:spacing w:after="0"/>
        <w:ind w:left="720"/>
        <w:rPr>
          <w:rFonts w:cs="Arial"/>
          <w:i/>
        </w:rPr>
      </w:pPr>
      <w:r w:rsidRPr="003B1281">
        <w:rPr>
          <w:rFonts w:cs="Arial"/>
          <w:i/>
        </w:rPr>
        <w:t xml:space="preserve"> Aged persons who are single without dependents’ </w:t>
      </w:r>
    </w:p>
    <w:p w14:paraId="254916C1" w14:textId="77777777" w:rsidR="000B081C" w:rsidRDefault="000B081C" w:rsidP="00250EA9">
      <w:pPr>
        <w:spacing w:after="0" w:line="360" w:lineRule="auto"/>
        <w:rPr>
          <w:rFonts w:cs="Arial"/>
          <w:szCs w:val="22"/>
        </w:rPr>
      </w:pPr>
    </w:p>
    <w:p w14:paraId="613AE60C" w14:textId="77777777" w:rsidR="00EE4B47" w:rsidRPr="000952EA" w:rsidRDefault="00EE4B47" w:rsidP="00250EA9">
      <w:pPr>
        <w:spacing w:line="360" w:lineRule="auto"/>
        <w:rPr>
          <w:rFonts w:cs="Arial"/>
          <w:szCs w:val="22"/>
        </w:rPr>
      </w:pPr>
      <w:r>
        <w:rPr>
          <w:rFonts w:cs="Arial"/>
          <w:szCs w:val="22"/>
        </w:rPr>
        <w:t>In relation to other subsidy programmes, this is a permissive set of eligibility criteria. The motive for this is to ensure that communities are not unduly affected during upgrading by the exclusion or victimisation of non-qualifying households.</w:t>
      </w:r>
    </w:p>
    <w:p w14:paraId="0A9B68BE" w14:textId="77777777" w:rsidR="00EE4B47" w:rsidRPr="00EF7F76" w:rsidRDefault="00EE4B47" w:rsidP="00540DD7">
      <w:pPr>
        <w:pStyle w:val="Heading2"/>
      </w:pPr>
      <w:bookmarkStart w:id="194" w:name="_Toc270946034"/>
      <w:r w:rsidRPr="00EF7F76">
        <w:t xml:space="preserve">Top Structure Consolidation </w:t>
      </w:r>
      <w:r>
        <w:t>under</w:t>
      </w:r>
      <w:r w:rsidRPr="00EF7F76">
        <w:t xml:space="preserve"> the UISP</w:t>
      </w:r>
      <w:r>
        <w:t>:  Phase 4</w:t>
      </w:r>
      <w:bookmarkEnd w:id="194"/>
    </w:p>
    <w:p w14:paraId="2547CA5B" w14:textId="77777777" w:rsidR="001619C6" w:rsidRDefault="001619C6" w:rsidP="00250EA9">
      <w:pPr>
        <w:spacing w:line="360" w:lineRule="auto"/>
        <w:rPr>
          <w:rFonts w:cs="Arial"/>
          <w:szCs w:val="22"/>
        </w:rPr>
      </w:pPr>
    </w:p>
    <w:p w14:paraId="403563F8" w14:textId="03105856" w:rsidR="00EE4B47" w:rsidRDefault="00EE4B47" w:rsidP="00250EA9">
      <w:pPr>
        <w:spacing w:line="360" w:lineRule="auto"/>
        <w:rPr>
          <w:rFonts w:cs="Arial"/>
          <w:szCs w:val="22"/>
        </w:rPr>
      </w:pPr>
      <w:r w:rsidRPr="002B51E3">
        <w:rPr>
          <w:rFonts w:cs="Arial"/>
          <w:szCs w:val="22"/>
          <w:highlight w:val="yellow"/>
        </w:rPr>
        <w:t xml:space="preserve">The UISP notes that </w:t>
      </w:r>
      <w:r w:rsidR="000E53F6" w:rsidRPr="002B51E3">
        <w:rPr>
          <w:rFonts w:cs="Arial"/>
          <w:i/>
          <w:szCs w:val="22"/>
          <w:highlight w:val="yellow"/>
        </w:rPr>
        <w:t>‘</w:t>
      </w:r>
      <w:r w:rsidRPr="002B51E3">
        <w:rPr>
          <w:rFonts w:cs="Arial"/>
          <w:i/>
          <w:szCs w:val="22"/>
          <w:highlight w:val="yellow"/>
        </w:rPr>
        <w:t>A project does not necessarily have to proceed beyond Phase Three the community can benefit from secure tenure, improved services and even build their own houses before the final housing consolidation phase is initiated</w:t>
      </w:r>
      <w:r w:rsidR="000E53F6" w:rsidRPr="002B51E3">
        <w:rPr>
          <w:rFonts w:cs="Arial"/>
          <w:i/>
          <w:szCs w:val="22"/>
          <w:highlight w:val="yellow"/>
        </w:rPr>
        <w:t>’</w:t>
      </w:r>
      <w:r w:rsidRPr="001619C6">
        <w:rPr>
          <w:rFonts w:cs="Arial"/>
          <w:szCs w:val="22"/>
        </w:rPr>
        <w:t xml:space="preserve"> (</w:t>
      </w:r>
      <w:r w:rsidR="00B31EA3" w:rsidRPr="001619C6">
        <w:rPr>
          <w:rFonts w:cs="Arial"/>
          <w:szCs w:val="22"/>
        </w:rPr>
        <w:t>ibid</w:t>
      </w:r>
      <w:r w:rsidR="001619C6" w:rsidRPr="001619C6">
        <w:rPr>
          <w:rFonts w:cs="Arial"/>
          <w:szCs w:val="22"/>
        </w:rPr>
        <w:t>)</w:t>
      </w:r>
      <w:r w:rsidRPr="001619C6">
        <w:rPr>
          <w:rFonts w:cs="Arial"/>
          <w:szCs w:val="22"/>
        </w:rPr>
        <w:t>.</w:t>
      </w:r>
    </w:p>
    <w:p w14:paraId="5B490426" w14:textId="4A08BAFA" w:rsidR="00EE4B47" w:rsidRDefault="00EE4B47" w:rsidP="00250EA9">
      <w:pPr>
        <w:spacing w:line="360" w:lineRule="auto"/>
        <w:rPr>
          <w:rFonts w:cs="Arial"/>
          <w:i/>
          <w:szCs w:val="22"/>
        </w:rPr>
      </w:pPr>
      <w:r w:rsidRPr="002B51E3">
        <w:rPr>
          <w:rFonts w:cs="Arial"/>
          <w:szCs w:val="22"/>
          <w:highlight w:val="yellow"/>
        </w:rPr>
        <w:lastRenderedPageBreak/>
        <w:t>Where upgrading projects do progress beyond Phase</w:t>
      </w:r>
      <w:r w:rsidR="000E53F6" w:rsidRPr="002B51E3">
        <w:rPr>
          <w:rFonts w:cs="Arial"/>
          <w:szCs w:val="22"/>
          <w:highlight w:val="yellow"/>
        </w:rPr>
        <w:t xml:space="preserve"> </w:t>
      </w:r>
      <w:r w:rsidRPr="002B51E3">
        <w:rPr>
          <w:rFonts w:cs="Arial"/>
          <w:szCs w:val="22"/>
          <w:highlight w:val="yellow"/>
        </w:rPr>
        <w:t xml:space="preserve">3 </w:t>
      </w:r>
      <w:r w:rsidR="000E53F6" w:rsidRPr="002B51E3">
        <w:rPr>
          <w:rFonts w:cs="Arial"/>
          <w:szCs w:val="22"/>
          <w:highlight w:val="yellow"/>
        </w:rPr>
        <w:t>‘</w:t>
      </w:r>
      <w:r w:rsidRPr="002B51E3">
        <w:rPr>
          <w:rFonts w:cs="Arial"/>
          <w:i/>
          <w:szCs w:val="22"/>
          <w:highlight w:val="yellow"/>
        </w:rPr>
        <w:t>the final phase of township establishment finalization, ownership registration (where appropriate), and house construction will commence</w:t>
      </w:r>
      <w:r w:rsidR="000E53F6" w:rsidRPr="002B51E3">
        <w:rPr>
          <w:rFonts w:cs="Arial"/>
          <w:i/>
          <w:szCs w:val="22"/>
          <w:highlight w:val="yellow"/>
        </w:rPr>
        <w:t>’</w:t>
      </w:r>
      <w:r w:rsidR="000E53F6" w:rsidRPr="003B1281">
        <w:rPr>
          <w:rFonts w:cs="Arial"/>
          <w:i/>
          <w:szCs w:val="22"/>
        </w:rPr>
        <w:t xml:space="preserve"> </w:t>
      </w:r>
      <w:r w:rsidRPr="00250EA9">
        <w:rPr>
          <w:rFonts w:cs="Arial"/>
          <w:szCs w:val="22"/>
        </w:rPr>
        <w:t>(</w:t>
      </w:r>
      <w:r w:rsidR="000E53F6" w:rsidRPr="00250EA9">
        <w:rPr>
          <w:rFonts w:cs="Arial"/>
          <w:szCs w:val="22"/>
        </w:rPr>
        <w:t xml:space="preserve">Housing </w:t>
      </w:r>
      <w:r w:rsidRPr="00250EA9">
        <w:rPr>
          <w:rFonts w:cs="Arial"/>
          <w:szCs w:val="22"/>
        </w:rPr>
        <w:t xml:space="preserve">Code, </w:t>
      </w:r>
      <w:r w:rsidR="000E53F6" w:rsidRPr="00250EA9">
        <w:rPr>
          <w:rFonts w:cs="Arial"/>
          <w:szCs w:val="22"/>
        </w:rPr>
        <w:t xml:space="preserve">2009, </w:t>
      </w:r>
      <w:r w:rsidRPr="00250EA9">
        <w:rPr>
          <w:rFonts w:cs="Arial"/>
          <w:szCs w:val="22"/>
        </w:rPr>
        <w:t>p44).</w:t>
      </w:r>
      <w:r>
        <w:rPr>
          <w:rFonts w:cs="Arial"/>
          <w:i/>
          <w:szCs w:val="22"/>
        </w:rPr>
        <w:t xml:space="preserve"> </w:t>
      </w:r>
    </w:p>
    <w:p w14:paraId="1B310497" w14:textId="2F90FFE4" w:rsidR="00EE4B47" w:rsidRDefault="00EE4B47" w:rsidP="00250EA9">
      <w:pPr>
        <w:spacing w:line="360" w:lineRule="auto"/>
        <w:rPr>
          <w:rFonts w:cs="Arial"/>
          <w:i/>
          <w:szCs w:val="22"/>
        </w:rPr>
      </w:pPr>
      <w:r w:rsidRPr="002B51E3">
        <w:rPr>
          <w:rFonts w:cs="Arial"/>
          <w:szCs w:val="22"/>
          <w:highlight w:val="yellow"/>
        </w:rPr>
        <w:t xml:space="preserve">The UISP envisages </w:t>
      </w:r>
      <w:r w:rsidR="000E53F6" w:rsidRPr="002B51E3">
        <w:rPr>
          <w:rFonts w:cs="Arial"/>
          <w:szCs w:val="22"/>
          <w:highlight w:val="yellow"/>
        </w:rPr>
        <w:t xml:space="preserve">that </w:t>
      </w:r>
      <w:r w:rsidRPr="002B51E3">
        <w:rPr>
          <w:rFonts w:cs="Arial"/>
          <w:szCs w:val="22"/>
          <w:highlight w:val="yellow"/>
        </w:rPr>
        <w:t xml:space="preserve">Phase 4 is to be implemented using a separate housing subsidy instrument. </w:t>
      </w:r>
      <w:r w:rsidR="000E53F6" w:rsidRPr="002B51E3">
        <w:rPr>
          <w:rFonts w:cs="Arial"/>
          <w:i/>
          <w:szCs w:val="22"/>
          <w:highlight w:val="yellow"/>
        </w:rPr>
        <w:t>‘…</w:t>
      </w:r>
      <w:r w:rsidRPr="002B51E3">
        <w:rPr>
          <w:rFonts w:cs="Arial"/>
          <w:i/>
          <w:szCs w:val="22"/>
          <w:highlight w:val="yellow"/>
        </w:rPr>
        <w:t>Housing consolidation is facilitated through the housing development options of the National Housing Programme as separate projects... a variety of options will be available (for top structure development). These will include Peoples Housing Projects, individual ownership options, contractor built houses, rental accommodation and medium density options that may include rental and individual ownership options</w:t>
      </w:r>
      <w:r w:rsidR="000E53F6" w:rsidRPr="002B51E3">
        <w:rPr>
          <w:rFonts w:cs="Arial"/>
          <w:i/>
          <w:szCs w:val="22"/>
          <w:highlight w:val="yellow"/>
        </w:rPr>
        <w:t>’</w:t>
      </w:r>
      <w:r>
        <w:rPr>
          <w:rFonts w:cs="Arial"/>
          <w:i/>
          <w:szCs w:val="22"/>
        </w:rPr>
        <w:t xml:space="preserve">. </w:t>
      </w:r>
      <w:r w:rsidR="00B31EA3" w:rsidRPr="001619C6">
        <w:rPr>
          <w:rFonts w:cs="Arial"/>
          <w:szCs w:val="22"/>
        </w:rPr>
        <w:t>(ibid).</w:t>
      </w:r>
    </w:p>
    <w:p w14:paraId="4289E614" w14:textId="35490133" w:rsidR="00EE4B47" w:rsidRPr="002B51E3" w:rsidRDefault="00EE4B47" w:rsidP="000B081C">
      <w:pPr>
        <w:spacing w:line="360" w:lineRule="auto"/>
        <w:jc w:val="left"/>
        <w:rPr>
          <w:rFonts w:cs="Arial"/>
          <w:szCs w:val="22"/>
          <w:highlight w:val="yellow"/>
        </w:rPr>
      </w:pPr>
      <w:r w:rsidRPr="002B51E3">
        <w:rPr>
          <w:rFonts w:cs="Arial"/>
          <w:szCs w:val="22"/>
          <w:highlight w:val="yellow"/>
        </w:rPr>
        <w:t xml:space="preserve">The UISP </w:t>
      </w:r>
      <w:r w:rsidR="000E53F6" w:rsidRPr="002B51E3">
        <w:rPr>
          <w:rFonts w:cs="Arial"/>
          <w:szCs w:val="22"/>
          <w:highlight w:val="yellow"/>
        </w:rPr>
        <w:t xml:space="preserve">states that </w:t>
      </w:r>
      <w:r w:rsidRPr="002B51E3">
        <w:rPr>
          <w:rFonts w:cs="Arial"/>
          <w:szCs w:val="22"/>
          <w:highlight w:val="yellow"/>
        </w:rPr>
        <w:t>the following need to be secured during Phase 4: House Consolidation:</w:t>
      </w:r>
    </w:p>
    <w:p w14:paraId="3F4C6335" w14:textId="77114743" w:rsidR="00EE4B47" w:rsidRPr="002B51E3" w:rsidRDefault="00EE4B47" w:rsidP="0055634E">
      <w:pPr>
        <w:pStyle w:val="ListParagraph"/>
        <w:numPr>
          <w:ilvl w:val="0"/>
          <w:numId w:val="12"/>
        </w:numPr>
        <w:ind w:left="720"/>
        <w:rPr>
          <w:highlight w:val="yellow"/>
        </w:rPr>
      </w:pPr>
      <w:r w:rsidRPr="002B51E3">
        <w:rPr>
          <w:b/>
          <w:highlight w:val="yellow"/>
        </w:rPr>
        <w:t xml:space="preserve">Tenure Security: </w:t>
      </w:r>
      <w:r w:rsidRPr="002B51E3">
        <w:rPr>
          <w:highlight w:val="yellow"/>
        </w:rPr>
        <w:t>The</w:t>
      </w:r>
      <w:r w:rsidRPr="002B51E3">
        <w:rPr>
          <w:b/>
          <w:highlight w:val="yellow"/>
        </w:rPr>
        <w:t xml:space="preserve"> c</w:t>
      </w:r>
      <w:r w:rsidRPr="002B51E3">
        <w:rPr>
          <w:highlight w:val="yellow"/>
        </w:rPr>
        <w:t xml:space="preserve">onversion of interim tenure rights granted during phases 1 to 3 into formal registered individual ownership </w:t>
      </w:r>
      <w:r w:rsidR="000E53F6" w:rsidRPr="002B51E3">
        <w:rPr>
          <w:highlight w:val="yellow"/>
        </w:rPr>
        <w:t>‘</w:t>
      </w:r>
      <w:r w:rsidRPr="002B51E3">
        <w:rPr>
          <w:i/>
          <w:highlight w:val="yellow"/>
        </w:rPr>
        <w:t>The vesting of formal ownership rights and formal rental tenure rights will be realized during this phase of the project</w:t>
      </w:r>
      <w:r w:rsidR="000E53F6" w:rsidRPr="002B51E3">
        <w:rPr>
          <w:i/>
          <w:highlight w:val="yellow"/>
        </w:rPr>
        <w:t>’</w:t>
      </w:r>
      <w:r w:rsidRPr="002B51E3">
        <w:rPr>
          <w:i/>
          <w:highlight w:val="yellow"/>
        </w:rPr>
        <w:t xml:space="preserve">. </w:t>
      </w:r>
    </w:p>
    <w:p w14:paraId="7086CF34" w14:textId="77777777" w:rsidR="00EE4B47" w:rsidRPr="002B51E3" w:rsidRDefault="00EE4B47" w:rsidP="0055634E">
      <w:pPr>
        <w:pStyle w:val="ListParagraph"/>
        <w:numPr>
          <w:ilvl w:val="0"/>
          <w:numId w:val="12"/>
        </w:numPr>
        <w:ind w:left="720"/>
        <w:rPr>
          <w:highlight w:val="yellow"/>
        </w:rPr>
      </w:pPr>
      <w:r w:rsidRPr="002B51E3">
        <w:rPr>
          <w:b/>
          <w:highlight w:val="yellow"/>
        </w:rPr>
        <w:t xml:space="preserve">Implementation of Residential Top structures:  </w:t>
      </w:r>
      <w:r w:rsidRPr="002B51E3">
        <w:rPr>
          <w:highlight w:val="yellow"/>
        </w:rPr>
        <w:t xml:space="preserve">The final phase of assistance to households will be administered in terms of the provisions of the National Housing programme selected for the delivery of top structures to beneficiaries.  </w:t>
      </w:r>
    </w:p>
    <w:p w14:paraId="4442E3F1" w14:textId="346418B0" w:rsidR="0027220D" w:rsidRDefault="0027220D" w:rsidP="0027220D">
      <w:pPr>
        <w:spacing w:line="360" w:lineRule="auto"/>
        <w:rPr>
          <w:rFonts w:cs="Arial"/>
          <w:szCs w:val="22"/>
        </w:rPr>
      </w:pPr>
      <w:r w:rsidRPr="0027220D">
        <w:rPr>
          <w:rFonts w:cs="Arial"/>
          <w:szCs w:val="22"/>
        </w:rPr>
        <w:t xml:space="preserve">In process sequence terms therefore the UISP envisages the housing consolidation process commencing at the point indicated as </w:t>
      </w:r>
      <w:r>
        <w:rPr>
          <w:rFonts w:cs="Arial"/>
          <w:szCs w:val="22"/>
        </w:rPr>
        <w:t>‘</w:t>
      </w:r>
      <w:r w:rsidRPr="0027220D">
        <w:rPr>
          <w:rFonts w:cs="Arial"/>
          <w:szCs w:val="22"/>
        </w:rPr>
        <w:t>A</w:t>
      </w:r>
      <w:r>
        <w:rPr>
          <w:rFonts w:cs="Arial"/>
          <w:szCs w:val="22"/>
        </w:rPr>
        <w:t>’</w:t>
      </w:r>
      <w:r w:rsidRPr="0027220D">
        <w:rPr>
          <w:rFonts w:cs="Arial"/>
          <w:szCs w:val="22"/>
        </w:rPr>
        <w:t xml:space="preserve"> in </w:t>
      </w:r>
      <w:r>
        <w:rPr>
          <w:rFonts w:cs="Arial"/>
          <w:szCs w:val="22"/>
        </w:rPr>
        <w:t>Figure 8</w:t>
      </w:r>
      <w:r w:rsidRPr="0027220D">
        <w:rPr>
          <w:rFonts w:cs="Arial"/>
          <w:szCs w:val="22"/>
        </w:rPr>
        <w:t xml:space="preserve"> </w:t>
      </w:r>
      <w:r>
        <w:rPr>
          <w:rFonts w:cs="Arial"/>
          <w:szCs w:val="22"/>
        </w:rPr>
        <w:t>below</w:t>
      </w:r>
      <w:r w:rsidRPr="0027220D">
        <w:rPr>
          <w:rFonts w:cs="Arial"/>
          <w:szCs w:val="22"/>
        </w:rPr>
        <w:t xml:space="preserve">. Private investment in top structure does not necessarily have to wait for the completion of activities and potentially could commence as soon as the boundary of the site is </w:t>
      </w:r>
      <w:r>
        <w:rPr>
          <w:rFonts w:cs="Arial"/>
          <w:szCs w:val="22"/>
        </w:rPr>
        <w:t xml:space="preserve">determined </w:t>
      </w:r>
      <w:r w:rsidRPr="0027220D">
        <w:rPr>
          <w:rFonts w:cs="Arial"/>
          <w:szCs w:val="22"/>
        </w:rPr>
        <w:t>and occupation rights are confirmed (</w:t>
      </w:r>
      <w:r>
        <w:rPr>
          <w:rFonts w:cs="Arial"/>
          <w:szCs w:val="22"/>
        </w:rPr>
        <w:t>point i</w:t>
      </w:r>
      <w:r w:rsidRPr="0027220D">
        <w:rPr>
          <w:rFonts w:cs="Arial"/>
          <w:szCs w:val="22"/>
        </w:rPr>
        <w:t xml:space="preserve">ndicated by </w:t>
      </w:r>
      <w:r>
        <w:rPr>
          <w:rFonts w:cs="Arial"/>
          <w:szCs w:val="22"/>
        </w:rPr>
        <w:t>‘</w:t>
      </w:r>
      <w:r w:rsidRPr="0027220D">
        <w:rPr>
          <w:rFonts w:cs="Arial"/>
          <w:szCs w:val="22"/>
        </w:rPr>
        <w:t>B</w:t>
      </w:r>
      <w:r>
        <w:rPr>
          <w:rFonts w:cs="Arial"/>
          <w:szCs w:val="22"/>
        </w:rPr>
        <w:t>’</w:t>
      </w:r>
      <w:r w:rsidRPr="0027220D">
        <w:rPr>
          <w:rFonts w:cs="Arial"/>
          <w:szCs w:val="22"/>
        </w:rPr>
        <w:t xml:space="preserve"> in </w:t>
      </w:r>
      <w:r>
        <w:rPr>
          <w:rFonts w:cs="Arial"/>
          <w:szCs w:val="22"/>
        </w:rPr>
        <w:t>F</w:t>
      </w:r>
      <w:r w:rsidRPr="0027220D">
        <w:rPr>
          <w:rFonts w:cs="Arial"/>
          <w:szCs w:val="22"/>
        </w:rPr>
        <w:t>igure</w:t>
      </w:r>
      <w:r>
        <w:rPr>
          <w:rFonts w:cs="Arial"/>
          <w:szCs w:val="22"/>
        </w:rPr>
        <w:t xml:space="preserve"> </w:t>
      </w:r>
      <w:r w:rsidR="009A6835">
        <w:rPr>
          <w:rFonts w:cs="Arial"/>
          <w:szCs w:val="22"/>
        </w:rPr>
        <w:t>14</w:t>
      </w:r>
      <w:r>
        <w:rPr>
          <w:rFonts w:cs="Arial"/>
          <w:szCs w:val="22"/>
        </w:rPr>
        <w:t xml:space="preserve"> below</w:t>
      </w:r>
      <w:r w:rsidRPr="0027220D">
        <w:rPr>
          <w:rFonts w:cs="Arial"/>
          <w:szCs w:val="22"/>
        </w:rPr>
        <w:t>).</w:t>
      </w:r>
      <w:r>
        <w:rPr>
          <w:rFonts w:cs="Arial"/>
          <w:szCs w:val="22"/>
        </w:rPr>
        <w:t xml:space="preserve"> </w:t>
      </w:r>
    </w:p>
    <w:p w14:paraId="774ABB98" w14:textId="552F60D4" w:rsidR="0027220D" w:rsidRPr="0027220D" w:rsidRDefault="0027220D" w:rsidP="0027220D">
      <w:pPr>
        <w:spacing w:line="360" w:lineRule="auto"/>
        <w:rPr>
          <w:rFonts w:cs="Arial"/>
          <w:szCs w:val="22"/>
        </w:rPr>
      </w:pPr>
      <w:r w:rsidRPr="0027220D">
        <w:rPr>
          <w:rFonts w:cs="Arial"/>
          <w:szCs w:val="22"/>
        </w:rPr>
        <w:t xml:space="preserve">There is therefore a considerable time difference between the top structure subsidy delivery point anticipated under the UISP and the point at which housing consolidation </w:t>
      </w:r>
      <w:r>
        <w:rPr>
          <w:rFonts w:cs="Arial"/>
          <w:szCs w:val="22"/>
        </w:rPr>
        <w:t>can realistically</w:t>
      </w:r>
      <w:r w:rsidRPr="0027220D">
        <w:rPr>
          <w:rFonts w:cs="Arial"/>
          <w:szCs w:val="22"/>
        </w:rPr>
        <w:t xml:space="preserve"> commence</w:t>
      </w:r>
      <w:r>
        <w:rPr>
          <w:rFonts w:cs="Arial"/>
          <w:szCs w:val="22"/>
        </w:rPr>
        <w:t xml:space="preserve"> in in-situ upgrading projects</w:t>
      </w:r>
      <w:r w:rsidRPr="0027220D">
        <w:rPr>
          <w:rFonts w:cs="Arial"/>
          <w:szCs w:val="22"/>
        </w:rPr>
        <w:t xml:space="preserve">. </w:t>
      </w:r>
    </w:p>
    <w:bookmarkStart w:id="195" w:name="_Toc270945517"/>
    <w:p w14:paraId="090BACC2" w14:textId="7340684C" w:rsidR="0027220D" w:rsidRDefault="00606744" w:rsidP="0027220D">
      <w:pPr>
        <w:ind w:left="927"/>
      </w:pPr>
      <w:r>
        <w:rPr>
          <w:noProof/>
          <w:lang w:val="en-US"/>
        </w:rPr>
        <w:lastRenderedPageBreak/>
        <mc:AlternateContent>
          <mc:Choice Requires="wps">
            <w:drawing>
              <wp:anchor distT="0" distB="0" distL="114300" distR="114300" simplePos="0" relativeHeight="251688960" behindDoc="0" locked="0" layoutInCell="1" allowOverlap="1" wp14:anchorId="0E808BCC" wp14:editId="69A972BD">
                <wp:simplePos x="0" y="0"/>
                <wp:positionH relativeFrom="column">
                  <wp:posOffset>5168900</wp:posOffset>
                </wp:positionH>
                <wp:positionV relativeFrom="paragraph">
                  <wp:posOffset>2359660</wp:posOffset>
                </wp:positionV>
                <wp:extent cx="220980" cy="288290"/>
                <wp:effectExtent l="0" t="0" r="26670" b="16510"/>
                <wp:wrapNone/>
                <wp:docPr id="12" name="Text Box 12"/>
                <wp:cNvGraphicFramePr/>
                <a:graphic xmlns:a="http://schemas.openxmlformats.org/drawingml/2006/main">
                  <a:graphicData uri="http://schemas.microsoft.com/office/word/2010/wordprocessingShape">
                    <wps:wsp>
                      <wps:cNvSpPr txBox="1"/>
                      <wps:spPr>
                        <a:xfrm flipH="1">
                          <a:off x="0" y="0"/>
                          <a:ext cx="220980" cy="288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EA260A" w14:textId="60A7E6F9" w:rsidR="00DA241A" w:rsidRDefault="00DA241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407pt;margin-top:185.8pt;width:17.4pt;height:22.7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" fillcolor="white [3201]" strokeweight=".5pt">
                <v:textbox>
                  <w:txbxContent>
                    <w:p w14:paraId="66EA260A" w14:textId="60A7E6F9" w:rsidR="00916B75" w:rsidRDefault="00916B75">
                      <w:r>
                        <w:t>A</w:t>
                      </w:r>
                    </w:p>
                  </w:txbxContent>
                </v:textbox>
              </v:shape>
            </w:pict>
          </mc:Fallback>
        </mc:AlternateContent>
      </w:r>
      <w:r>
        <w:rPr>
          <w:noProof/>
          <w:lang w:val="en-US"/>
        </w:rPr>
        <mc:AlternateContent>
          <mc:Choice Requires="wps">
            <w:drawing>
              <wp:anchor distT="0" distB="0" distL="114300" distR="114300" simplePos="0" relativeHeight="251689984" behindDoc="0" locked="0" layoutInCell="1" allowOverlap="1" wp14:anchorId="47704CA0" wp14:editId="7342EDCB">
                <wp:simplePos x="0" y="0"/>
                <wp:positionH relativeFrom="column">
                  <wp:posOffset>1679811</wp:posOffset>
                </wp:positionH>
                <wp:positionV relativeFrom="paragraph">
                  <wp:posOffset>1839270</wp:posOffset>
                </wp:positionV>
                <wp:extent cx="282575" cy="233680"/>
                <wp:effectExtent l="0" t="0" r="22225" b="13970"/>
                <wp:wrapNone/>
                <wp:docPr id="24" name="Text Box 24"/>
                <wp:cNvGraphicFramePr/>
                <a:graphic xmlns:a="http://schemas.openxmlformats.org/drawingml/2006/main">
                  <a:graphicData uri="http://schemas.microsoft.com/office/word/2010/wordprocessingShape">
                    <wps:wsp>
                      <wps:cNvSpPr txBox="1"/>
                      <wps:spPr>
                        <a:xfrm>
                          <a:off x="0" y="0"/>
                          <a:ext cx="282575"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89FD07" w14:textId="3F78270F" w:rsidR="00DA241A" w:rsidRDefault="00DA241A">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27" type="#_x0000_t202" style="position:absolute;left:0;text-align:left;margin-left:132.25pt;margin-top:144.8pt;width:22.25pt;height:18.4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" fillcolor="white [3201]" strokeweight=".5pt">
                <v:textbox>
                  <w:txbxContent>
                    <w:p w14:paraId="3689FD07" w14:textId="3F78270F" w:rsidR="00916B75" w:rsidRDefault="00916B75">
                      <w:r>
                        <w:t>B</w:t>
                      </w:r>
                    </w:p>
                  </w:txbxContent>
                </v:textbox>
              </v:shape>
            </w:pict>
          </mc:Fallback>
        </mc:AlternateContent>
      </w:r>
      <w:r w:rsidR="0064017E">
        <w:rPr>
          <w:noProof/>
          <w:lang w:val="en-US"/>
        </w:rPr>
        <mc:AlternateContent>
          <mc:Choice Requires="wps">
            <w:drawing>
              <wp:anchor distT="0" distB="0" distL="114300" distR="114300" simplePos="0" relativeHeight="251686912" behindDoc="0" locked="0" layoutInCell="1" allowOverlap="1" wp14:anchorId="0C55CAAE" wp14:editId="66BCC304">
                <wp:simplePos x="0" y="0"/>
                <wp:positionH relativeFrom="column">
                  <wp:posOffset>5047615</wp:posOffset>
                </wp:positionH>
                <wp:positionV relativeFrom="paragraph">
                  <wp:posOffset>2196720</wp:posOffset>
                </wp:positionV>
                <wp:extent cx="484505" cy="496992"/>
                <wp:effectExtent l="38100" t="19050" r="48895" b="36830"/>
                <wp:wrapNone/>
                <wp:docPr id="9" name="Down Arrow 9"/>
                <wp:cNvGraphicFramePr/>
                <a:graphic xmlns:a="http://schemas.openxmlformats.org/drawingml/2006/main">
                  <a:graphicData uri="http://schemas.microsoft.com/office/word/2010/wordprocessingShape">
                    <wps:wsp>
                      <wps:cNvSpPr/>
                      <wps:spPr>
                        <a:xfrm rot="10575217">
                          <a:off x="0" y="0"/>
                          <a:ext cx="484505" cy="49699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D4FF73" w14:textId="3765B343" w:rsidR="00DA241A" w:rsidRDefault="00DA241A" w:rsidP="002722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8" type="#_x0000_t67" style="position:absolute;left:0;text-align:left;margin-left:397.45pt;margin-top:172.95pt;width:38.15pt;height:39.15pt;rotation:11550957fd;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" adj="11071" fillcolor="#4f81bd [3204]" strokecolor="#243f60 [1604]" strokeweight="2pt">
                <v:textbox>
                  <w:txbxContent>
                    <w:p w14:paraId="4BD4FF73" w14:textId="3765B343" w:rsidR="00916B75" w:rsidRDefault="00916B75" w:rsidP="0027220D">
                      <w:pPr>
                        <w:jc w:val="center"/>
                      </w:pPr>
                    </w:p>
                  </w:txbxContent>
                </v:textbox>
              </v:shape>
            </w:pict>
          </mc:Fallback>
        </mc:AlternateContent>
      </w:r>
      <w:r w:rsidR="0027220D">
        <w:rPr>
          <w:noProof/>
          <w:lang w:val="en-US"/>
        </w:rPr>
        <mc:AlternateContent>
          <mc:Choice Requires="wps">
            <w:drawing>
              <wp:anchor distT="0" distB="0" distL="114300" distR="114300" simplePos="0" relativeHeight="251687936" behindDoc="0" locked="0" layoutInCell="1" allowOverlap="1" wp14:anchorId="3AD2E784" wp14:editId="3E984694">
                <wp:simplePos x="0" y="0"/>
                <wp:positionH relativeFrom="column">
                  <wp:posOffset>1362532</wp:posOffset>
                </wp:positionH>
                <wp:positionV relativeFrom="paragraph">
                  <wp:posOffset>1463158</wp:posOffset>
                </wp:positionV>
                <wp:extent cx="903765" cy="484632"/>
                <wp:effectExtent l="57150" t="19050" r="10795" b="29845"/>
                <wp:wrapNone/>
                <wp:docPr id="3" name="Right Arrow 3"/>
                <wp:cNvGraphicFramePr/>
                <a:graphic xmlns:a="http://schemas.openxmlformats.org/drawingml/2006/main">
                  <a:graphicData uri="http://schemas.microsoft.com/office/word/2010/wordprocessingShape">
                    <wps:wsp>
                      <wps:cNvSpPr/>
                      <wps:spPr>
                        <a:xfrm rot="15807595">
                          <a:off x="0" y="0"/>
                          <a:ext cx="903765"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07.3pt;margin-top:115.2pt;width:71.15pt;height:38.15pt;rotation:-6326851fd;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" adj="15809" fillcolor="#4f81bd [3204]" strokecolor="#243f60 [1604]" strokeweight="2pt"/>
            </w:pict>
          </mc:Fallback>
        </mc:AlternateContent>
      </w:r>
      <w:r w:rsidR="00D81C50">
        <w:pict w14:anchorId="0B60AE6A">
          <v:shape id="_x0000_i1026" type="#_x0000_t75" style="width:467.35pt;height:232.65pt">
            <v:imagedata r:id="rId28" o:title=""/>
          </v:shape>
        </w:pict>
      </w:r>
      <w:r w:rsidR="0027220D" w:rsidRPr="0027220D">
        <w:rPr>
          <w:b/>
        </w:rPr>
        <w:t xml:space="preserve"> </w:t>
      </w:r>
      <w:r w:rsidR="009A6835" w:rsidRPr="008C45F2">
        <w:rPr>
          <w:b/>
        </w:rPr>
        <w:t xml:space="preserve">Figure </w:t>
      </w:r>
      <w:r w:rsidR="009A6835" w:rsidRPr="00220C7D">
        <w:rPr>
          <w:b/>
        </w:rPr>
        <w:fldChar w:fldCharType="begin"/>
      </w:r>
      <w:r w:rsidR="009A6835" w:rsidRPr="00220C7D">
        <w:rPr>
          <w:b/>
        </w:rPr>
        <w:instrText xml:space="preserve"> SEQ Figure \* ARABIC </w:instrText>
      </w:r>
      <w:r w:rsidR="009A6835" w:rsidRPr="00220C7D">
        <w:rPr>
          <w:b/>
        </w:rPr>
        <w:fldChar w:fldCharType="separate"/>
      </w:r>
      <w:r w:rsidR="00E9048A">
        <w:rPr>
          <w:b/>
          <w:noProof/>
        </w:rPr>
        <w:t>14</w:t>
      </w:r>
      <w:r w:rsidR="009A6835" w:rsidRPr="00220C7D">
        <w:rPr>
          <w:b/>
        </w:rPr>
        <w:fldChar w:fldCharType="end"/>
      </w:r>
      <w:r w:rsidR="0027220D" w:rsidRPr="0027220D">
        <w:rPr>
          <w:b/>
        </w:rPr>
        <w:t xml:space="preserve">: </w:t>
      </w:r>
      <w:r w:rsidR="0027220D">
        <w:rPr>
          <w:b/>
        </w:rPr>
        <w:t>Top Structure Consolidation in Relation to the UISP Phases</w:t>
      </w:r>
      <w:bookmarkEnd w:id="195"/>
    </w:p>
    <w:p w14:paraId="583C1F35" w14:textId="5E107055" w:rsidR="0027220D" w:rsidRDefault="0027220D" w:rsidP="0027220D">
      <w:pPr>
        <w:ind w:left="927"/>
      </w:pPr>
    </w:p>
    <w:p w14:paraId="7EC7EDC1" w14:textId="77777777" w:rsidR="00EE4B47" w:rsidRDefault="00EE4B47" w:rsidP="00E67269">
      <w:pPr>
        <w:pStyle w:val="Heading3"/>
      </w:pPr>
      <w:r>
        <w:t>Treatment of Original House Structures</w:t>
      </w:r>
    </w:p>
    <w:p w14:paraId="56F90CA8" w14:textId="153184A9" w:rsidR="00EE4B47" w:rsidRPr="00DC13E1" w:rsidRDefault="00EE4B47" w:rsidP="000E53F6">
      <w:pPr>
        <w:spacing w:line="360" w:lineRule="auto"/>
        <w:rPr>
          <w:rFonts w:cs="Arial"/>
          <w:szCs w:val="22"/>
        </w:rPr>
      </w:pPr>
      <w:r w:rsidRPr="00DC13E1">
        <w:rPr>
          <w:rFonts w:cs="Arial"/>
          <w:szCs w:val="22"/>
        </w:rPr>
        <w:t xml:space="preserve">The UISP specifies that, where upgrading processes include Phase Four implementation of </w:t>
      </w:r>
      <w:r w:rsidR="00E01C9B">
        <w:rPr>
          <w:rFonts w:cs="Arial"/>
          <w:szCs w:val="22"/>
        </w:rPr>
        <w:t>subsidized</w:t>
      </w:r>
      <w:r w:rsidRPr="00DC13E1">
        <w:rPr>
          <w:rFonts w:cs="Arial"/>
          <w:szCs w:val="22"/>
        </w:rPr>
        <w:t xml:space="preserve"> accommodation via other subsidy programmes, occupants’ original structures should be demolished. In the words of the Housing Code </w:t>
      </w:r>
      <w:r>
        <w:rPr>
          <w:rFonts w:cs="Arial"/>
          <w:i/>
          <w:szCs w:val="22"/>
        </w:rPr>
        <w:t>“</w:t>
      </w:r>
      <w:r w:rsidRPr="00DC13E1">
        <w:rPr>
          <w:rFonts w:cs="Arial"/>
          <w:i/>
          <w:szCs w:val="22"/>
        </w:rPr>
        <w:t>The municipality must table a comprehensive action plan for the management of projects…and the process of shack demolition in the event of persons accessing housing consolidation benefits.”</w:t>
      </w:r>
      <w:r w:rsidRPr="00BB1A66">
        <w:rPr>
          <w:rFonts w:cs="Arial"/>
          <w:szCs w:val="22"/>
        </w:rPr>
        <w:t xml:space="preserve"> </w:t>
      </w:r>
      <w:r w:rsidRPr="00DC13E1">
        <w:rPr>
          <w:rFonts w:cs="Arial"/>
          <w:szCs w:val="22"/>
        </w:rPr>
        <w:t>(</w:t>
      </w:r>
      <w:r w:rsidR="000E53F6">
        <w:rPr>
          <w:rFonts w:cs="Arial"/>
          <w:szCs w:val="22"/>
        </w:rPr>
        <w:t xml:space="preserve">Housing Code, 2009, </w:t>
      </w:r>
      <w:r w:rsidRPr="00DC13E1">
        <w:rPr>
          <w:rFonts w:cs="Arial"/>
          <w:szCs w:val="22"/>
        </w:rPr>
        <w:t>p17):</w:t>
      </w:r>
    </w:p>
    <w:p w14:paraId="2B677980" w14:textId="77777777" w:rsidR="00EE4B47" w:rsidRPr="00645B6C" w:rsidRDefault="00EE4B47" w:rsidP="00E67269">
      <w:pPr>
        <w:pStyle w:val="Heading3"/>
      </w:pPr>
      <w:r>
        <w:t>Scale of Subsidy Provision for Site Development &amp; House Consolidation</w:t>
      </w:r>
    </w:p>
    <w:p w14:paraId="019C428C" w14:textId="6836396D" w:rsidR="0027220D" w:rsidRDefault="00EE4B47" w:rsidP="0027220D">
      <w:pPr>
        <w:spacing w:line="360" w:lineRule="auto"/>
        <w:rPr>
          <w:rFonts w:cs="Arial"/>
          <w:szCs w:val="22"/>
        </w:rPr>
      </w:pPr>
      <w:r w:rsidRPr="00546BEB">
        <w:rPr>
          <w:rFonts w:cs="Arial"/>
          <w:szCs w:val="22"/>
        </w:rPr>
        <w:t xml:space="preserve">The actual financial contributions </w:t>
      </w:r>
      <w:r>
        <w:rPr>
          <w:rFonts w:cs="Arial"/>
          <w:szCs w:val="22"/>
        </w:rPr>
        <w:t xml:space="preserve">available through the UISP and other house subsidy instruments are outlined in </w:t>
      </w:r>
      <w:r w:rsidRPr="00250EA9">
        <w:rPr>
          <w:rFonts w:cs="Arial"/>
          <w:szCs w:val="22"/>
        </w:rPr>
        <w:t xml:space="preserve">Figure </w:t>
      </w:r>
      <w:r w:rsidR="009A6835">
        <w:rPr>
          <w:rFonts w:cs="Arial"/>
          <w:szCs w:val="22"/>
        </w:rPr>
        <w:t>15</w:t>
      </w:r>
      <w:r>
        <w:rPr>
          <w:rFonts w:cs="Arial"/>
          <w:szCs w:val="22"/>
        </w:rPr>
        <w:t xml:space="preserve"> overleaf.  This is</w:t>
      </w:r>
      <w:r w:rsidRPr="00546BEB">
        <w:rPr>
          <w:rFonts w:cs="Arial"/>
          <w:szCs w:val="22"/>
        </w:rPr>
        <w:t xml:space="preserve"> in relation to the current (April, 2014) subsidy quantum determination from the National Department of Human Settlements</w:t>
      </w:r>
      <w:r>
        <w:rPr>
          <w:rFonts w:cs="Arial"/>
          <w:szCs w:val="22"/>
        </w:rPr>
        <w:t xml:space="preserve">. </w:t>
      </w:r>
      <w:r w:rsidRPr="00546BEB">
        <w:rPr>
          <w:rFonts w:cs="Arial"/>
          <w:szCs w:val="22"/>
        </w:rPr>
        <w:t xml:space="preserve"> </w:t>
      </w:r>
    </w:p>
    <w:p w14:paraId="7B1577A7" w14:textId="77777777" w:rsidR="0027220D" w:rsidRPr="0027220D" w:rsidRDefault="0027220D" w:rsidP="0027220D">
      <w:pPr>
        <w:spacing w:line="360" w:lineRule="auto"/>
        <w:rPr>
          <w:rFonts w:cs="Arial"/>
          <w:szCs w:val="22"/>
        </w:rPr>
        <w:sectPr w:rsidR="0027220D" w:rsidRPr="0027220D">
          <w:pgSz w:w="12240" w:h="15840"/>
          <w:pgMar w:top="1440" w:right="1440" w:bottom="1440" w:left="1440" w:header="720" w:footer="720" w:gutter="0"/>
          <w:cols w:space="720"/>
          <w:docGrid w:linePitch="360"/>
        </w:sectPr>
      </w:pPr>
    </w:p>
    <w:p w14:paraId="2DA1D132" w14:textId="77777777" w:rsidR="00EE4B47" w:rsidRDefault="00EE4B47" w:rsidP="00EE4B47">
      <w:pPr>
        <w:spacing w:line="360" w:lineRule="auto"/>
        <w:rPr>
          <w:b/>
        </w:rPr>
      </w:pPr>
      <w:r w:rsidRPr="002C75F1">
        <w:rPr>
          <w:noProof/>
          <w:lang w:val="en-US"/>
        </w:rPr>
        <w:lastRenderedPageBreak/>
        <w:drawing>
          <wp:inline distT="0" distB="0" distL="0" distR="0" wp14:anchorId="0B84ECF6" wp14:editId="75A7096B">
            <wp:extent cx="8115300" cy="5073907"/>
            <wp:effectExtent l="0" t="0" r="0" b="0"/>
            <wp:docPr id="2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8116246" cy="5074499"/>
                    </a:xfrm>
                    <a:prstGeom prst="rect">
                      <a:avLst/>
                    </a:prstGeom>
                    <a:solidFill>
                      <a:schemeClr val="accent1">
                        <a:alpha val="23000"/>
                      </a:schemeClr>
                    </a:solidFill>
                  </pic:spPr>
                </pic:pic>
              </a:graphicData>
            </a:graphic>
          </wp:inline>
        </w:drawing>
      </w:r>
    </w:p>
    <w:p w14:paraId="33E32F33" w14:textId="3C1DC63B" w:rsidR="00EE4B47" w:rsidRPr="0014517D" w:rsidRDefault="009A6835" w:rsidP="00EE4B47">
      <w:pPr>
        <w:spacing w:line="360" w:lineRule="auto"/>
        <w:rPr>
          <w:b/>
          <w:bCs/>
          <w:szCs w:val="22"/>
        </w:rPr>
      </w:pPr>
      <w:bookmarkStart w:id="196" w:name="_Toc270945518"/>
      <w:r w:rsidRPr="008C45F2">
        <w:rPr>
          <w:b/>
        </w:rPr>
        <w:t xml:space="preserve">Figure </w:t>
      </w:r>
      <w:r w:rsidRPr="00220C7D">
        <w:rPr>
          <w:b/>
        </w:rPr>
        <w:fldChar w:fldCharType="begin"/>
      </w:r>
      <w:r w:rsidRPr="00220C7D">
        <w:rPr>
          <w:b/>
        </w:rPr>
        <w:instrText xml:space="preserve"> SEQ Figure \* ARABIC </w:instrText>
      </w:r>
      <w:r w:rsidRPr="00220C7D">
        <w:rPr>
          <w:b/>
        </w:rPr>
        <w:fldChar w:fldCharType="separate"/>
      </w:r>
      <w:r w:rsidR="00E9048A">
        <w:rPr>
          <w:b/>
          <w:noProof/>
        </w:rPr>
        <w:t>15</w:t>
      </w:r>
      <w:r w:rsidRPr="00220C7D">
        <w:rPr>
          <w:b/>
        </w:rPr>
        <w:fldChar w:fldCharType="end"/>
      </w:r>
      <w:r w:rsidR="00EE4B47" w:rsidRPr="00FE6F97">
        <w:rPr>
          <w:b/>
        </w:rPr>
        <w:t xml:space="preserve">: </w:t>
      </w:r>
      <w:r w:rsidR="00EE4B47" w:rsidRPr="0014517D">
        <w:rPr>
          <w:b/>
          <w:bCs/>
          <w:szCs w:val="22"/>
        </w:rPr>
        <w:t>Relative Financial Contributions of Different Actors in SA UISP Projects</w:t>
      </w:r>
      <w:r w:rsidR="001619C6">
        <w:rPr>
          <w:b/>
          <w:bCs/>
          <w:szCs w:val="22"/>
        </w:rPr>
        <w:t xml:space="preserve"> (Subsidy Determination, 2013)</w:t>
      </w:r>
      <w:bookmarkEnd w:id="196"/>
    </w:p>
    <w:p w14:paraId="2D968EAC" w14:textId="77777777" w:rsidR="00EE4B47" w:rsidRPr="00863E1F" w:rsidRDefault="00EE4B47" w:rsidP="00EE4B47">
      <w:pPr>
        <w:spacing w:line="360" w:lineRule="auto"/>
        <w:rPr>
          <w:rFonts w:cs="Arial"/>
          <w:b/>
          <w:szCs w:val="22"/>
        </w:rPr>
        <w:sectPr w:rsidR="00EE4B47" w:rsidRPr="00863E1F" w:rsidSect="00196B83">
          <w:pgSz w:w="15840" w:h="12240" w:orient="landscape"/>
          <w:pgMar w:top="1440" w:right="1440" w:bottom="1440" w:left="1440" w:header="720" w:footer="720" w:gutter="0"/>
          <w:cols w:space="720"/>
          <w:docGrid w:linePitch="360"/>
        </w:sectPr>
      </w:pPr>
    </w:p>
    <w:p w14:paraId="03EC197B" w14:textId="77777777" w:rsidR="00EE4B47" w:rsidRPr="000732BD" w:rsidRDefault="00EE4B47" w:rsidP="00EE4B47">
      <w:pPr>
        <w:spacing w:line="360" w:lineRule="auto"/>
        <w:ind w:left="567"/>
        <w:rPr>
          <w:rFonts w:cs="Arial"/>
          <w:szCs w:val="22"/>
        </w:rPr>
      </w:pPr>
    </w:p>
    <w:p w14:paraId="034608A2" w14:textId="77777777" w:rsidR="009A6835" w:rsidRPr="00FE16AF" w:rsidRDefault="009A6835" w:rsidP="009A6835">
      <w:pPr>
        <w:spacing w:line="360" w:lineRule="auto"/>
        <w:rPr>
          <w:rFonts w:cs="Arial"/>
          <w:szCs w:val="22"/>
        </w:rPr>
      </w:pPr>
      <w:r w:rsidRPr="00546BEB">
        <w:rPr>
          <w:rFonts w:cs="Arial"/>
          <w:szCs w:val="22"/>
        </w:rPr>
        <w:t>This</w:t>
      </w:r>
      <w:r>
        <w:rPr>
          <w:rFonts w:cs="Arial"/>
          <w:szCs w:val="22"/>
        </w:rPr>
        <w:t xml:space="preserve"> Figure</w:t>
      </w:r>
      <w:r w:rsidRPr="00546BEB">
        <w:rPr>
          <w:rFonts w:cs="Arial"/>
          <w:szCs w:val="22"/>
        </w:rPr>
        <w:t xml:space="preserve"> provides a clear graphic depiction of the large difference between the cost to the state </w:t>
      </w:r>
      <w:r>
        <w:rPr>
          <w:rFonts w:cs="Arial"/>
          <w:szCs w:val="22"/>
        </w:rPr>
        <w:t xml:space="preserve">between an UISP project that does not provide subsidized top structures through any another subsidy programme (i.e. does not go further than Phase 3) (see centre of diagram) and that </w:t>
      </w:r>
      <w:r w:rsidRPr="00546BEB">
        <w:rPr>
          <w:rFonts w:cs="Arial"/>
          <w:szCs w:val="22"/>
        </w:rPr>
        <w:t xml:space="preserve">of a </w:t>
      </w:r>
      <w:r>
        <w:rPr>
          <w:rFonts w:cs="Arial"/>
          <w:szCs w:val="22"/>
        </w:rPr>
        <w:t>dual-project, fully subsidized UISP serviced site in addition to a fully subsidized RDP/</w:t>
      </w:r>
      <w:r w:rsidRPr="00546BEB">
        <w:rPr>
          <w:rFonts w:cs="Arial"/>
          <w:szCs w:val="22"/>
        </w:rPr>
        <w:t xml:space="preserve">BNG </w:t>
      </w:r>
      <w:r>
        <w:rPr>
          <w:rFonts w:cs="Arial"/>
          <w:szCs w:val="22"/>
        </w:rPr>
        <w:t xml:space="preserve">specification </w:t>
      </w:r>
      <w:r w:rsidRPr="00546BEB">
        <w:rPr>
          <w:rFonts w:cs="Arial"/>
          <w:szCs w:val="22"/>
        </w:rPr>
        <w:t>unit</w:t>
      </w:r>
      <w:r>
        <w:rPr>
          <w:rFonts w:cs="Arial"/>
          <w:szCs w:val="22"/>
        </w:rPr>
        <w:t xml:space="preserve"> (right of diagram). </w:t>
      </w:r>
      <w:r w:rsidRPr="00546BEB">
        <w:rPr>
          <w:rFonts w:cs="Arial"/>
          <w:szCs w:val="22"/>
        </w:rPr>
        <w:t>Th</w:t>
      </w:r>
      <w:r>
        <w:rPr>
          <w:rFonts w:cs="Arial"/>
          <w:szCs w:val="22"/>
        </w:rPr>
        <w:t>e difference in cost</w:t>
      </w:r>
      <w:r w:rsidRPr="00546BEB">
        <w:rPr>
          <w:rFonts w:cs="Arial"/>
          <w:szCs w:val="22"/>
        </w:rPr>
        <w:t xml:space="preserve"> provides strong motivation for considering the introduction of an intermediate top structure support subsidy (illustrated here as a ‘core subsidy’)</w:t>
      </w:r>
      <w:r>
        <w:rPr>
          <w:rFonts w:cs="Arial"/>
          <w:szCs w:val="22"/>
        </w:rPr>
        <w:t xml:space="preserve"> as part of the ‘Blended Approach’</w:t>
      </w:r>
      <w:r w:rsidRPr="00546BEB">
        <w:rPr>
          <w:rFonts w:cs="Arial"/>
          <w:szCs w:val="22"/>
        </w:rPr>
        <w:t xml:space="preserve">. </w:t>
      </w:r>
      <w:r>
        <w:rPr>
          <w:rFonts w:cs="Arial"/>
          <w:szCs w:val="22"/>
        </w:rPr>
        <w:t>To not do so would raise equity concerns as the level of state assistance provided to those receiving serviced sites only, at less than a quarter of the value of a complete subsidized site plus top structure, which currently costs in the region of R</w:t>
      </w:r>
      <w:r w:rsidRPr="00FE16AF">
        <w:rPr>
          <w:rFonts w:cs="Arial"/>
          <w:szCs w:val="22"/>
        </w:rPr>
        <w:t>230 000 per unit</w:t>
      </w:r>
      <w:r>
        <w:rPr>
          <w:rFonts w:cs="Arial"/>
          <w:szCs w:val="22"/>
        </w:rPr>
        <w:t xml:space="preserve"> (including direct and indirect subsidies and other inputs)</w:t>
      </w:r>
      <w:r w:rsidRPr="00FE16AF">
        <w:rPr>
          <w:rFonts w:cs="Arial"/>
          <w:szCs w:val="22"/>
        </w:rPr>
        <w:t>.</w:t>
      </w:r>
    </w:p>
    <w:p w14:paraId="30C5CFE5" w14:textId="77777777" w:rsidR="009A6835" w:rsidRPr="00645B6C" w:rsidRDefault="009A6835" w:rsidP="009A6835">
      <w:pPr>
        <w:pStyle w:val="Heading3"/>
      </w:pPr>
      <w:r>
        <w:t>Households Qualifying for Housing Subsidies</w:t>
      </w:r>
    </w:p>
    <w:p w14:paraId="2FC56201" w14:textId="77777777" w:rsidR="009A6835" w:rsidRPr="004C7359" w:rsidRDefault="009A6835" w:rsidP="009A6835">
      <w:pPr>
        <w:spacing w:line="360" w:lineRule="auto"/>
        <w:rPr>
          <w:rFonts w:cs="Arial"/>
          <w:szCs w:val="22"/>
          <w:highlight w:val="yellow"/>
        </w:rPr>
      </w:pPr>
      <w:r w:rsidRPr="004C7359">
        <w:rPr>
          <w:rFonts w:cs="Arial"/>
          <w:szCs w:val="22"/>
          <w:highlight w:val="yellow"/>
        </w:rPr>
        <w:t>The UISP envisages that households will be required to qualify for the specific housing benefits under the specific Housing Programme being used to implement top structures in UISP Phase 4. This implies that households who have obtained tenure and serviced sites through UISP Phase 3 must comply with the following national subsidy eligibility parameters to qualify for house subsidies in Phase 4:</w:t>
      </w:r>
    </w:p>
    <w:p w14:paraId="424D9ABA" w14:textId="77777777" w:rsidR="009A6835" w:rsidRPr="004C7359" w:rsidRDefault="009A6835" w:rsidP="009A6835">
      <w:pPr>
        <w:pStyle w:val="ListParagraph"/>
        <w:numPr>
          <w:ilvl w:val="0"/>
          <w:numId w:val="16"/>
        </w:numPr>
        <w:ind w:left="720"/>
        <w:rPr>
          <w:rFonts w:cs="Arial"/>
          <w:b/>
          <w:highlight w:val="yellow"/>
        </w:rPr>
      </w:pPr>
      <w:r w:rsidRPr="004C7359">
        <w:rPr>
          <w:rFonts w:cs="Arial"/>
          <w:b/>
          <w:highlight w:val="yellow"/>
        </w:rPr>
        <w:t xml:space="preserve">South African Citizenship: </w:t>
      </w:r>
      <w:r w:rsidRPr="004C7359">
        <w:rPr>
          <w:rFonts w:cs="Arial"/>
          <w:highlight w:val="yellow"/>
        </w:rPr>
        <w:t>Any subsidy beneficiary must be a South African citizen. Illegal immigrants may rent, but will not obtain individual ownership status.</w:t>
      </w:r>
    </w:p>
    <w:p w14:paraId="3635ADA8" w14:textId="77777777" w:rsidR="009A6835" w:rsidRPr="004C7359" w:rsidRDefault="009A6835" w:rsidP="009A6835">
      <w:pPr>
        <w:pStyle w:val="ListParagraph"/>
        <w:numPr>
          <w:ilvl w:val="0"/>
          <w:numId w:val="16"/>
        </w:numPr>
        <w:ind w:left="720"/>
        <w:rPr>
          <w:rFonts w:cs="Arial"/>
          <w:b/>
          <w:highlight w:val="yellow"/>
        </w:rPr>
      </w:pPr>
      <w:r w:rsidRPr="004C7359">
        <w:rPr>
          <w:rFonts w:cs="Arial"/>
          <w:b/>
          <w:highlight w:val="yellow"/>
        </w:rPr>
        <w:t xml:space="preserve">Age: </w:t>
      </w:r>
      <w:r w:rsidRPr="004C7359">
        <w:rPr>
          <w:rFonts w:cs="Arial"/>
          <w:highlight w:val="yellow"/>
        </w:rPr>
        <w:t xml:space="preserve"> Household head must be over eighteen years of age.</w:t>
      </w:r>
    </w:p>
    <w:p w14:paraId="4453E8F0" w14:textId="77777777" w:rsidR="009A6835" w:rsidRPr="004C7359" w:rsidRDefault="009A6835" w:rsidP="009A6835">
      <w:pPr>
        <w:pStyle w:val="ListParagraph"/>
        <w:numPr>
          <w:ilvl w:val="0"/>
          <w:numId w:val="16"/>
        </w:numPr>
        <w:ind w:left="720"/>
        <w:rPr>
          <w:rFonts w:cs="Arial"/>
          <w:b/>
          <w:highlight w:val="yellow"/>
        </w:rPr>
      </w:pPr>
      <w:r w:rsidRPr="004C7359">
        <w:rPr>
          <w:rFonts w:cs="Arial"/>
          <w:b/>
          <w:highlight w:val="yellow"/>
        </w:rPr>
        <w:t xml:space="preserve">Household Size: </w:t>
      </w:r>
      <w:r w:rsidRPr="004C7359">
        <w:rPr>
          <w:rFonts w:cs="Arial"/>
          <w:highlight w:val="yellow"/>
        </w:rPr>
        <w:t>Only households with more than one member will qualify for subsidization</w:t>
      </w:r>
      <w:r w:rsidRPr="004C7359">
        <w:rPr>
          <w:rStyle w:val="FootnoteReference"/>
          <w:highlight w:val="yellow"/>
        </w:rPr>
        <w:footnoteReference w:id="9"/>
      </w:r>
      <w:r w:rsidRPr="004C7359">
        <w:rPr>
          <w:rFonts w:cs="Arial"/>
          <w:highlight w:val="yellow"/>
        </w:rPr>
        <w:t xml:space="preserve">. </w:t>
      </w:r>
    </w:p>
    <w:p w14:paraId="621C1009" w14:textId="77777777" w:rsidR="009A6835" w:rsidRPr="004C7359" w:rsidRDefault="009A6835" w:rsidP="009A6835">
      <w:pPr>
        <w:pStyle w:val="ListParagraph"/>
        <w:numPr>
          <w:ilvl w:val="0"/>
          <w:numId w:val="16"/>
        </w:numPr>
        <w:ind w:left="720"/>
        <w:rPr>
          <w:rFonts w:cs="Arial"/>
          <w:b/>
          <w:highlight w:val="yellow"/>
        </w:rPr>
      </w:pPr>
      <w:r w:rsidRPr="004C7359">
        <w:rPr>
          <w:rFonts w:cs="Arial"/>
          <w:b/>
          <w:highlight w:val="yellow"/>
        </w:rPr>
        <w:t xml:space="preserve">Household Income: </w:t>
      </w:r>
      <w:r w:rsidRPr="004C7359">
        <w:rPr>
          <w:rFonts w:cs="Arial"/>
          <w:highlight w:val="yellow"/>
        </w:rPr>
        <w:t>Household Income must be less than R3 500 per month</w:t>
      </w:r>
      <w:r w:rsidRPr="004C7359">
        <w:rPr>
          <w:rStyle w:val="FootnoteReference"/>
          <w:highlight w:val="yellow"/>
        </w:rPr>
        <w:footnoteReference w:id="10"/>
      </w:r>
      <w:r w:rsidRPr="004C7359">
        <w:rPr>
          <w:rFonts w:cs="Arial"/>
          <w:highlight w:val="yellow"/>
        </w:rPr>
        <w:t>.</w:t>
      </w:r>
    </w:p>
    <w:p w14:paraId="69A002BB" w14:textId="77777777" w:rsidR="009A6835" w:rsidRPr="004C7359" w:rsidRDefault="009A6835" w:rsidP="009A6835">
      <w:pPr>
        <w:pStyle w:val="ListParagraph"/>
        <w:numPr>
          <w:ilvl w:val="0"/>
          <w:numId w:val="16"/>
        </w:numPr>
        <w:ind w:left="720"/>
        <w:rPr>
          <w:rFonts w:cs="Arial"/>
          <w:b/>
          <w:highlight w:val="yellow"/>
        </w:rPr>
      </w:pPr>
      <w:r w:rsidRPr="004C7359">
        <w:rPr>
          <w:rFonts w:cs="Arial"/>
          <w:b/>
          <w:highlight w:val="yellow"/>
        </w:rPr>
        <w:t xml:space="preserve">Prior Subsidy Beneficiary: </w:t>
      </w:r>
      <w:r w:rsidRPr="004C7359">
        <w:rPr>
          <w:rFonts w:cs="Arial"/>
          <w:highlight w:val="yellow"/>
        </w:rPr>
        <w:t>No household member can have previously received another government housing assistance (except for social housing rental).</w:t>
      </w:r>
    </w:p>
    <w:p w14:paraId="3A95BB7E" w14:textId="77777777" w:rsidR="009A6835" w:rsidRPr="004C7359" w:rsidRDefault="009A6835" w:rsidP="009A6835">
      <w:pPr>
        <w:pStyle w:val="ListParagraph"/>
        <w:numPr>
          <w:ilvl w:val="0"/>
          <w:numId w:val="16"/>
        </w:numPr>
        <w:ind w:left="720"/>
        <w:rPr>
          <w:rFonts w:cs="Arial"/>
          <w:b/>
          <w:highlight w:val="yellow"/>
        </w:rPr>
      </w:pPr>
      <w:r w:rsidRPr="004C7359">
        <w:rPr>
          <w:rFonts w:cs="Arial"/>
          <w:b/>
          <w:highlight w:val="yellow"/>
        </w:rPr>
        <w:t xml:space="preserve">First Time Home Ownership: </w:t>
      </w:r>
      <w:r w:rsidRPr="004C7359">
        <w:rPr>
          <w:rFonts w:cs="Arial"/>
          <w:highlight w:val="yellow"/>
        </w:rPr>
        <w:t>Household cannot currently own, or have owned another property in the past</w:t>
      </w:r>
      <w:r w:rsidRPr="004C7359">
        <w:rPr>
          <w:rStyle w:val="FootnoteReference"/>
          <w:highlight w:val="yellow"/>
        </w:rPr>
        <w:footnoteReference w:id="11"/>
      </w:r>
      <w:r w:rsidRPr="004C7359">
        <w:rPr>
          <w:rFonts w:cs="Arial"/>
          <w:highlight w:val="yellow"/>
        </w:rPr>
        <w:t>.</w:t>
      </w:r>
    </w:p>
    <w:p w14:paraId="52258097" w14:textId="1D469868" w:rsidR="00EE4B47" w:rsidRDefault="009A6835" w:rsidP="009A6835">
      <w:pPr>
        <w:spacing w:line="360" w:lineRule="auto"/>
        <w:rPr>
          <w:rFonts w:cs="Arial"/>
          <w:szCs w:val="22"/>
        </w:rPr>
      </w:pPr>
      <w:r w:rsidRPr="003675FA">
        <w:rPr>
          <w:rFonts w:cs="Arial"/>
          <w:szCs w:val="22"/>
          <w:highlight w:val="yellow"/>
        </w:rPr>
        <w:lastRenderedPageBreak/>
        <w:t>In this respect it is worth noting that the Census 2011 results indicate that 38% of those living in shacks in informal settlements (i.e. not in backyard shacks) are single-person households (who by definition will not be able to qualify for a subsidy under one of the existing top structure subsidy programmes, which require households with dependents for qualification)</w:t>
      </w:r>
      <w:r w:rsidR="00EE4B47" w:rsidRPr="003675FA">
        <w:rPr>
          <w:rFonts w:cs="Arial"/>
          <w:szCs w:val="22"/>
          <w:highlight w:val="yellow"/>
        </w:rPr>
        <w:t>These subsidy qualification criteria may create a substantial divide within UISP project beneficiaries regarding who will and who will not be eligible for subsidy benefits</w:t>
      </w:r>
      <w:r w:rsidR="001619C6" w:rsidRPr="003675FA">
        <w:rPr>
          <w:rFonts w:cs="Arial"/>
          <w:szCs w:val="22"/>
          <w:highlight w:val="yellow"/>
        </w:rPr>
        <w:t>,</w:t>
      </w:r>
      <w:r w:rsidR="001619C6">
        <w:rPr>
          <w:rFonts w:cs="Arial"/>
          <w:szCs w:val="22"/>
        </w:rPr>
        <w:t xml:space="preserve"> as discussed in Section 2.2.8</w:t>
      </w:r>
      <w:r w:rsidR="00EE4B47">
        <w:rPr>
          <w:rFonts w:cs="Arial"/>
          <w:szCs w:val="22"/>
        </w:rPr>
        <w:t>.</w:t>
      </w:r>
      <w:r w:rsidR="001619C6">
        <w:rPr>
          <w:rFonts w:cs="Arial"/>
          <w:szCs w:val="22"/>
        </w:rPr>
        <w:t xml:space="preserve"> For instance, the settlements profiled by the HDA in Limpopo Province indicate a variability in eligibility for housing subsidy support from 28% of all households to 78%. </w:t>
      </w:r>
      <w:r w:rsidR="00EE4B47">
        <w:rPr>
          <w:rFonts w:cs="Arial"/>
          <w:szCs w:val="22"/>
        </w:rPr>
        <w:t>This implies</w:t>
      </w:r>
      <w:r w:rsidR="001619C6">
        <w:rPr>
          <w:rFonts w:cs="Arial"/>
          <w:szCs w:val="22"/>
        </w:rPr>
        <w:t xml:space="preserve"> the following</w:t>
      </w:r>
      <w:r w:rsidR="00EE4B47">
        <w:rPr>
          <w:rFonts w:cs="Arial"/>
          <w:szCs w:val="22"/>
        </w:rPr>
        <w:t>:</w:t>
      </w:r>
    </w:p>
    <w:p w14:paraId="03C2FB26" w14:textId="77777777" w:rsidR="00EE4B47" w:rsidRPr="00441AA0" w:rsidRDefault="00EE4B47" w:rsidP="0055634E">
      <w:pPr>
        <w:pStyle w:val="ListParagraph"/>
        <w:numPr>
          <w:ilvl w:val="0"/>
          <w:numId w:val="16"/>
        </w:numPr>
        <w:ind w:left="720"/>
        <w:rPr>
          <w:rFonts w:cs="Arial"/>
          <w:b/>
        </w:rPr>
      </w:pPr>
      <w:r>
        <w:rPr>
          <w:rFonts w:cs="Arial"/>
          <w:b/>
        </w:rPr>
        <w:t xml:space="preserve">Non-Qualifiers: </w:t>
      </w:r>
      <w:r>
        <w:rPr>
          <w:rFonts w:cs="Arial"/>
        </w:rPr>
        <w:t>There will always be a significant proportion of households who will not qualify for top structure subsidies, and that these households will have to rely on alternative house construction or consolidation approaches; and</w:t>
      </w:r>
    </w:p>
    <w:p w14:paraId="6A298F8F" w14:textId="77777777" w:rsidR="00EE4B47" w:rsidRPr="005C4C53" w:rsidRDefault="00EE4B47" w:rsidP="0055634E">
      <w:pPr>
        <w:pStyle w:val="ListParagraph"/>
        <w:numPr>
          <w:ilvl w:val="0"/>
          <w:numId w:val="16"/>
        </w:numPr>
        <w:ind w:left="720"/>
        <w:rPr>
          <w:rFonts w:cs="Arial"/>
          <w:b/>
        </w:rPr>
      </w:pPr>
      <w:r w:rsidRPr="005C4C53">
        <w:rPr>
          <w:rFonts w:cs="Arial"/>
          <w:b/>
        </w:rPr>
        <w:t xml:space="preserve">Special Concessions: </w:t>
      </w:r>
      <w:r w:rsidRPr="005C4C53">
        <w:rPr>
          <w:rFonts w:cs="Arial"/>
        </w:rPr>
        <w:t>Arranging special concessions to own or access house subsidies will be an important feature of managing house consolidation in UISP programmes</w:t>
      </w:r>
      <w:r>
        <w:rPr>
          <w:rFonts w:cs="Arial"/>
        </w:rPr>
        <w:t>.</w:t>
      </w:r>
    </w:p>
    <w:p w14:paraId="2C65A43C" w14:textId="07BF42D7" w:rsidR="00EE4B47" w:rsidRDefault="00EE4B47" w:rsidP="00540DD7">
      <w:pPr>
        <w:pStyle w:val="Heading2"/>
      </w:pPr>
      <w:bookmarkStart w:id="197" w:name="_Toc270946035"/>
      <w:r>
        <w:t>Synthesis</w:t>
      </w:r>
      <w:r w:rsidR="001619C6">
        <w:t xml:space="preserve">: </w:t>
      </w:r>
      <w:r>
        <w:t>Selecting the House Consolidation Mode Approach/Strategy for a UISP Project</w:t>
      </w:r>
      <w:bookmarkEnd w:id="197"/>
    </w:p>
    <w:p w14:paraId="525A553B" w14:textId="77777777" w:rsidR="00EE4B47" w:rsidRPr="00BF2D59" w:rsidRDefault="00EE4B47" w:rsidP="00250EA9">
      <w:pPr>
        <w:spacing w:after="0"/>
      </w:pPr>
    </w:p>
    <w:p w14:paraId="590A28A4" w14:textId="2B8B7587" w:rsidR="0082281F" w:rsidRDefault="00EE4B47" w:rsidP="00E73E81">
      <w:pPr>
        <w:spacing w:line="360" w:lineRule="auto"/>
        <w:rPr>
          <w:rFonts w:cs="Arial"/>
          <w:szCs w:val="22"/>
        </w:rPr>
      </w:pPr>
      <w:r>
        <w:rPr>
          <w:rFonts w:cs="Arial"/>
          <w:szCs w:val="22"/>
        </w:rPr>
        <w:t xml:space="preserve">In this section we focus </w:t>
      </w:r>
      <w:r w:rsidR="0082281F">
        <w:rPr>
          <w:rFonts w:cs="Arial"/>
          <w:szCs w:val="22"/>
        </w:rPr>
        <w:t xml:space="preserve">on the process through which the </w:t>
      </w:r>
      <w:r>
        <w:rPr>
          <w:rFonts w:cs="Arial"/>
          <w:szCs w:val="22"/>
        </w:rPr>
        <w:t xml:space="preserve">consolidation strategy </w:t>
      </w:r>
      <w:r w:rsidR="0082281F">
        <w:rPr>
          <w:rFonts w:cs="Arial"/>
          <w:szCs w:val="22"/>
        </w:rPr>
        <w:t>is selected for a</w:t>
      </w:r>
      <w:r>
        <w:rPr>
          <w:rFonts w:cs="Arial"/>
          <w:szCs w:val="22"/>
        </w:rPr>
        <w:t xml:space="preserve"> UISP in situ upgrading project.  </w:t>
      </w:r>
    </w:p>
    <w:p w14:paraId="71A9B98B" w14:textId="4F8C11C1" w:rsidR="00EE4B47" w:rsidRPr="00457413" w:rsidRDefault="00D16FD4" w:rsidP="00E73E81">
      <w:pPr>
        <w:spacing w:line="360" w:lineRule="auto"/>
        <w:rPr>
          <w:rFonts w:cs="Arial"/>
          <w:szCs w:val="22"/>
        </w:rPr>
      </w:pPr>
      <w:r w:rsidRPr="00250EA9">
        <w:rPr>
          <w:rFonts w:cs="Arial"/>
          <w:b/>
          <w:szCs w:val="22"/>
        </w:rPr>
        <w:fldChar w:fldCharType="begin"/>
      </w:r>
      <w:r w:rsidRPr="00250EA9">
        <w:rPr>
          <w:rFonts w:cs="Arial"/>
          <w:b/>
          <w:szCs w:val="22"/>
        </w:rPr>
        <w:instrText xml:space="preserve"> REF _Ref388626856 \h </w:instrText>
      </w:r>
      <w:r>
        <w:rPr>
          <w:rFonts w:cs="Arial"/>
          <w:b/>
          <w:szCs w:val="22"/>
        </w:rPr>
        <w:instrText xml:space="preserve"> \* MERGEFORMAT </w:instrText>
      </w:r>
      <w:r w:rsidRPr="00250EA9">
        <w:rPr>
          <w:rFonts w:cs="Arial"/>
          <w:b/>
          <w:szCs w:val="22"/>
        </w:rPr>
      </w:r>
      <w:r w:rsidRPr="00250EA9">
        <w:rPr>
          <w:rFonts w:cs="Arial"/>
          <w:b/>
          <w:szCs w:val="22"/>
        </w:rPr>
        <w:fldChar w:fldCharType="separate"/>
      </w:r>
      <w:r w:rsidR="00E9048A">
        <w:rPr>
          <w:rFonts w:cs="Arial"/>
          <w:szCs w:val="22"/>
        </w:rPr>
        <w:t>Error! Reference source not found.</w:t>
      </w:r>
      <w:r w:rsidRPr="00250EA9">
        <w:rPr>
          <w:rFonts w:cs="Arial"/>
          <w:b/>
          <w:szCs w:val="22"/>
        </w:rPr>
        <w:fldChar w:fldCharType="end"/>
      </w:r>
      <w:r>
        <w:rPr>
          <w:rFonts w:cs="Arial"/>
          <w:szCs w:val="22"/>
        </w:rPr>
        <w:t xml:space="preserve"> </w:t>
      </w:r>
      <w:r w:rsidR="00EE4B47">
        <w:rPr>
          <w:rFonts w:cs="Arial"/>
          <w:szCs w:val="22"/>
        </w:rPr>
        <w:t>below illustrates the area of focus of this section in relation to the conceptual framework discussed in Chapter 3.</w:t>
      </w:r>
      <w:r w:rsidR="0082281F">
        <w:rPr>
          <w:rFonts w:cs="Arial"/>
          <w:szCs w:val="22"/>
        </w:rPr>
        <w:t xml:space="preserve"> </w:t>
      </w:r>
      <w:r w:rsidR="00EE4B47">
        <w:rPr>
          <w:rFonts w:cs="Arial"/>
          <w:szCs w:val="22"/>
        </w:rPr>
        <w:t xml:space="preserve">We noted in section 4.6 above that, during Phase 2- Project Initiation, a plan that addresses the </w:t>
      </w:r>
      <w:r w:rsidR="00E73E81">
        <w:rPr>
          <w:rFonts w:cs="Arial"/>
          <w:szCs w:val="22"/>
        </w:rPr>
        <w:t>‘</w:t>
      </w:r>
      <w:r w:rsidR="00EE4B47" w:rsidRPr="00250EA9">
        <w:rPr>
          <w:rFonts w:cs="Arial"/>
          <w:i/>
          <w:szCs w:val="22"/>
        </w:rPr>
        <w:t>planning, commencement and time frame for Phase 4</w:t>
      </w:r>
      <w:r w:rsidR="00E73E81">
        <w:rPr>
          <w:rFonts w:cs="Arial"/>
          <w:i/>
          <w:szCs w:val="22"/>
        </w:rPr>
        <w:t xml:space="preserve"> </w:t>
      </w:r>
      <w:r w:rsidR="00EE4B47" w:rsidRPr="00250EA9">
        <w:rPr>
          <w:rFonts w:cs="Arial"/>
          <w:i/>
          <w:szCs w:val="22"/>
        </w:rPr>
        <w:t>(the Consolidation for House Construction Phase)</w:t>
      </w:r>
      <w:r w:rsidR="00E73E81">
        <w:rPr>
          <w:rFonts w:cs="Arial"/>
          <w:szCs w:val="22"/>
        </w:rPr>
        <w:t>’(</w:t>
      </w:r>
      <w:r w:rsidR="0047610A">
        <w:rPr>
          <w:rFonts w:cs="Arial"/>
          <w:szCs w:val="22"/>
        </w:rPr>
        <w:t>ibid.</w:t>
      </w:r>
      <w:r w:rsidR="00EE4B47" w:rsidRPr="00457413">
        <w:rPr>
          <w:rFonts w:cs="Arial"/>
          <w:szCs w:val="22"/>
        </w:rPr>
        <w:t xml:space="preserve"> p 44</w:t>
      </w:r>
      <w:r w:rsidR="00E73E81">
        <w:rPr>
          <w:rFonts w:cs="Arial"/>
          <w:szCs w:val="22"/>
        </w:rPr>
        <w:t>)</w:t>
      </w:r>
      <w:r w:rsidR="00EE4B47" w:rsidRPr="00457413">
        <w:rPr>
          <w:rFonts w:cs="Arial"/>
          <w:szCs w:val="22"/>
        </w:rPr>
        <w:t xml:space="preserve"> needs to b</w:t>
      </w:r>
      <w:r w:rsidR="00EE4B47">
        <w:rPr>
          <w:rFonts w:cs="Arial"/>
          <w:szCs w:val="22"/>
        </w:rPr>
        <w:t>e formulated.</w:t>
      </w:r>
    </w:p>
    <w:p w14:paraId="17400129" w14:textId="70A7D8BB" w:rsidR="00EE4B47" w:rsidRDefault="00EE4B47" w:rsidP="00E73E81">
      <w:pPr>
        <w:spacing w:line="360" w:lineRule="auto"/>
        <w:rPr>
          <w:rFonts w:cs="Arial"/>
          <w:szCs w:val="22"/>
        </w:rPr>
      </w:pPr>
      <w:r>
        <w:rPr>
          <w:rFonts w:cs="Arial"/>
          <w:szCs w:val="22"/>
        </w:rPr>
        <w:t>As the starting point of formulating such a plan</w:t>
      </w:r>
      <w:r w:rsidR="00E73E81">
        <w:rPr>
          <w:rFonts w:cs="Arial"/>
          <w:szCs w:val="22"/>
        </w:rPr>
        <w:t>,</w:t>
      </w:r>
      <w:r>
        <w:rPr>
          <w:rFonts w:cs="Arial"/>
          <w:szCs w:val="22"/>
        </w:rPr>
        <w:t xml:space="preserve"> a selection of the basic consolidation formalisation mode or strategy needs to be made. In essence, a selection</w:t>
      </w:r>
      <w:r w:rsidR="00E73E81">
        <w:rPr>
          <w:rFonts w:cs="Arial"/>
          <w:szCs w:val="22"/>
        </w:rPr>
        <w:t xml:space="preserve"> of one out of</w:t>
      </w:r>
      <w:r>
        <w:rPr>
          <w:rFonts w:cs="Arial"/>
          <w:szCs w:val="22"/>
        </w:rPr>
        <w:t xml:space="preserve"> three </w:t>
      </w:r>
      <w:r w:rsidR="00E73E81">
        <w:rPr>
          <w:rFonts w:cs="Arial"/>
          <w:szCs w:val="22"/>
        </w:rPr>
        <w:t xml:space="preserve">possible </w:t>
      </w:r>
      <w:r>
        <w:rPr>
          <w:rFonts w:cs="Arial"/>
          <w:szCs w:val="22"/>
        </w:rPr>
        <w:t xml:space="preserve">alternative modes of housing consolidation needs to be made: </w:t>
      </w:r>
    </w:p>
    <w:p w14:paraId="2AD4F6E0" w14:textId="299B7125" w:rsidR="00EE4B47" w:rsidRDefault="00E73E81" w:rsidP="00EE4B47">
      <w:pPr>
        <w:ind w:left="488"/>
      </w:pPr>
      <w:r>
        <w:rPr>
          <w:noProof/>
          <w:lang w:val="en-US"/>
        </w:rPr>
        <w:lastRenderedPageBreak/>
        <mc:AlternateContent>
          <mc:Choice Requires="wpg">
            <w:drawing>
              <wp:anchor distT="0" distB="0" distL="114300" distR="114300" simplePos="0" relativeHeight="251682816" behindDoc="0" locked="0" layoutInCell="1" allowOverlap="1" wp14:anchorId="4DF07085" wp14:editId="560197DA">
                <wp:simplePos x="0" y="0"/>
                <wp:positionH relativeFrom="column">
                  <wp:posOffset>3192890</wp:posOffset>
                </wp:positionH>
                <wp:positionV relativeFrom="paragraph">
                  <wp:posOffset>340733</wp:posOffset>
                </wp:positionV>
                <wp:extent cx="2802255" cy="2615565"/>
                <wp:effectExtent l="0" t="0" r="17145" b="13335"/>
                <wp:wrapNone/>
                <wp:docPr id="7" name="Group 7"/>
                <wp:cNvGraphicFramePr/>
                <a:graphic xmlns:a="http://schemas.openxmlformats.org/drawingml/2006/main">
                  <a:graphicData uri="http://schemas.microsoft.com/office/word/2010/wordprocessingGroup">
                    <wpg:wgp>
                      <wpg:cNvGrpSpPr/>
                      <wpg:grpSpPr>
                        <a:xfrm>
                          <a:off x="0" y="0"/>
                          <a:ext cx="2802255" cy="2615565"/>
                          <a:chOff x="0" y="0"/>
                          <a:chExt cx="2802772" cy="2616034"/>
                        </a:xfrm>
                      </wpg:grpSpPr>
                      <wps:wsp>
                        <wps:cNvPr id="288" name="Oval 288"/>
                        <wps:cNvSpPr/>
                        <wps:spPr>
                          <a:xfrm>
                            <a:off x="874644" y="1001864"/>
                            <a:ext cx="949960" cy="1614170"/>
                          </a:xfrm>
                          <a:prstGeom prst="ellipse">
                            <a:avLst/>
                          </a:prstGeom>
                          <a:solidFill>
                            <a:schemeClr val="accent1">
                              <a:alpha val="23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a:off x="1948070" y="0"/>
                            <a:ext cx="854702" cy="2612571"/>
                          </a:xfrm>
                          <a:prstGeom prst="ellipse">
                            <a:avLst/>
                          </a:prstGeom>
                          <a:solidFill>
                            <a:schemeClr val="accent1">
                              <a:alpha val="23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289"/>
                        <wps:cNvSpPr/>
                        <wps:spPr>
                          <a:xfrm>
                            <a:off x="0" y="1463040"/>
                            <a:ext cx="712519" cy="1151032"/>
                          </a:xfrm>
                          <a:prstGeom prst="ellipse">
                            <a:avLst/>
                          </a:prstGeom>
                          <a:solidFill>
                            <a:schemeClr val="accent1">
                              <a:alpha val="23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2107096" y="1685677"/>
                            <a:ext cx="486410"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2D8A49" w14:textId="77777777" w:rsidR="00DA241A" w:rsidRPr="00457413" w:rsidRDefault="00DA241A" w:rsidP="00EE4B47">
                              <w:pPr>
                                <w:rPr>
                                  <w:sz w:val="56"/>
                                  <w:szCs w:val="56"/>
                                </w:rPr>
                              </w:pPr>
                              <w:r w:rsidRPr="00457413">
                                <w:rPr>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208598" y="1717482"/>
                            <a:ext cx="438785"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4FCC3B" w14:textId="77777777" w:rsidR="00DA241A" w:rsidRPr="00457413" w:rsidRDefault="00DA241A" w:rsidP="00EE4B47">
                              <w:pPr>
                                <w:rPr>
                                  <w:sz w:val="56"/>
                                  <w:szCs w:val="56"/>
                                </w:rPr>
                              </w:pPr>
                              <w:r w:rsidRPr="00457413">
                                <w:rPr>
                                  <w:sz w:val="56"/>
                                  <w:szCs w:val="5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214645" y="1756923"/>
                            <a:ext cx="426720" cy="450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1EF2A6" w14:textId="77777777" w:rsidR="00DA241A" w:rsidRPr="00457413" w:rsidRDefault="00DA241A" w:rsidP="00EE4B47">
                              <w:pPr>
                                <w:rPr>
                                  <w:sz w:val="56"/>
                                  <w:szCs w:val="56"/>
                                </w:rPr>
                              </w:pPr>
                              <w:r w:rsidRPr="00457413">
                                <w:rPr>
                                  <w:sz w:val="56"/>
                                  <w:szCs w:val="56"/>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29" style="position:absolute;left:0;text-align:left;margin-left:251.4pt;margin-top:26.85pt;width:220.65pt;height:205.95pt;z-index:251682816" coordsize="2802772,26160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">
                <v:oval id="Oval 288" o:spid="_x0000_s1030" style="position:absolute;left:874644;top:1001864;width:949960;height:16141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dvGPwAAA&#10;ANwAAAAPAAAAZHJzL2Rvd25yZXYueG1sRE/Pa8IwFL4P/B/CE7zNVA+u60zLGAwEL7N62e3RvDVl&#10;zUtNosb/fjkMPH58v7dNsqO4kg+DYwWrZQGCuHN64F7B6fj5XIIIEVnj6JgU3ClAU8+etlhpd+MD&#10;XdvYixzCoUIFJsapkjJ0hiyGpZuIM/fjvMWYoe+l9njL4XaU66LYSIsD5waDE30Y6n7bi1Xwak5f&#10;322Sh5DG1r/sy+5sdVBqMU/vbyAipfgQ/7t3WsG6zGvzmXwEZP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dvGPwAAAANwAAAAPAAAAAAAAAAAAAAAAAJcCAABkcnMvZG93bnJl&#10;di54bWxQSwUGAAAAAAQABAD1AAAAhAMAAAAA&#10;" fillcolor="#4f81bd [3204]" strokecolor="#243f60 [1604]" strokeweight="2pt">
                  <v:fill opacity="15163f"/>
                </v:oval>
                <v:oval id="Oval 290" o:spid="_x0000_s1031" style="position:absolute;left:1948070;width:854702;height:26125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2WtUvwAA&#10;ANwAAAAPAAAAZHJzL2Rvd25yZXYueG1sRE89iwIxEO2F+w9hDuw0exanrkYRQRCu0T0bu2EzbhY3&#10;k70kavz3phCufLzv5TrZTtzJh9axgq9xAYK4drrlRsHpdzeagQgRWWPnmBQ8KcB69TFYYqndg490&#10;r2IjcgiHEhWYGPtSylAbshjGrifO3MV5izFD30jt8ZHDbScnRfEtLbacGwz2tDVUX6ubVTA3p8O5&#10;SvIYUlf56c+s/rM6KDX8TJsFiEgp/ovf7r1WMJnn+flMPgJy9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DZa1S/AAAA3AAAAA8AAAAAAAAAAAAAAAAAlwIAAGRycy9kb3ducmV2&#10;LnhtbFBLBQYAAAAABAAEAPUAAACDAwAAAAA=&#10;" fillcolor="#4f81bd [3204]" strokecolor="#243f60 [1604]" strokeweight="2pt">
                  <v:fill opacity="15163f"/>
                </v:oval>
                <v:oval id="Oval 289" o:spid="_x0000_s1032" style="position:absolute;top:1463040;width:712519;height:11510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OlQUwwAA&#10;ANwAAAAPAAAAZHJzL2Rvd25yZXYueG1sRI9BawIxFITvBf9DeEJvNauHdt0aRYSC4KWuXnp7bJ6b&#10;xc3LmqQa/70pFDwOM/MNs1gl24sr+dA5VjCdFCCIG6c7bhUcD19vJYgQkTX2jknBnQKslqOXBVba&#10;3XhP1zq2IkM4VKjAxDhUUobGkMUwcQNx9k7OW4xZ+lZqj7cMt72cFcW7tNhxXjA40MZQc65/rYK5&#10;OX7/1EnuQ+pr/7Erm4vVQanXcVp/goiU4jP8395qBbNyDn9n8hG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OlQUwwAAANwAAAAPAAAAAAAAAAAAAAAAAJcCAABkcnMvZG93&#10;bnJldi54bWxQSwUGAAAAAAQABAD1AAAAhwMAAAAA&#10;" fillcolor="#4f81bd [3204]" strokecolor="#243f60 [1604]" strokeweight="2pt">
                  <v:fill opacity="15163f"/>
                </v:oval>
                <v:shape id="Text Box 61" o:spid="_x0000_s1033" type="#_x0000_t202" style="position:absolute;left:2107096;top:1685677;width:486410;height:462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b2EwQAA&#10;ANsAAAAPAAAAZHJzL2Rvd25yZXYueG1sRI9BawIxFITvQv9DeAVvmtWDbLdGscUWoafa0vNj80yC&#10;m5cliev6702h0OMwM98w6+3oOzFQTC6wgsW8AkHcBu3YKPj+epvVIFJG1tgFJgU3SrDdPEzW2Ohw&#10;5U8ajtmIAuHUoAKbc99ImVpLHtM89MTFO4XoMRcZjdQRrwXuO7msqpX06LgsWOzp1VJ7Pl68gv2L&#10;eTJtjdHua+3cMP6cPsy7UtPHcfcMItOY/8N/7YNWsFrA75fyA+Tm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UB29hMEAAADbAAAADwAAAAAAAAAAAAAAAACXAgAAZHJzL2Rvd25y&#10;ZXYueG1sUEsFBgAAAAAEAAQA9QAAAIUDAAAAAA==&#10;" fillcolor="white [3201]" strokeweight=".5pt">
                  <v:textbox>
                    <w:txbxContent>
                      <w:p w14:paraId="452D8A49" w14:textId="77777777" w:rsidR="00916B75" w:rsidRPr="00457413" w:rsidRDefault="00916B75" w:rsidP="00EE4B47">
                        <w:pPr>
                          <w:rPr>
                            <w:sz w:val="56"/>
                            <w:szCs w:val="56"/>
                          </w:rPr>
                        </w:pPr>
                        <w:r w:rsidRPr="00457413">
                          <w:rPr>
                            <w:sz w:val="56"/>
                            <w:szCs w:val="56"/>
                          </w:rPr>
                          <w:t>A</w:t>
                        </w:r>
                      </w:p>
                    </w:txbxContent>
                  </v:textbox>
                </v:shape>
                <v:shape id="Text Box 63" o:spid="_x0000_s1034" type="#_x0000_t202" style="position:absolute;left:1208598;top:1717482;width:438785;height:427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g4ZowgAA&#10;ANsAAAAPAAAAZHJzL2Rvd25yZXYueG1sRI9BawIxFITvhf6H8Aq91WwryLoapS0qBU/V0vNj80yC&#10;m5clSdftvzcFocdhZr5hluvRd2KgmFxgBc+TCgRxG7Rjo+DruH2qQaSMrLELTAp+KcF6dX+3xEaH&#10;C3/ScMhGFAinBhXYnPtGytRa8pgmoScu3ilEj7nIaKSOeClw38mXqppJj47LgsWe3i2158OPV7B5&#10;M3PT1hjtptbODeP3aW92Sj0+jK8LEJnG/B++tT+0gtkU/r6UHy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DhmjCAAAA2wAAAA8AAAAAAAAAAAAAAAAAlwIAAGRycy9kb3du&#10;cmV2LnhtbFBLBQYAAAAABAAEAPUAAACGAwAAAAA=&#10;" fillcolor="white [3201]" strokeweight=".5pt">
                  <v:textbox>
                    <w:txbxContent>
                      <w:p w14:paraId="614FCC3B" w14:textId="77777777" w:rsidR="00916B75" w:rsidRPr="00457413" w:rsidRDefault="00916B75" w:rsidP="00EE4B47">
                        <w:pPr>
                          <w:rPr>
                            <w:sz w:val="56"/>
                            <w:szCs w:val="56"/>
                          </w:rPr>
                        </w:pPr>
                        <w:r w:rsidRPr="00457413">
                          <w:rPr>
                            <w:sz w:val="56"/>
                            <w:szCs w:val="56"/>
                          </w:rPr>
                          <w:t>C</w:t>
                        </w:r>
                      </w:p>
                    </w:txbxContent>
                  </v:textbox>
                </v:shape>
                <v:shape id="Text Box 62" o:spid="_x0000_s1035" type="#_x0000_t202" style="position:absolute;left:214645;top:1756923;width:426720;height:4508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vll1wwAA&#10;ANsAAAAPAAAAZHJzL2Rvd25yZXYueG1sRI9bi8IwFITfF/wP4Qi+ramKRbpGEVEQBPEG7uPZ5vTC&#10;NieliVr/vREEH4eZ+YaZzltTiRs1rrSsYNCPQBCnVpecKzif1t8TEM4ja6wsk4IHOZjPOl9TTLS9&#10;84FuR5+LAGGXoILC+zqR0qUFGXR9WxMHL7ONQR9kk0vd4D3ATSWHURRLgyWHhQJrWhaU/h+vRsFu&#10;Gdvx6K+dZKv91h7ybCR/xxelet128QPCU+s/4Xd7oxXEQ3h9CT9Az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vll1wwAAANsAAAAPAAAAAAAAAAAAAAAAAJcCAABkcnMvZG93&#10;bnJldi54bWxQSwUGAAAAAAQABAD1AAAAhwMAAAAA&#10;" fillcolor="white [3201]" strokeweight=".5pt">
                  <v:textbox>
                    <w:txbxContent>
                      <w:p w14:paraId="7F1EF2A6" w14:textId="77777777" w:rsidR="00916B75" w:rsidRPr="00457413" w:rsidRDefault="00916B75" w:rsidP="00EE4B47">
                        <w:pPr>
                          <w:rPr>
                            <w:sz w:val="56"/>
                            <w:szCs w:val="56"/>
                          </w:rPr>
                        </w:pPr>
                        <w:r w:rsidRPr="00457413">
                          <w:rPr>
                            <w:sz w:val="56"/>
                            <w:szCs w:val="56"/>
                          </w:rPr>
                          <w:t>B</w:t>
                        </w:r>
                      </w:p>
                    </w:txbxContent>
                  </v:textbox>
                </v:shape>
              </v:group>
            </w:pict>
          </mc:Fallback>
        </mc:AlternateContent>
      </w:r>
      <w:r w:rsidRPr="002C75F1">
        <w:rPr>
          <w:noProof/>
          <w:lang w:val="en-US"/>
        </w:rPr>
        <w:drawing>
          <wp:inline distT="0" distB="0" distL="0" distR="0" wp14:anchorId="115A9230" wp14:editId="6A84ADD3">
            <wp:extent cx="5943600" cy="371538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943600" cy="3715385"/>
                    </a:xfrm>
                    <a:prstGeom prst="rect">
                      <a:avLst/>
                    </a:prstGeom>
                    <a:solidFill>
                      <a:schemeClr val="accent1">
                        <a:alpha val="23000"/>
                      </a:schemeClr>
                    </a:solidFill>
                  </pic:spPr>
                </pic:pic>
              </a:graphicData>
            </a:graphic>
          </wp:inline>
        </w:drawing>
      </w:r>
    </w:p>
    <w:p w14:paraId="5440EB32" w14:textId="77777777" w:rsidR="009A6835" w:rsidRPr="0014517D" w:rsidRDefault="009A6835" w:rsidP="009A6835">
      <w:pPr>
        <w:spacing w:line="360" w:lineRule="auto"/>
        <w:rPr>
          <w:b/>
          <w:bCs/>
          <w:szCs w:val="22"/>
        </w:rPr>
      </w:pPr>
      <w:bookmarkStart w:id="198" w:name="_Toc270945519"/>
      <w:r w:rsidRPr="008C45F2">
        <w:rPr>
          <w:b/>
        </w:rPr>
        <w:t xml:space="preserve">Figure </w:t>
      </w:r>
      <w:r w:rsidRPr="00220C7D">
        <w:rPr>
          <w:b/>
        </w:rPr>
        <w:fldChar w:fldCharType="begin"/>
      </w:r>
      <w:r w:rsidRPr="00220C7D">
        <w:rPr>
          <w:b/>
        </w:rPr>
        <w:instrText xml:space="preserve"> SEQ Figure \* ARABIC </w:instrText>
      </w:r>
      <w:r w:rsidRPr="00220C7D">
        <w:rPr>
          <w:b/>
        </w:rPr>
        <w:fldChar w:fldCharType="separate"/>
      </w:r>
      <w:r w:rsidR="00E9048A">
        <w:rPr>
          <w:b/>
          <w:noProof/>
        </w:rPr>
        <w:t>16</w:t>
      </w:r>
      <w:r w:rsidRPr="00220C7D">
        <w:rPr>
          <w:b/>
        </w:rPr>
        <w:fldChar w:fldCharType="end"/>
      </w:r>
      <w:r w:rsidRPr="00FE6F97">
        <w:rPr>
          <w:b/>
        </w:rPr>
        <w:t xml:space="preserve">: </w:t>
      </w:r>
      <w:r w:rsidRPr="0014517D">
        <w:rPr>
          <w:b/>
          <w:bCs/>
          <w:szCs w:val="22"/>
        </w:rPr>
        <w:t>House Consolidation in Relation to UISP Conceptual Framework</w:t>
      </w:r>
      <w:bookmarkEnd w:id="198"/>
    </w:p>
    <w:p w14:paraId="0E6385EB" w14:textId="67C456C2" w:rsidR="00EE4B47" w:rsidRDefault="00EE4B47" w:rsidP="0055634E">
      <w:pPr>
        <w:pStyle w:val="ListParagraph"/>
        <w:numPr>
          <w:ilvl w:val="0"/>
          <w:numId w:val="16"/>
        </w:numPr>
        <w:ind w:left="720"/>
        <w:rPr>
          <w:rFonts w:cs="Arial"/>
        </w:rPr>
      </w:pPr>
      <w:r>
        <w:rPr>
          <w:rFonts w:cs="Arial"/>
          <w:b/>
        </w:rPr>
        <w:t xml:space="preserve">A = </w:t>
      </w:r>
      <w:r w:rsidRPr="00C25D79">
        <w:rPr>
          <w:rFonts w:cs="Arial"/>
          <w:b/>
        </w:rPr>
        <w:t xml:space="preserve">State </w:t>
      </w:r>
      <w:r>
        <w:rPr>
          <w:rFonts w:cs="Arial"/>
          <w:b/>
        </w:rPr>
        <w:t xml:space="preserve">Led: </w:t>
      </w:r>
      <w:r>
        <w:rPr>
          <w:rFonts w:cs="Arial"/>
        </w:rPr>
        <w:t>To</w:t>
      </w:r>
      <w:r w:rsidRPr="00C25D79">
        <w:rPr>
          <w:rFonts w:cs="Arial"/>
        </w:rPr>
        <w:t xml:space="preserve">p structure consolidation </w:t>
      </w:r>
      <w:r>
        <w:rPr>
          <w:rFonts w:cs="Arial"/>
        </w:rPr>
        <w:t xml:space="preserve">is driven principally through the direct state provision of </w:t>
      </w:r>
      <w:r w:rsidR="00E01C9B">
        <w:rPr>
          <w:rFonts w:cs="Arial"/>
        </w:rPr>
        <w:t>subsidized</w:t>
      </w:r>
      <w:r>
        <w:rPr>
          <w:rFonts w:cs="Arial"/>
        </w:rPr>
        <w:t xml:space="preserve"> housing. This may be </w:t>
      </w:r>
      <w:r w:rsidRPr="00C25D79">
        <w:rPr>
          <w:rFonts w:cs="Arial"/>
        </w:rPr>
        <w:t xml:space="preserve">followed by individual initiative in expanding </w:t>
      </w:r>
      <w:r>
        <w:rPr>
          <w:rFonts w:cs="Arial"/>
        </w:rPr>
        <w:t>and improving the provided dwelling over time.</w:t>
      </w:r>
    </w:p>
    <w:p w14:paraId="1B154537" w14:textId="4E119CC5" w:rsidR="00EE4B47" w:rsidRPr="00C25D79" w:rsidRDefault="00EE4B47" w:rsidP="0055634E">
      <w:pPr>
        <w:pStyle w:val="ListParagraph"/>
        <w:numPr>
          <w:ilvl w:val="0"/>
          <w:numId w:val="16"/>
        </w:numPr>
        <w:ind w:left="720"/>
        <w:rPr>
          <w:rFonts w:cs="Arial"/>
        </w:rPr>
      </w:pPr>
      <w:r>
        <w:rPr>
          <w:rFonts w:cs="Arial"/>
          <w:b/>
        </w:rPr>
        <w:t xml:space="preserve">B= Site and service only: </w:t>
      </w:r>
      <w:r w:rsidR="00E01C9B">
        <w:rPr>
          <w:rFonts w:cs="Arial"/>
        </w:rPr>
        <w:t>Subsidized</w:t>
      </w:r>
      <w:r>
        <w:rPr>
          <w:rFonts w:cs="Arial"/>
        </w:rPr>
        <w:t xml:space="preserve"> s</w:t>
      </w:r>
      <w:r w:rsidRPr="00C25D79">
        <w:rPr>
          <w:rFonts w:cs="Arial"/>
        </w:rPr>
        <w:t>ite and basic tenure only</w:t>
      </w:r>
      <w:r>
        <w:rPr>
          <w:rFonts w:cs="Arial"/>
        </w:rPr>
        <w:t>, with</w:t>
      </w:r>
      <w:r w:rsidRPr="00C25D79">
        <w:rPr>
          <w:rFonts w:cs="Arial"/>
        </w:rPr>
        <w:t xml:space="preserve"> no </w:t>
      </w:r>
      <w:r>
        <w:rPr>
          <w:rFonts w:cs="Arial"/>
        </w:rPr>
        <w:t xml:space="preserve">public </w:t>
      </w:r>
      <w:r w:rsidRPr="00C25D79">
        <w:rPr>
          <w:rFonts w:cs="Arial"/>
        </w:rPr>
        <w:t>involvement thereafter</w:t>
      </w:r>
      <w:r>
        <w:rPr>
          <w:rFonts w:cs="Arial"/>
        </w:rPr>
        <w:t xml:space="preserve">. House consolidation is a household endeavor. </w:t>
      </w:r>
    </w:p>
    <w:p w14:paraId="1A0D1557" w14:textId="77777777" w:rsidR="00EE4B47" w:rsidRPr="00457413" w:rsidRDefault="00EE4B47" w:rsidP="0055634E">
      <w:pPr>
        <w:pStyle w:val="ListParagraph"/>
        <w:numPr>
          <w:ilvl w:val="0"/>
          <w:numId w:val="16"/>
        </w:numPr>
        <w:ind w:left="720"/>
        <w:rPr>
          <w:rFonts w:cs="Arial"/>
        </w:rPr>
      </w:pPr>
      <w:r w:rsidRPr="00457413">
        <w:rPr>
          <w:rFonts w:cs="Arial"/>
          <w:b/>
        </w:rPr>
        <w:t xml:space="preserve">C= Blended Mode: </w:t>
      </w:r>
      <w:r w:rsidRPr="00457413">
        <w:rPr>
          <w:rFonts w:cs="Arial"/>
        </w:rPr>
        <w:t>Top structures are built and consolidated by</w:t>
      </w:r>
      <w:r w:rsidRPr="00457413">
        <w:rPr>
          <w:rFonts w:cs="Arial"/>
          <w:b/>
        </w:rPr>
        <w:t xml:space="preserve"> </w:t>
      </w:r>
      <w:r w:rsidRPr="00457413">
        <w:rPr>
          <w:rFonts w:cs="Arial"/>
        </w:rPr>
        <w:t>involving a mix of private and group initiative, state capital investment and state and Non-Profit Organization facilitation support.</w:t>
      </w:r>
    </w:p>
    <w:p w14:paraId="02F87397" w14:textId="75CB8B7C" w:rsidR="00EE4B47" w:rsidRDefault="00EE4B47" w:rsidP="00EE4B47">
      <w:pPr>
        <w:spacing w:line="360" w:lineRule="auto"/>
        <w:ind w:left="488"/>
        <w:rPr>
          <w:rFonts w:cs="Arial"/>
          <w:szCs w:val="22"/>
        </w:rPr>
      </w:pPr>
      <w:r w:rsidRPr="005D67F6">
        <w:rPr>
          <w:rFonts w:cs="Arial"/>
          <w:szCs w:val="22"/>
        </w:rPr>
        <w:t xml:space="preserve">This selection needs to be made early in the upgrading programme </w:t>
      </w:r>
      <w:r>
        <w:rPr>
          <w:rFonts w:cs="Arial"/>
          <w:szCs w:val="22"/>
        </w:rPr>
        <w:t>and not at the end of Phase 3,</w:t>
      </w:r>
      <w:r w:rsidR="008E235F">
        <w:rPr>
          <w:rFonts w:cs="Arial"/>
          <w:szCs w:val="22"/>
        </w:rPr>
        <w:t xml:space="preserve"> (</w:t>
      </w:r>
      <w:r>
        <w:rPr>
          <w:rFonts w:cs="Arial"/>
          <w:szCs w:val="22"/>
        </w:rPr>
        <w:t xml:space="preserve"> the site servicing stage</w:t>
      </w:r>
      <w:r w:rsidR="008E235F">
        <w:rPr>
          <w:rFonts w:cs="Arial"/>
          <w:szCs w:val="22"/>
        </w:rPr>
        <w:t xml:space="preserve">) </w:t>
      </w:r>
      <w:r>
        <w:rPr>
          <w:rFonts w:cs="Arial"/>
          <w:szCs w:val="22"/>
        </w:rPr>
        <w:t xml:space="preserve"> because the mode selected  has a bearing on how the services are designed, layouts configured, community communications undertaken and the </w:t>
      </w:r>
      <w:r w:rsidR="008B47BF">
        <w:rPr>
          <w:rFonts w:cs="Arial"/>
          <w:szCs w:val="22"/>
        </w:rPr>
        <w:t>organization</w:t>
      </w:r>
      <w:r>
        <w:rPr>
          <w:rFonts w:cs="Arial"/>
          <w:szCs w:val="22"/>
        </w:rPr>
        <w:t>al development and capacity building programmes are designed and implements.</w:t>
      </w:r>
    </w:p>
    <w:p w14:paraId="10771830" w14:textId="77777777" w:rsidR="00EE4B47" w:rsidRPr="00A14BBF" w:rsidRDefault="00EE4B47" w:rsidP="00EE4B47">
      <w:pPr>
        <w:spacing w:line="360" w:lineRule="auto"/>
        <w:ind w:left="488"/>
        <w:rPr>
          <w:rFonts w:cs="Arial"/>
          <w:szCs w:val="22"/>
          <w:highlight w:val="yellow"/>
        </w:rPr>
      </w:pPr>
      <w:r w:rsidRPr="00A14BBF">
        <w:rPr>
          <w:rFonts w:cs="Arial"/>
          <w:szCs w:val="22"/>
          <w:highlight w:val="yellow"/>
        </w:rPr>
        <w:t>In making a conscious selection between the basic consolidation options a set of feasibility questions should be must be interrogated, viz:</w:t>
      </w:r>
    </w:p>
    <w:p w14:paraId="43E7A2FC" w14:textId="77777777" w:rsidR="00EE4B47" w:rsidRPr="00A14BBF" w:rsidRDefault="00EE4B47" w:rsidP="0055634E">
      <w:pPr>
        <w:pStyle w:val="ListParagraph"/>
        <w:numPr>
          <w:ilvl w:val="0"/>
          <w:numId w:val="16"/>
        </w:numPr>
        <w:rPr>
          <w:rFonts w:cs="Arial"/>
          <w:b/>
          <w:highlight w:val="yellow"/>
        </w:rPr>
      </w:pPr>
      <w:r w:rsidRPr="00A14BBF">
        <w:rPr>
          <w:rFonts w:cs="Arial"/>
          <w:b/>
          <w:highlight w:val="yellow"/>
        </w:rPr>
        <w:lastRenderedPageBreak/>
        <w:t xml:space="preserve">Fiscal feasibility: </w:t>
      </w:r>
    </w:p>
    <w:p w14:paraId="28647B36" w14:textId="77777777" w:rsidR="00EE4B47" w:rsidRPr="00A14BBF" w:rsidRDefault="00EE4B47" w:rsidP="0055634E">
      <w:pPr>
        <w:pStyle w:val="ListParagraph"/>
        <w:numPr>
          <w:ilvl w:val="1"/>
          <w:numId w:val="16"/>
        </w:numPr>
        <w:rPr>
          <w:rFonts w:cs="Arial"/>
          <w:b/>
          <w:highlight w:val="yellow"/>
        </w:rPr>
      </w:pPr>
      <w:r w:rsidRPr="00A14BBF">
        <w:rPr>
          <w:rFonts w:cs="Arial"/>
          <w:highlight w:val="yellow"/>
        </w:rPr>
        <w:t>Does a state-funding programme exist that allows us to implement the envisaged housing consolidation mode?</w:t>
      </w:r>
    </w:p>
    <w:p w14:paraId="31D77C0B" w14:textId="77777777" w:rsidR="00EE4B47" w:rsidRPr="00A14BBF" w:rsidRDefault="00EE4B47" w:rsidP="0055634E">
      <w:pPr>
        <w:pStyle w:val="ListParagraph"/>
        <w:numPr>
          <w:ilvl w:val="1"/>
          <w:numId w:val="16"/>
        </w:numPr>
        <w:rPr>
          <w:rFonts w:cs="Arial"/>
          <w:highlight w:val="yellow"/>
        </w:rPr>
      </w:pPr>
      <w:r w:rsidRPr="00A14BBF">
        <w:rPr>
          <w:rFonts w:cs="Arial"/>
          <w:highlight w:val="yellow"/>
        </w:rPr>
        <w:t>Will the state funds required to implement the top structure mode be available and at the time required?</w:t>
      </w:r>
    </w:p>
    <w:p w14:paraId="32BE7907" w14:textId="77777777" w:rsidR="00EE4B47" w:rsidRPr="00A14BBF" w:rsidRDefault="00EE4B47" w:rsidP="0055634E">
      <w:pPr>
        <w:pStyle w:val="ListParagraph"/>
        <w:numPr>
          <w:ilvl w:val="0"/>
          <w:numId w:val="16"/>
        </w:numPr>
        <w:rPr>
          <w:rFonts w:cs="Arial"/>
          <w:highlight w:val="yellow"/>
        </w:rPr>
      </w:pPr>
      <w:r w:rsidRPr="00A14BBF">
        <w:rPr>
          <w:rFonts w:cs="Arial"/>
          <w:b/>
          <w:highlight w:val="yellow"/>
        </w:rPr>
        <w:t xml:space="preserve">Socio-political feasibility: </w:t>
      </w:r>
    </w:p>
    <w:p w14:paraId="5035E2E0" w14:textId="77777777" w:rsidR="00EE4B47" w:rsidRPr="00A14BBF" w:rsidRDefault="00EE4B47" w:rsidP="0055634E">
      <w:pPr>
        <w:pStyle w:val="ListParagraph"/>
        <w:numPr>
          <w:ilvl w:val="1"/>
          <w:numId w:val="16"/>
        </w:numPr>
        <w:rPr>
          <w:rFonts w:cs="Arial"/>
          <w:highlight w:val="yellow"/>
        </w:rPr>
      </w:pPr>
      <w:r w:rsidRPr="00A14BBF">
        <w:rPr>
          <w:rFonts w:cs="Arial"/>
          <w:highlight w:val="yellow"/>
        </w:rPr>
        <w:t>Can we solicit the political support, commitments and leadership needed to make the consolidation mode viable?</w:t>
      </w:r>
    </w:p>
    <w:p w14:paraId="3E4D8357" w14:textId="77777777" w:rsidR="00EE4B47" w:rsidRPr="00A14BBF" w:rsidRDefault="00EE4B47" w:rsidP="0055634E">
      <w:pPr>
        <w:pStyle w:val="ListParagraph"/>
        <w:numPr>
          <w:ilvl w:val="1"/>
          <w:numId w:val="16"/>
        </w:numPr>
        <w:rPr>
          <w:rFonts w:cs="Arial"/>
          <w:highlight w:val="yellow"/>
        </w:rPr>
      </w:pPr>
      <w:r w:rsidRPr="00A14BBF">
        <w:rPr>
          <w:rFonts w:cs="Arial"/>
          <w:highlight w:val="yellow"/>
        </w:rPr>
        <w:t xml:space="preserve">Community cohesion and support – will the consolidation mode envisaged be able to accommodate the interests of all segments of the community or will some segments be marginalized / excluded or displaced? </w:t>
      </w:r>
    </w:p>
    <w:p w14:paraId="3EB483E3" w14:textId="77777777" w:rsidR="00EE4B47" w:rsidRPr="00A14BBF" w:rsidRDefault="00EE4B47" w:rsidP="0055634E">
      <w:pPr>
        <w:pStyle w:val="ListParagraph"/>
        <w:numPr>
          <w:ilvl w:val="0"/>
          <w:numId w:val="16"/>
        </w:numPr>
        <w:rPr>
          <w:rFonts w:cs="Arial"/>
          <w:b/>
          <w:highlight w:val="yellow"/>
        </w:rPr>
      </w:pPr>
      <w:r w:rsidRPr="00A14BBF">
        <w:rPr>
          <w:rFonts w:cs="Arial"/>
          <w:b/>
          <w:highlight w:val="yellow"/>
        </w:rPr>
        <w:t xml:space="preserve">Technical Feasibility: </w:t>
      </w:r>
    </w:p>
    <w:p w14:paraId="2E3468CB" w14:textId="77777777" w:rsidR="00EE4B47" w:rsidRPr="00A14BBF" w:rsidRDefault="00EE4B47" w:rsidP="0055634E">
      <w:pPr>
        <w:pStyle w:val="ListParagraph"/>
        <w:numPr>
          <w:ilvl w:val="1"/>
          <w:numId w:val="16"/>
        </w:numPr>
        <w:rPr>
          <w:rFonts w:cs="Arial"/>
          <w:highlight w:val="yellow"/>
        </w:rPr>
      </w:pPr>
      <w:r w:rsidRPr="00A14BBF">
        <w:rPr>
          <w:rFonts w:cs="Arial"/>
          <w:highlight w:val="yellow"/>
        </w:rPr>
        <w:t xml:space="preserve">Will the top structure consolidation mode envisaged be able to achieve the tenure and standards required by the subsidy funding programmes? E.g. minimum norms and standards. </w:t>
      </w:r>
    </w:p>
    <w:p w14:paraId="2BA4F89B" w14:textId="6A52E9C2" w:rsidR="00EE4B47" w:rsidRPr="00A14BBF" w:rsidRDefault="00EE4B47" w:rsidP="0055634E">
      <w:pPr>
        <w:pStyle w:val="ListParagraph"/>
        <w:numPr>
          <w:ilvl w:val="1"/>
          <w:numId w:val="16"/>
        </w:numPr>
        <w:rPr>
          <w:rFonts w:cs="Arial"/>
          <w:highlight w:val="yellow"/>
        </w:rPr>
      </w:pPr>
      <w:r w:rsidRPr="00A14BBF">
        <w:rPr>
          <w:rFonts w:cs="Arial"/>
          <w:highlight w:val="yellow"/>
        </w:rPr>
        <w:t xml:space="preserve">Are there technical housing </w:t>
      </w:r>
      <w:r w:rsidR="00E67269" w:rsidRPr="00A14BBF">
        <w:rPr>
          <w:rFonts w:cs="Arial"/>
          <w:highlight w:val="yellow"/>
        </w:rPr>
        <w:t>solutions that allow the housing component of the ISU to accommodate the target populace</w:t>
      </w:r>
      <w:r w:rsidRPr="00A14BBF">
        <w:rPr>
          <w:rFonts w:cs="Arial"/>
          <w:highlight w:val="yellow"/>
        </w:rPr>
        <w:t xml:space="preserve"> and are these solutions affordable within the available funding instruments.</w:t>
      </w:r>
    </w:p>
    <w:p w14:paraId="72E2295F" w14:textId="61E31C57" w:rsidR="00EE4B47" w:rsidRDefault="00EE4B47" w:rsidP="00EE4B47">
      <w:pPr>
        <w:spacing w:line="360" w:lineRule="auto"/>
        <w:ind w:left="488"/>
        <w:rPr>
          <w:rFonts w:cs="Arial"/>
          <w:szCs w:val="22"/>
        </w:rPr>
      </w:pPr>
      <w:r w:rsidRPr="00A14BBF">
        <w:rPr>
          <w:rFonts w:cs="Arial"/>
          <w:szCs w:val="22"/>
          <w:highlight w:val="yellow"/>
        </w:rPr>
        <w:t>Since informal settlements are characterised by their diversity it is necessary to consider each settlement individually in relation to the ability to upgrade the settlement, as well as in relation to the conditions and factors that will influence the propensity of households in that settlement to be able to consolidate their accommodation.</w:t>
      </w:r>
      <w:r w:rsidRPr="007F3D06">
        <w:rPr>
          <w:rFonts w:cs="Arial"/>
          <w:szCs w:val="22"/>
        </w:rPr>
        <w:t xml:space="preserve">   </w:t>
      </w:r>
      <w:r w:rsidR="008E235F">
        <w:rPr>
          <w:rFonts w:cs="Arial"/>
          <w:szCs w:val="22"/>
        </w:rPr>
        <w:t>Annexure C</w:t>
      </w:r>
      <w:r>
        <w:rPr>
          <w:rFonts w:cs="Arial"/>
          <w:szCs w:val="22"/>
        </w:rPr>
        <w:t xml:space="preserve">, which </w:t>
      </w:r>
      <w:r w:rsidRPr="007F3D06">
        <w:rPr>
          <w:rFonts w:cs="Arial"/>
          <w:szCs w:val="22"/>
        </w:rPr>
        <w:t xml:space="preserve">provides profiles of </w:t>
      </w:r>
      <w:r>
        <w:rPr>
          <w:rFonts w:cs="Arial"/>
          <w:szCs w:val="22"/>
        </w:rPr>
        <w:t>seven</w:t>
      </w:r>
      <w:r w:rsidRPr="007F3D06">
        <w:rPr>
          <w:rFonts w:cs="Arial"/>
          <w:szCs w:val="22"/>
        </w:rPr>
        <w:t xml:space="preserve"> informal settlements in South Africa that are (included in NUSP’s project list?) in early stages of being upgraded</w:t>
      </w:r>
      <w:r>
        <w:rPr>
          <w:rFonts w:cs="Arial"/>
          <w:szCs w:val="22"/>
        </w:rPr>
        <w:t xml:space="preserve"> illustrates the range of diversity and demonstrates that the decision about the technical viability of a consolidation mode need to be assessed though a specific analysis of the target settlement.</w:t>
      </w:r>
    </w:p>
    <w:p w14:paraId="695A2442" w14:textId="77777777" w:rsidR="00EE4B47" w:rsidRPr="00D93D5D" w:rsidRDefault="00EE4B47" w:rsidP="00250EA9">
      <w:pPr>
        <w:spacing w:after="0" w:line="360" w:lineRule="auto"/>
        <w:ind w:left="490"/>
        <w:rPr>
          <w:rFonts w:cs="Arial"/>
          <w:szCs w:val="22"/>
        </w:rPr>
      </w:pPr>
      <w:r w:rsidRPr="00D93D5D">
        <w:rPr>
          <w:rFonts w:cs="Arial"/>
          <w:szCs w:val="22"/>
        </w:rPr>
        <w:t xml:space="preserve">In Chapter 5 we will examine the </w:t>
      </w:r>
      <w:r w:rsidRPr="00D93D5D">
        <w:rPr>
          <w:rFonts w:cs="Arial"/>
          <w:b/>
          <w:szCs w:val="22"/>
        </w:rPr>
        <w:t>A = State Led: Top structure consolidation mode</w:t>
      </w:r>
      <w:r w:rsidRPr="00D93D5D">
        <w:rPr>
          <w:rFonts w:cs="Arial"/>
          <w:szCs w:val="22"/>
        </w:rPr>
        <w:t xml:space="preserve"> in more detail and discuss how this mode can be assembled to deliver optimum developmental outcomes.</w:t>
      </w:r>
    </w:p>
    <w:p w14:paraId="5F611B73" w14:textId="1CB31A19" w:rsidR="00B53E36" w:rsidRDefault="00EE4B47" w:rsidP="00B730A0">
      <w:pPr>
        <w:spacing w:after="0" w:line="360" w:lineRule="auto"/>
        <w:ind w:left="490"/>
      </w:pPr>
      <w:r>
        <w:rPr>
          <w:rFonts w:cs="Arial"/>
        </w:rPr>
        <w:t xml:space="preserve">Chapter 6 will explore the </w:t>
      </w:r>
      <w:r w:rsidRPr="00D93D5D">
        <w:rPr>
          <w:rFonts w:cs="Arial"/>
          <w:b/>
        </w:rPr>
        <w:t>B= Blended or co</w:t>
      </w:r>
      <w:r>
        <w:rPr>
          <w:rFonts w:cs="Arial"/>
          <w:b/>
        </w:rPr>
        <w:t xml:space="preserve">- </w:t>
      </w:r>
      <w:r w:rsidRPr="00D93D5D">
        <w:rPr>
          <w:rFonts w:cs="Arial"/>
          <w:b/>
        </w:rPr>
        <w:t xml:space="preserve">production </w:t>
      </w:r>
      <w:r>
        <w:rPr>
          <w:rFonts w:cs="Arial"/>
          <w:b/>
        </w:rPr>
        <w:t xml:space="preserve">consolidation </w:t>
      </w:r>
      <w:r w:rsidRPr="00D93D5D">
        <w:rPr>
          <w:rFonts w:cs="Arial"/>
          <w:b/>
        </w:rPr>
        <w:t>mode</w:t>
      </w:r>
      <w:r>
        <w:rPr>
          <w:rFonts w:cs="Arial"/>
        </w:rPr>
        <w:t xml:space="preserve"> and provide guidance on the design and funding thereof.</w:t>
      </w:r>
    </w:p>
    <w:p w14:paraId="0FD9F3B4" w14:textId="77777777" w:rsidR="009965E5" w:rsidRDefault="009965E5" w:rsidP="00540DD7">
      <w:pPr>
        <w:pStyle w:val="Heading2"/>
        <w:numPr>
          <w:ilvl w:val="0"/>
          <w:numId w:val="0"/>
        </w:numPr>
        <w:ind w:left="360"/>
        <w:sectPr w:rsidR="009965E5">
          <w:pgSz w:w="12240" w:h="15840"/>
          <w:pgMar w:top="1440" w:right="1440" w:bottom="1440" w:left="1440" w:header="720" w:footer="720" w:gutter="0"/>
          <w:cols w:space="720"/>
          <w:docGrid w:linePitch="360"/>
        </w:sectPr>
      </w:pPr>
      <w:bookmarkStart w:id="199" w:name="_Toc261617636"/>
      <w:bookmarkEnd w:id="184"/>
      <w:bookmarkEnd w:id="185"/>
      <w:bookmarkEnd w:id="186"/>
    </w:p>
    <w:p w14:paraId="699C129A" w14:textId="249BE91E" w:rsidR="00141EE5" w:rsidRDefault="00141EE5" w:rsidP="00E67269">
      <w:pPr>
        <w:pStyle w:val="Heading1"/>
      </w:pPr>
      <w:bookmarkStart w:id="200" w:name="_Ref262065724"/>
      <w:bookmarkStart w:id="201" w:name="_Toc262067844"/>
      <w:bookmarkStart w:id="202" w:name="_Toc270946036"/>
      <w:r w:rsidRPr="00BA1D66">
        <w:lastRenderedPageBreak/>
        <w:t xml:space="preserve">The </w:t>
      </w:r>
      <w:r w:rsidR="001F2608" w:rsidRPr="00BA1D66">
        <w:t xml:space="preserve">State </w:t>
      </w:r>
      <w:r w:rsidRPr="00BA1D66">
        <w:t>Subsidy</w:t>
      </w:r>
      <w:r w:rsidR="00C64CEA" w:rsidRPr="00BA1D66">
        <w:t>-</w:t>
      </w:r>
      <w:r w:rsidRPr="00BA1D66">
        <w:t xml:space="preserve">Led </w:t>
      </w:r>
      <w:r w:rsidR="007F3D06" w:rsidRPr="00BA1D66">
        <w:t>A</w:t>
      </w:r>
      <w:r w:rsidRPr="00BA1D66">
        <w:t xml:space="preserve">pproach </w:t>
      </w:r>
      <w:r w:rsidR="00E11477" w:rsidRPr="00BA1D66">
        <w:t xml:space="preserve">to </w:t>
      </w:r>
      <w:r w:rsidR="007F3D06" w:rsidRPr="00BA1D66">
        <w:t>House Consolidation</w:t>
      </w:r>
      <w:r w:rsidR="00E11477" w:rsidRPr="00BA1D66">
        <w:t xml:space="preserve"> </w:t>
      </w:r>
      <w:r w:rsidR="00417BEE" w:rsidRPr="00BA1D66">
        <w:t xml:space="preserve">in </w:t>
      </w:r>
      <w:r w:rsidR="007F3D06" w:rsidRPr="00BA1D66">
        <w:t>I</w:t>
      </w:r>
      <w:r w:rsidR="00417BEE" w:rsidRPr="00BA1D66">
        <w:t>n</w:t>
      </w:r>
      <w:r w:rsidR="007F3D06" w:rsidRPr="00BA1D66">
        <w:t>-S</w:t>
      </w:r>
      <w:r w:rsidR="00417BEE" w:rsidRPr="00BA1D66">
        <w:t>itu Upgrading</w:t>
      </w:r>
      <w:bookmarkEnd w:id="199"/>
      <w:bookmarkEnd w:id="200"/>
      <w:bookmarkEnd w:id="201"/>
      <w:bookmarkEnd w:id="202"/>
      <w:r w:rsidR="00417BEE" w:rsidRPr="00BA1D66">
        <w:t xml:space="preserve"> </w:t>
      </w:r>
    </w:p>
    <w:p w14:paraId="0730D540" w14:textId="77777777" w:rsidR="00EE4B47" w:rsidRPr="00BA1D66" w:rsidRDefault="00EE4B47" w:rsidP="00540DD7">
      <w:pPr>
        <w:pStyle w:val="Heading2"/>
      </w:pPr>
      <w:bookmarkStart w:id="203" w:name="_Toc270946037"/>
      <w:r w:rsidRPr="00BA1D66">
        <w:t xml:space="preserve">The State </w:t>
      </w:r>
      <w:r>
        <w:t>Provided Top Structure L</w:t>
      </w:r>
      <w:r w:rsidRPr="00BA1D66">
        <w:t>ed Approach to House Consolidation in In-Situ Upgrading</w:t>
      </w:r>
      <w:bookmarkEnd w:id="203"/>
      <w:r w:rsidRPr="00BA1D66">
        <w:t xml:space="preserve"> </w:t>
      </w:r>
    </w:p>
    <w:p w14:paraId="7771A428" w14:textId="77777777" w:rsidR="00EE4B47" w:rsidRDefault="00EE4B47" w:rsidP="00250EA9">
      <w:pPr>
        <w:spacing w:after="0"/>
        <w:rPr>
          <w:rFonts w:cs="Arial"/>
          <w:szCs w:val="22"/>
        </w:rPr>
      </w:pPr>
    </w:p>
    <w:p w14:paraId="2EEB467A" w14:textId="77777777" w:rsidR="009A6835" w:rsidRDefault="00EE4B47" w:rsidP="00EE4B47">
      <w:pPr>
        <w:spacing w:line="360" w:lineRule="auto"/>
        <w:rPr>
          <w:rFonts w:cs="Arial"/>
          <w:szCs w:val="22"/>
        </w:rPr>
      </w:pPr>
      <w:r>
        <w:rPr>
          <w:noProof/>
          <w:color w:val="1F497D" w:themeColor="text2"/>
          <w:lang w:val="en-US"/>
        </w:rPr>
        <mc:AlternateContent>
          <mc:Choice Requires="wps">
            <w:drawing>
              <wp:anchor distT="0" distB="0" distL="114300" distR="114300" simplePos="0" relativeHeight="251684864" behindDoc="0" locked="0" layoutInCell="1" allowOverlap="1" wp14:anchorId="2FE1D32F" wp14:editId="71CC5A0A">
                <wp:simplePos x="0" y="0"/>
                <wp:positionH relativeFrom="column">
                  <wp:posOffset>4225925</wp:posOffset>
                </wp:positionH>
                <wp:positionV relativeFrom="paragraph">
                  <wp:posOffset>1448460</wp:posOffset>
                </wp:positionV>
                <wp:extent cx="1448435" cy="3181985"/>
                <wp:effectExtent l="0" t="0" r="18415" b="18415"/>
                <wp:wrapNone/>
                <wp:docPr id="5" name="Oval 5"/>
                <wp:cNvGraphicFramePr/>
                <a:graphic xmlns:a="http://schemas.openxmlformats.org/drawingml/2006/main">
                  <a:graphicData uri="http://schemas.microsoft.com/office/word/2010/wordprocessingShape">
                    <wps:wsp>
                      <wps:cNvSpPr/>
                      <wps:spPr>
                        <a:xfrm>
                          <a:off x="0" y="0"/>
                          <a:ext cx="1448435" cy="3181985"/>
                        </a:xfrm>
                        <a:prstGeom prst="ellipse">
                          <a:avLst/>
                        </a:prstGeom>
                        <a:solidFill>
                          <a:schemeClr val="accent1">
                            <a:alpha val="3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5092594" id="Oval 5" o:spid="_x0000_s1026" style="position:absolute;margin-left:332.75pt;margin-top:114.05pt;width:114.05pt;height:25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" fillcolor="#4f81bd [3204]" strokecolor="#243f60 [1604]" strokeweight="2pt">
                <v:fill opacity="23644f"/>
              </v:oval>
            </w:pict>
          </mc:Fallback>
        </mc:AlternateContent>
      </w:r>
      <w:r w:rsidRPr="000952EA">
        <w:rPr>
          <w:rFonts w:cs="Arial"/>
          <w:szCs w:val="22"/>
        </w:rPr>
        <w:t xml:space="preserve">This chapter focuses on the </w:t>
      </w:r>
      <w:r w:rsidRPr="000952EA">
        <w:rPr>
          <w:rFonts w:cs="Arial"/>
          <w:b/>
          <w:szCs w:val="22"/>
        </w:rPr>
        <w:t xml:space="preserve">state </w:t>
      </w:r>
      <w:r w:rsidR="00E01C9B">
        <w:rPr>
          <w:rFonts w:cs="Arial"/>
          <w:b/>
          <w:szCs w:val="22"/>
        </w:rPr>
        <w:t>subsidized</w:t>
      </w:r>
      <w:r w:rsidRPr="000952EA">
        <w:rPr>
          <w:rFonts w:cs="Arial"/>
          <w:b/>
          <w:szCs w:val="22"/>
        </w:rPr>
        <w:t xml:space="preserve"> top structure dominant mode</w:t>
      </w:r>
      <w:r>
        <w:rPr>
          <w:rFonts w:cs="Arial"/>
          <w:b/>
          <w:szCs w:val="22"/>
        </w:rPr>
        <w:t xml:space="preserve"> of consolidation,</w:t>
      </w:r>
      <w:r w:rsidRPr="000952EA">
        <w:rPr>
          <w:rFonts w:cs="Arial"/>
          <w:szCs w:val="22"/>
        </w:rPr>
        <w:t xml:space="preserve"> </w:t>
      </w:r>
      <w:r>
        <w:rPr>
          <w:rFonts w:cs="Arial"/>
          <w:szCs w:val="22"/>
        </w:rPr>
        <w:t xml:space="preserve">it provides an overview of characteristics of the mode, and discusses a set of preconditions for this mode to be viable in an in situ upgrading context.  It thereafter examines various </w:t>
      </w:r>
      <w:r w:rsidR="001A5F90">
        <w:rPr>
          <w:rFonts w:cs="Arial"/>
          <w:szCs w:val="22"/>
        </w:rPr>
        <w:t>criteria, which need to be applied to the selection between various subsidy-funding programmes,</w:t>
      </w:r>
      <w:r>
        <w:rPr>
          <w:rFonts w:cs="Arial"/>
          <w:szCs w:val="22"/>
        </w:rPr>
        <w:t xml:space="preserve"> and discusses the applicability of the subsidy programmes in different ISU contexts. </w:t>
      </w:r>
    </w:p>
    <w:p w14:paraId="56D0B255" w14:textId="7D4D583F" w:rsidR="009A6835" w:rsidRDefault="009A6835" w:rsidP="00EE4B47">
      <w:pPr>
        <w:spacing w:line="360" w:lineRule="auto"/>
        <w:rPr>
          <w:rFonts w:cs="Arial"/>
          <w:szCs w:val="22"/>
        </w:rPr>
      </w:pPr>
      <w:r w:rsidRPr="009A6835">
        <w:rPr>
          <w:noProof/>
          <w:lang w:val="en-US"/>
        </w:rPr>
        <w:drawing>
          <wp:inline distT="0" distB="0" distL="0" distR="0" wp14:anchorId="3C8FE306" wp14:editId="50128A74">
            <wp:extent cx="5943600" cy="3885353"/>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943600" cy="3885353"/>
                    </a:xfrm>
                    <a:prstGeom prst="rect">
                      <a:avLst/>
                    </a:prstGeom>
                    <a:noFill/>
                    <a:ln>
                      <a:noFill/>
                    </a:ln>
                  </pic:spPr>
                </pic:pic>
              </a:graphicData>
            </a:graphic>
          </wp:inline>
        </w:drawing>
      </w:r>
    </w:p>
    <w:p w14:paraId="49DAED08" w14:textId="50273135" w:rsidR="00EE4B47" w:rsidRDefault="009A6835" w:rsidP="00EE4B47">
      <w:pPr>
        <w:spacing w:line="360" w:lineRule="auto"/>
        <w:rPr>
          <w:b/>
          <w:bCs/>
          <w:szCs w:val="22"/>
        </w:rPr>
      </w:pPr>
      <w:bookmarkStart w:id="204" w:name="_Toc270945520"/>
      <w:bookmarkStart w:id="205" w:name="_Toc261617637"/>
      <w:r w:rsidRPr="008C45F2">
        <w:rPr>
          <w:b/>
        </w:rPr>
        <w:t xml:space="preserve">Figure </w:t>
      </w:r>
      <w:r w:rsidRPr="00220C7D">
        <w:rPr>
          <w:b/>
        </w:rPr>
        <w:fldChar w:fldCharType="begin"/>
      </w:r>
      <w:r w:rsidRPr="00220C7D">
        <w:rPr>
          <w:b/>
        </w:rPr>
        <w:instrText xml:space="preserve"> SEQ Figure \* ARABIC </w:instrText>
      </w:r>
      <w:r w:rsidRPr="00220C7D">
        <w:rPr>
          <w:b/>
        </w:rPr>
        <w:fldChar w:fldCharType="separate"/>
      </w:r>
      <w:r w:rsidR="00E9048A">
        <w:rPr>
          <w:b/>
          <w:noProof/>
        </w:rPr>
        <w:t>17</w:t>
      </w:r>
      <w:r w:rsidRPr="00220C7D">
        <w:rPr>
          <w:b/>
        </w:rPr>
        <w:fldChar w:fldCharType="end"/>
      </w:r>
      <w:r w:rsidRPr="00FE6F97">
        <w:rPr>
          <w:b/>
        </w:rPr>
        <w:t xml:space="preserve">: </w:t>
      </w:r>
      <w:r w:rsidRPr="0014517D">
        <w:rPr>
          <w:b/>
          <w:bCs/>
          <w:szCs w:val="22"/>
        </w:rPr>
        <w:t>House Consolidation in Relation to UISP Conceptual Framework</w:t>
      </w:r>
      <w:bookmarkEnd w:id="204"/>
      <w:r w:rsidR="00EE4B47" w:rsidRPr="00FE6F97">
        <w:rPr>
          <w:b/>
        </w:rPr>
        <w:t xml:space="preserve"> </w:t>
      </w:r>
    </w:p>
    <w:p w14:paraId="1F633F99" w14:textId="77777777" w:rsidR="00C75D69" w:rsidRDefault="00C75D69" w:rsidP="00EE4B47">
      <w:pPr>
        <w:spacing w:line="360" w:lineRule="auto"/>
        <w:rPr>
          <w:b/>
          <w:bCs/>
          <w:szCs w:val="22"/>
        </w:rPr>
      </w:pPr>
    </w:p>
    <w:p w14:paraId="572F524D" w14:textId="77777777" w:rsidR="00C75D69" w:rsidRPr="0014517D" w:rsidRDefault="00C75D69" w:rsidP="00EE4B47">
      <w:pPr>
        <w:spacing w:line="360" w:lineRule="auto"/>
        <w:rPr>
          <w:b/>
          <w:bCs/>
          <w:szCs w:val="22"/>
        </w:rPr>
      </w:pPr>
    </w:p>
    <w:p w14:paraId="6EC4219F" w14:textId="77777777" w:rsidR="00EE4B47" w:rsidRPr="00935947" w:rsidRDefault="00EE4B47" w:rsidP="00540DD7">
      <w:pPr>
        <w:pStyle w:val="Heading2"/>
      </w:pPr>
      <w:bookmarkStart w:id="206" w:name="_Toc262067845"/>
      <w:bookmarkStart w:id="207" w:name="_Toc270946038"/>
      <w:r w:rsidRPr="00935947">
        <w:lastRenderedPageBreak/>
        <w:t>Overview of State Subsidy-Led House Consolidation Approach</w:t>
      </w:r>
      <w:bookmarkEnd w:id="205"/>
      <w:bookmarkEnd w:id="206"/>
      <w:r>
        <w:t xml:space="preserve"> and key feasibility questions</w:t>
      </w:r>
      <w:bookmarkEnd w:id="207"/>
      <w:r>
        <w:t xml:space="preserve"> </w:t>
      </w:r>
    </w:p>
    <w:p w14:paraId="754AC92B" w14:textId="77777777" w:rsidR="00EE4B47" w:rsidRDefault="00EE4B47" w:rsidP="00250EA9">
      <w:pPr>
        <w:spacing w:after="0"/>
        <w:ind w:left="490"/>
        <w:rPr>
          <w:rFonts w:cs="Arial"/>
          <w:szCs w:val="22"/>
        </w:rPr>
      </w:pPr>
      <w:bookmarkStart w:id="208" w:name="_Toc387238524"/>
    </w:p>
    <w:p w14:paraId="511472ED" w14:textId="3D96E13B" w:rsidR="00EE4B47" w:rsidRPr="008E0069" w:rsidRDefault="00EE4B47" w:rsidP="001A5F90">
      <w:pPr>
        <w:spacing w:line="360" w:lineRule="auto"/>
        <w:rPr>
          <w:rFonts w:cs="Arial"/>
          <w:i/>
          <w:szCs w:val="22"/>
        </w:rPr>
      </w:pPr>
      <w:r w:rsidRPr="008E0069">
        <w:rPr>
          <w:rFonts w:cs="Arial"/>
          <w:szCs w:val="22"/>
        </w:rPr>
        <w:t>In essence</w:t>
      </w:r>
      <w:r>
        <w:rPr>
          <w:rFonts w:cs="Arial"/>
          <w:szCs w:val="22"/>
        </w:rPr>
        <w:t>, the</w:t>
      </w:r>
      <w:r w:rsidRPr="008E0069">
        <w:rPr>
          <w:rFonts w:cs="Arial"/>
          <w:szCs w:val="22"/>
        </w:rPr>
        <w:t xml:space="preserve"> state</w:t>
      </w:r>
      <w:r>
        <w:rPr>
          <w:rFonts w:cs="Arial"/>
          <w:szCs w:val="22"/>
        </w:rPr>
        <w:t xml:space="preserve"> top structure dominant mode</w:t>
      </w:r>
      <w:r w:rsidRPr="008E0069">
        <w:rPr>
          <w:rFonts w:cs="Arial"/>
          <w:szCs w:val="22"/>
        </w:rPr>
        <w:t xml:space="preserve"> envisages housing consolidation </w:t>
      </w:r>
      <w:r w:rsidR="008E235F">
        <w:rPr>
          <w:rFonts w:cs="Arial"/>
          <w:szCs w:val="22"/>
        </w:rPr>
        <w:t xml:space="preserve">as </w:t>
      </w:r>
      <w:r w:rsidRPr="008E0069">
        <w:rPr>
          <w:rFonts w:cs="Arial"/>
          <w:szCs w:val="22"/>
        </w:rPr>
        <w:t xml:space="preserve">being the </w:t>
      </w:r>
      <w:r w:rsidRPr="000952EA">
        <w:rPr>
          <w:rFonts w:cs="Arial"/>
          <w:b/>
          <w:szCs w:val="22"/>
        </w:rPr>
        <w:t>replacement or substitution</w:t>
      </w:r>
      <w:r w:rsidRPr="008E0069">
        <w:rPr>
          <w:rFonts w:cs="Arial"/>
          <w:szCs w:val="22"/>
        </w:rPr>
        <w:t xml:space="preserve"> of the </w:t>
      </w:r>
      <w:r>
        <w:rPr>
          <w:rFonts w:cs="Arial"/>
          <w:szCs w:val="22"/>
        </w:rPr>
        <w:t>occupants’ existing</w:t>
      </w:r>
      <w:r w:rsidRPr="008E0069">
        <w:rPr>
          <w:rFonts w:cs="Arial"/>
          <w:szCs w:val="22"/>
        </w:rPr>
        <w:t xml:space="preserve"> informal residential dwellings with </w:t>
      </w:r>
      <w:r>
        <w:rPr>
          <w:rFonts w:cs="Arial"/>
          <w:szCs w:val="22"/>
        </w:rPr>
        <w:t xml:space="preserve">fully </w:t>
      </w:r>
      <w:r w:rsidRPr="008E0069">
        <w:rPr>
          <w:rFonts w:cs="Arial"/>
          <w:szCs w:val="22"/>
        </w:rPr>
        <w:t xml:space="preserve">state </w:t>
      </w:r>
      <w:r w:rsidR="00E01C9B">
        <w:rPr>
          <w:rFonts w:cs="Arial"/>
          <w:szCs w:val="22"/>
        </w:rPr>
        <w:t>subsidized</w:t>
      </w:r>
      <w:r w:rsidRPr="008E0069">
        <w:rPr>
          <w:rFonts w:cs="Arial"/>
          <w:szCs w:val="22"/>
        </w:rPr>
        <w:t xml:space="preserve"> units. Indeed, the UISP code </w:t>
      </w:r>
      <w:r>
        <w:rPr>
          <w:rFonts w:cs="Arial"/>
          <w:szCs w:val="22"/>
        </w:rPr>
        <w:t xml:space="preserve">states </w:t>
      </w:r>
      <w:r w:rsidRPr="008E0069">
        <w:rPr>
          <w:rFonts w:cs="Arial"/>
          <w:szCs w:val="22"/>
        </w:rPr>
        <w:t>that</w:t>
      </w:r>
      <w:r>
        <w:rPr>
          <w:rFonts w:cs="Arial"/>
          <w:szCs w:val="22"/>
        </w:rPr>
        <w:t xml:space="preserve"> </w:t>
      </w:r>
      <w:r w:rsidR="00C75D69">
        <w:rPr>
          <w:rFonts w:cs="Arial"/>
          <w:i/>
          <w:szCs w:val="22"/>
        </w:rPr>
        <w:t>‘</w:t>
      </w:r>
      <w:r w:rsidR="001A5F90">
        <w:rPr>
          <w:rFonts w:cs="Arial"/>
          <w:i/>
          <w:szCs w:val="22"/>
        </w:rPr>
        <w:t>(t)</w:t>
      </w:r>
      <w:r w:rsidRPr="008E0069">
        <w:rPr>
          <w:rFonts w:cs="Arial"/>
          <w:i/>
          <w:szCs w:val="22"/>
        </w:rPr>
        <w:t>he developer must ensure that</w:t>
      </w:r>
      <w:r>
        <w:rPr>
          <w:rFonts w:cs="Arial"/>
          <w:i/>
          <w:szCs w:val="22"/>
        </w:rPr>
        <w:t>… i</w:t>
      </w:r>
      <w:r w:rsidRPr="008E0069">
        <w:rPr>
          <w:rFonts w:cs="Arial"/>
          <w:i/>
          <w:szCs w:val="22"/>
        </w:rPr>
        <w:t>n respect of each formal housing opportunity created and a household is allowed access to, it must demolish the informal structure vacated by the beneficiary household</w:t>
      </w:r>
      <w:r w:rsidR="00C75D69">
        <w:rPr>
          <w:rFonts w:cs="Arial"/>
          <w:i/>
          <w:szCs w:val="22"/>
        </w:rPr>
        <w:t>’</w:t>
      </w:r>
      <w:r w:rsidRPr="008E0069">
        <w:rPr>
          <w:rFonts w:cs="Arial"/>
          <w:i/>
          <w:szCs w:val="22"/>
        </w:rPr>
        <w:t xml:space="preserve">. </w:t>
      </w:r>
      <w:r w:rsidRPr="00250EA9">
        <w:rPr>
          <w:rFonts w:cs="Arial"/>
          <w:szCs w:val="22"/>
        </w:rPr>
        <w:t>(</w:t>
      </w:r>
      <w:r w:rsidR="00C75D69" w:rsidRPr="00250EA9">
        <w:rPr>
          <w:rFonts w:cs="Arial"/>
          <w:szCs w:val="22"/>
        </w:rPr>
        <w:t xml:space="preserve">Housing </w:t>
      </w:r>
      <w:r w:rsidRPr="00250EA9">
        <w:rPr>
          <w:rFonts w:cs="Arial"/>
          <w:szCs w:val="22"/>
        </w:rPr>
        <w:t xml:space="preserve">Code, </w:t>
      </w:r>
      <w:r w:rsidR="00C75D69" w:rsidRPr="00250EA9">
        <w:rPr>
          <w:rFonts w:cs="Arial"/>
          <w:szCs w:val="22"/>
        </w:rPr>
        <w:t>2009,</w:t>
      </w:r>
      <w:r w:rsidR="00C75D69">
        <w:rPr>
          <w:rFonts w:cs="Arial"/>
          <w:szCs w:val="22"/>
        </w:rPr>
        <w:t xml:space="preserve"> </w:t>
      </w:r>
      <w:r w:rsidRPr="00250EA9">
        <w:rPr>
          <w:rFonts w:cs="Arial"/>
          <w:szCs w:val="22"/>
        </w:rPr>
        <w:t>p69)</w:t>
      </w:r>
      <w:r>
        <w:rPr>
          <w:rFonts w:cs="Arial"/>
          <w:i/>
          <w:szCs w:val="22"/>
        </w:rPr>
        <w:t xml:space="preserve"> </w:t>
      </w:r>
    </w:p>
    <w:p w14:paraId="1889D520" w14:textId="77777777" w:rsidR="00EE4B47" w:rsidRPr="008106A0" w:rsidRDefault="00EE4B47" w:rsidP="001A5F90">
      <w:pPr>
        <w:spacing w:line="360" w:lineRule="auto"/>
        <w:rPr>
          <w:rFonts w:cs="Arial"/>
          <w:szCs w:val="22"/>
        </w:rPr>
      </w:pPr>
      <w:r w:rsidRPr="008106A0">
        <w:rPr>
          <w:rFonts w:cs="Arial"/>
          <w:szCs w:val="22"/>
        </w:rPr>
        <w:t>The envisaged top structure development sequence envisaged in this development mode is essentially as follows:</w:t>
      </w:r>
    </w:p>
    <w:p w14:paraId="7AC1FD18" w14:textId="77777777" w:rsidR="00EE4B47" w:rsidRPr="008F10EE" w:rsidRDefault="00EE4B47" w:rsidP="0055634E">
      <w:pPr>
        <w:pStyle w:val="ListParagraph"/>
        <w:numPr>
          <w:ilvl w:val="0"/>
          <w:numId w:val="19"/>
        </w:numPr>
        <w:ind w:left="720" w:hanging="360"/>
        <w:rPr>
          <w:rFonts w:cs="Arial"/>
        </w:rPr>
      </w:pPr>
      <w:r w:rsidRPr="008F10EE">
        <w:rPr>
          <w:rFonts w:cs="Arial"/>
        </w:rPr>
        <w:t xml:space="preserve">Individual/household investment in the initial informal unit- </w:t>
      </w:r>
      <w:r w:rsidRPr="008106A0">
        <w:sym w:font="Wingdings" w:char="F0E0"/>
      </w:r>
      <w:r w:rsidRPr="008F10EE">
        <w:rPr>
          <w:rFonts w:cs="Arial"/>
        </w:rPr>
        <w:t xml:space="preserve"> </w:t>
      </w:r>
    </w:p>
    <w:p w14:paraId="7F178511" w14:textId="77777777" w:rsidR="00EE4B47" w:rsidRDefault="00EE4B47" w:rsidP="0055634E">
      <w:pPr>
        <w:pStyle w:val="ListParagraph"/>
        <w:numPr>
          <w:ilvl w:val="0"/>
          <w:numId w:val="19"/>
        </w:numPr>
        <w:ind w:left="720" w:hanging="360"/>
        <w:rPr>
          <w:rFonts w:cs="Arial"/>
        </w:rPr>
      </w:pPr>
      <w:r>
        <w:rPr>
          <w:rFonts w:cs="Arial"/>
        </w:rPr>
        <w:t>S</w:t>
      </w:r>
      <w:r w:rsidRPr="008F10EE">
        <w:rPr>
          <w:rFonts w:cs="Arial"/>
        </w:rPr>
        <w:t>ite demarcation, servicing and tenure formalisation under the UISP</w:t>
      </w:r>
      <w:r w:rsidRPr="008106A0">
        <w:sym w:font="Wingdings" w:char="F0E0"/>
      </w:r>
      <w:r w:rsidRPr="008F10EE">
        <w:rPr>
          <w:rFonts w:cs="Arial"/>
        </w:rPr>
        <w:t xml:space="preserve"> </w:t>
      </w:r>
    </w:p>
    <w:p w14:paraId="4458C70D" w14:textId="77777777" w:rsidR="00EE4B47" w:rsidRDefault="00EE4B47" w:rsidP="0055634E">
      <w:pPr>
        <w:pStyle w:val="ListParagraph"/>
        <w:numPr>
          <w:ilvl w:val="0"/>
          <w:numId w:val="19"/>
        </w:numPr>
        <w:ind w:left="720" w:hanging="360"/>
        <w:rPr>
          <w:rFonts w:cs="Arial"/>
        </w:rPr>
      </w:pPr>
      <w:r>
        <w:rPr>
          <w:rFonts w:cs="Arial"/>
        </w:rPr>
        <w:t>F</w:t>
      </w:r>
      <w:r w:rsidRPr="008F10EE">
        <w:rPr>
          <w:rFonts w:cs="Arial"/>
        </w:rPr>
        <w:t>ormal state funded 40m2 residential unit construction</w:t>
      </w:r>
      <w:r>
        <w:rPr>
          <w:rFonts w:cs="Arial"/>
        </w:rPr>
        <w:t>/</w:t>
      </w:r>
      <w:r w:rsidRPr="008F10EE">
        <w:rPr>
          <w:rFonts w:cs="Arial"/>
        </w:rPr>
        <w:t xml:space="preserve"> </w:t>
      </w:r>
      <w:r>
        <w:rPr>
          <w:rFonts w:cs="Arial"/>
        </w:rPr>
        <w:t xml:space="preserve">shack demolition of the </w:t>
      </w:r>
      <w:r w:rsidRPr="008F10EE">
        <w:rPr>
          <w:rFonts w:cs="Arial"/>
        </w:rPr>
        <w:t xml:space="preserve">initial informal unit- </w:t>
      </w:r>
      <w:r w:rsidRPr="008106A0">
        <w:sym w:font="Wingdings" w:char="F0E0"/>
      </w:r>
    </w:p>
    <w:p w14:paraId="1CD90A87" w14:textId="77777777" w:rsidR="00EE4B47" w:rsidRPr="008F10EE" w:rsidRDefault="00EE4B47" w:rsidP="0055634E">
      <w:pPr>
        <w:pStyle w:val="ListParagraph"/>
        <w:numPr>
          <w:ilvl w:val="0"/>
          <w:numId w:val="19"/>
        </w:numPr>
        <w:ind w:left="720" w:hanging="360"/>
        <w:rPr>
          <w:rFonts w:cs="Arial"/>
        </w:rPr>
      </w:pPr>
      <w:r>
        <w:rPr>
          <w:rFonts w:cs="Arial"/>
        </w:rPr>
        <w:t xml:space="preserve">House / </w:t>
      </w:r>
      <w:r w:rsidRPr="008F10EE">
        <w:rPr>
          <w:rFonts w:cs="Arial"/>
        </w:rPr>
        <w:t>unit enhancement /expansion through private initiative and funding.</w:t>
      </w:r>
    </w:p>
    <w:p w14:paraId="4D75977D" w14:textId="31FE72C7" w:rsidR="00EE4B47" w:rsidRPr="008106A0" w:rsidRDefault="00EE4B47" w:rsidP="00250EA9">
      <w:pPr>
        <w:spacing w:line="360" w:lineRule="auto"/>
        <w:rPr>
          <w:rFonts w:cs="Arial"/>
          <w:szCs w:val="22"/>
        </w:rPr>
      </w:pPr>
      <w:r>
        <w:rPr>
          <w:rFonts w:cs="Arial"/>
          <w:szCs w:val="22"/>
        </w:rPr>
        <w:t xml:space="preserve">In order for this consolidation mode to be feasible four preconditions need to be </w:t>
      </w:r>
      <w:r w:rsidR="00C75D69">
        <w:rPr>
          <w:rFonts w:cs="Arial"/>
          <w:szCs w:val="22"/>
        </w:rPr>
        <w:t>in place</w:t>
      </w:r>
      <w:r>
        <w:rPr>
          <w:rFonts w:cs="Arial"/>
          <w:szCs w:val="22"/>
        </w:rPr>
        <w:t>.</w:t>
      </w:r>
    </w:p>
    <w:p w14:paraId="334163F6" w14:textId="146FC352" w:rsidR="00EE4B47" w:rsidRDefault="00EE4B47" w:rsidP="00487A94">
      <w:pPr>
        <w:pStyle w:val="Heading3"/>
      </w:pPr>
      <w:bookmarkStart w:id="209" w:name="_Toc262067846"/>
      <w:bookmarkStart w:id="210" w:name="_Toc262068172"/>
      <w:r>
        <w:t xml:space="preserve">The availability of the required top structure subsidies at the point at which the project is able to access </w:t>
      </w:r>
      <w:bookmarkEnd w:id="209"/>
      <w:bookmarkEnd w:id="210"/>
      <w:r>
        <w:t>and utilise them</w:t>
      </w:r>
    </w:p>
    <w:p w14:paraId="3EB9190E" w14:textId="30711C63" w:rsidR="00EE4B47" w:rsidRDefault="00EE4B47" w:rsidP="00C75D69">
      <w:pPr>
        <w:spacing w:line="360" w:lineRule="auto"/>
        <w:rPr>
          <w:rFonts w:cs="Arial"/>
          <w:szCs w:val="22"/>
        </w:rPr>
      </w:pPr>
      <w:r>
        <w:rPr>
          <w:rFonts w:cs="Arial"/>
          <w:szCs w:val="22"/>
        </w:rPr>
        <w:t xml:space="preserve">A key consideration is the availability of the top structure subsidies needed.  We noted in </w:t>
      </w:r>
      <w:r w:rsidR="00C75D69">
        <w:rPr>
          <w:rFonts w:cs="Arial"/>
          <w:szCs w:val="22"/>
        </w:rPr>
        <w:t>C</w:t>
      </w:r>
      <w:r>
        <w:rPr>
          <w:rFonts w:cs="Arial"/>
          <w:szCs w:val="22"/>
        </w:rPr>
        <w:t>hapter 4 that a precondition for the allocation of top structure subsidies is township proclamation, and the associated registration of ownership. In some projects this could take a considerable amount of time, hence an assessment needs to be made about subsidy availability after the anticipated proclamation date.</w:t>
      </w:r>
      <w:r w:rsidR="00C75D69">
        <w:rPr>
          <w:rFonts w:cs="Arial"/>
          <w:szCs w:val="22"/>
        </w:rPr>
        <w:t xml:space="preserve"> </w:t>
      </w:r>
      <w:r>
        <w:rPr>
          <w:rFonts w:cs="Arial"/>
          <w:szCs w:val="22"/>
        </w:rPr>
        <w:t>(This will seldom be less than 3 years from project initiation and often considerably more)</w:t>
      </w:r>
      <w:r w:rsidR="00C75D69">
        <w:rPr>
          <w:rFonts w:cs="Arial"/>
          <w:szCs w:val="22"/>
        </w:rPr>
        <w:t>.</w:t>
      </w:r>
      <w:r>
        <w:rPr>
          <w:rFonts w:cs="Arial"/>
          <w:szCs w:val="22"/>
        </w:rPr>
        <w:t xml:space="preserve"> If certainty on top subsidy availability cannot be secured the adoption of the blended mode examined in Chapter 6 may be the more flexible and appropriate </w:t>
      </w:r>
      <w:r w:rsidR="00C75D69">
        <w:rPr>
          <w:rFonts w:cs="Arial"/>
          <w:szCs w:val="22"/>
        </w:rPr>
        <w:t>option</w:t>
      </w:r>
      <w:r>
        <w:rPr>
          <w:rFonts w:cs="Arial"/>
          <w:szCs w:val="22"/>
        </w:rPr>
        <w:t xml:space="preserve">. </w:t>
      </w:r>
    </w:p>
    <w:p w14:paraId="5E030BAB" w14:textId="77777777" w:rsidR="00EE4B47" w:rsidRPr="008F10EE" w:rsidRDefault="00EE4B47" w:rsidP="00487A94">
      <w:pPr>
        <w:pStyle w:val="Heading3"/>
      </w:pPr>
      <w:bookmarkStart w:id="211" w:name="_Toc262067847"/>
      <w:bookmarkStart w:id="212" w:name="_Toc262068173"/>
      <w:r>
        <w:t xml:space="preserve">Ability to achieve </w:t>
      </w:r>
      <w:r w:rsidRPr="008F10EE">
        <w:t xml:space="preserve">the </w:t>
      </w:r>
      <w:r>
        <w:t>technical preconditions required for by the top subsidy programmes</w:t>
      </w:r>
      <w:bookmarkEnd w:id="211"/>
      <w:bookmarkEnd w:id="212"/>
      <w:r>
        <w:t>.</w:t>
      </w:r>
      <w:r w:rsidRPr="008F10EE">
        <w:t xml:space="preserve"> </w:t>
      </w:r>
    </w:p>
    <w:p w14:paraId="35E39A4E" w14:textId="7E5AD56E" w:rsidR="00EE4B47" w:rsidRPr="008E0069" w:rsidRDefault="00EE4B47" w:rsidP="00250EA9">
      <w:pPr>
        <w:spacing w:line="360" w:lineRule="auto"/>
        <w:rPr>
          <w:rFonts w:cs="Arial"/>
          <w:szCs w:val="22"/>
        </w:rPr>
      </w:pPr>
      <w:r w:rsidRPr="008E0069">
        <w:rPr>
          <w:rFonts w:cs="Arial"/>
          <w:szCs w:val="22"/>
        </w:rPr>
        <w:t>The UISP require</w:t>
      </w:r>
      <w:r>
        <w:rPr>
          <w:rFonts w:cs="Arial"/>
          <w:szCs w:val="22"/>
        </w:rPr>
        <w:t xml:space="preserve">s </w:t>
      </w:r>
      <w:r w:rsidRPr="008E0069">
        <w:rPr>
          <w:rFonts w:cs="Arial"/>
          <w:szCs w:val="22"/>
        </w:rPr>
        <w:t xml:space="preserve">that certain preconditions are set in place irrespective of which </w:t>
      </w:r>
      <w:r>
        <w:rPr>
          <w:rFonts w:cs="Arial"/>
          <w:szCs w:val="22"/>
        </w:rPr>
        <w:t xml:space="preserve">top structure </w:t>
      </w:r>
      <w:r w:rsidRPr="008E0069">
        <w:rPr>
          <w:rFonts w:cs="Arial"/>
          <w:szCs w:val="22"/>
        </w:rPr>
        <w:t xml:space="preserve">subsidy </w:t>
      </w:r>
      <w:r>
        <w:rPr>
          <w:rFonts w:cs="Arial"/>
          <w:szCs w:val="22"/>
        </w:rPr>
        <w:t xml:space="preserve">programme </w:t>
      </w:r>
      <w:r w:rsidRPr="008E0069">
        <w:rPr>
          <w:rFonts w:cs="Arial"/>
          <w:szCs w:val="22"/>
        </w:rPr>
        <w:t xml:space="preserve">is </w:t>
      </w:r>
      <w:r>
        <w:rPr>
          <w:rFonts w:cs="Arial"/>
          <w:szCs w:val="22"/>
        </w:rPr>
        <w:t xml:space="preserve">used. </w:t>
      </w:r>
      <w:r w:rsidRPr="008E0069">
        <w:rPr>
          <w:rFonts w:cs="Arial"/>
          <w:szCs w:val="22"/>
        </w:rPr>
        <w:t>These preconditions can be summarised as follows:</w:t>
      </w:r>
    </w:p>
    <w:p w14:paraId="77A36D7C" w14:textId="7DBAEA7F" w:rsidR="00EE4B47" w:rsidRPr="00F65276" w:rsidRDefault="00EE4B47" w:rsidP="0055634E">
      <w:pPr>
        <w:pStyle w:val="ListParagraph"/>
        <w:numPr>
          <w:ilvl w:val="0"/>
          <w:numId w:val="16"/>
        </w:numPr>
        <w:ind w:left="720"/>
        <w:rPr>
          <w:rFonts w:cs="Arial"/>
          <w:i/>
        </w:rPr>
      </w:pPr>
      <w:r w:rsidRPr="008E0069">
        <w:rPr>
          <w:rFonts w:cs="Arial"/>
          <w:b/>
        </w:rPr>
        <w:lastRenderedPageBreak/>
        <w:t xml:space="preserve">Township </w:t>
      </w:r>
      <w:r>
        <w:rPr>
          <w:rFonts w:cs="Arial"/>
          <w:b/>
        </w:rPr>
        <w:t>E</w:t>
      </w:r>
      <w:r w:rsidRPr="008E0069">
        <w:rPr>
          <w:rFonts w:cs="Arial"/>
          <w:b/>
        </w:rPr>
        <w:t>stablishment</w:t>
      </w:r>
      <w:r>
        <w:rPr>
          <w:rFonts w:cs="Arial"/>
          <w:b/>
        </w:rPr>
        <w:t xml:space="preserve">: </w:t>
      </w:r>
      <w:r w:rsidRPr="00F65276">
        <w:rPr>
          <w:rFonts w:cs="Arial"/>
        </w:rPr>
        <w:t>The Code states that</w:t>
      </w:r>
      <w:r>
        <w:rPr>
          <w:rFonts w:cs="Arial"/>
          <w:b/>
        </w:rPr>
        <w:t xml:space="preserve"> </w:t>
      </w:r>
      <w:r w:rsidR="00402496">
        <w:rPr>
          <w:rFonts w:cs="Arial"/>
          <w:i/>
        </w:rPr>
        <w:t>‘</w:t>
      </w:r>
      <w:r w:rsidRPr="00F65276">
        <w:rPr>
          <w:rFonts w:cs="Arial"/>
          <w:i/>
        </w:rPr>
        <w:t>At least the following should be achieved:</w:t>
      </w:r>
    </w:p>
    <w:p w14:paraId="53AC355E" w14:textId="77777777" w:rsidR="00EE4B47" w:rsidRPr="00F65276" w:rsidRDefault="00EE4B47" w:rsidP="0055634E">
      <w:pPr>
        <w:pStyle w:val="ListParagraph"/>
        <w:numPr>
          <w:ilvl w:val="1"/>
          <w:numId w:val="16"/>
        </w:numPr>
        <w:ind w:left="1080"/>
        <w:rPr>
          <w:rFonts w:cs="Arial"/>
          <w:i/>
        </w:rPr>
      </w:pPr>
      <w:r w:rsidRPr="00F65276">
        <w:rPr>
          <w:rFonts w:cs="Arial"/>
          <w:i/>
        </w:rPr>
        <w:t>Approval of the general plan of the settlement</w:t>
      </w:r>
    </w:p>
    <w:p w14:paraId="108832A4" w14:textId="77777777" w:rsidR="00EE4B47" w:rsidRPr="00F65276" w:rsidRDefault="00EE4B47" w:rsidP="0055634E">
      <w:pPr>
        <w:pStyle w:val="ListParagraph"/>
        <w:numPr>
          <w:ilvl w:val="1"/>
          <w:numId w:val="16"/>
        </w:numPr>
        <w:ind w:left="1080"/>
        <w:rPr>
          <w:rFonts w:cs="Arial"/>
          <w:i/>
        </w:rPr>
      </w:pPr>
      <w:r w:rsidRPr="00F65276">
        <w:rPr>
          <w:rFonts w:cs="Arial"/>
          <w:i/>
        </w:rPr>
        <w:t>The surveying and pegging of the stands</w:t>
      </w:r>
    </w:p>
    <w:p w14:paraId="540B68BC" w14:textId="77777777" w:rsidR="00EE4B47" w:rsidRPr="00F65276" w:rsidRDefault="00EE4B47" w:rsidP="0055634E">
      <w:pPr>
        <w:pStyle w:val="ListParagraph"/>
        <w:numPr>
          <w:ilvl w:val="1"/>
          <w:numId w:val="16"/>
        </w:numPr>
        <w:ind w:left="1080"/>
        <w:rPr>
          <w:rFonts w:cs="Arial"/>
          <w:i/>
        </w:rPr>
      </w:pPr>
      <w:r w:rsidRPr="00F65276">
        <w:rPr>
          <w:rFonts w:cs="Arial"/>
          <w:i/>
        </w:rPr>
        <w:t>The approval of the design and standards of engineering services by the municipality</w:t>
      </w:r>
    </w:p>
    <w:p w14:paraId="54BDE61D" w14:textId="06C30EFD" w:rsidR="00EE4B47" w:rsidRPr="00F65276" w:rsidRDefault="00EE4B47" w:rsidP="0055634E">
      <w:pPr>
        <w:pStyle w:val="ListParagraph"/>
        <w:numPr>
          <w:ilvl w:val="1"/>
          <w:numId w:val="16"/>
        </w:numPr>
        <w:ind w:left="1080"/>
        <w:rPr>
          <w:rFonts w:cs="Arial"/>
          <w:i/>
        </w:rPr>
      </w:pPr>
      <w:r w:rsidRPr="00F65276">
        <w:rPr>
          <w:rFonts w:cs="Arial"/>
          <w:i/>
        </w:rPr>
        <w:t>The proclamation of the township</w:t>
      </w:r>
      <w:r w:rsidR="00402496">
        <w:rPr>
          <w:rFonts w:cs="Arial"/>
          <w:i/>
        </w:rPr>
        <w:t>’</w:t>
      </w:r>
      <w:r w:rsidRPr="00F65276">
        <w:rPr>
          <w:rFonts w:cs="Arial"/>
          <w:i/>
        </w:rPr>
        <w:t>.</w:t>
      </w:r>
    </w:p>
    <w:p w14:paraId="1431BD01" w14:textId="08589E40" w:rsidR="00EE4B47" w:rsidRPr="00F65276" w:rsidRDefault="00EE4B47" w:rsidP="0055634E">
      <w:pPr>
        <w:pStyle w:val="ListParagraph"/>
        <w:numPr>
          <w:ilvl w:val="0"/>
          <w:numId w:val="16"/>
        </w:numPr>
        <w:ind w:left="720" w:hanging="270"/>
        <w:rPr>
          <w:rFonts w:cs="Arial"/>
        </w:rPr>
      </w:pPr>
      <w:r>
        <w:rPr>
          <w:rFonts w:cs="Arial"/>
          <w:b/>
        </w:rPr>
        <w:t>Formal R</w:t>
      </w:r>
      <w:r w:rsidRPr="008E0069">
        <w:rPr>
          <w:rFonts w:cs="Arial"/>
          <w:b/>
        </w:rPr>
        <w:t xml:space="preserve">egistration of </w:t>
      </w:r>
      <w:r>
        <w:rPr>
          <w:rFonts w:cs="Arial"/>
          <w:b/>
        </w:rPr>
        <w:t>O</w:t>
      </w:r>
      <w:r w:rsidRPr="008E0069">
        <w:rPr>
          <w:rFonts w:cs="Arial"/>
          <w:b/>
        </w:rPr>
        <w:t>wnership</w:t>
      </w:r>
      <w:r>
        <w:rPr>
          <w:rFonts w:cs="Arial"/>
          <w:b/>
        </w:rPr>
        <w:t xml:space="preserve">: </w:t>
      </w:r>
      <w:r w:rsidRPr="00F65276">
        <w:rPr>
          <w:rFonts w:cs="Arial"/>
          <w:b/>
        </w:rPr>
        <w:t xml:space="preserve"> </w:t>
      </w:r>
      <w:r w:rsidRPr="00F65276">
        <w:rPr>
          <w:rFonts w:cs="Arial"/>
        </w:rPr>
        <w:t>Generally, subsidies should be made available only to beneficiaries who acquire registered title to a property either in the form of ownership, leasehold, 99 year leasehold, or a deed of grant</w:t>
      </w:r>
      <w:r>
        <w:rPr>
          <w:rFonts w:cs="Arial"/>
        </w:rPr>
        <w:t xml:space="preserve"> (</w:t>
      </w:r>
      <w:r w:rsidR="00402496">
        <w:rPr>
          <w:rFonts w:cs="Arial"/>
        </w:rPr>
        <w:t xml:space="preserve">Housing </w:t>
      </w:r>
      <w:r>
        <w:rPr>
          <w:rFonts w:cs="Arial"/>
        </w:rPr>
        <w:t xml:space="preserve">Code, </w:t>
      </w:r>
      <w:r w:rsidR="00402496">
        <w:rPr>
          <w:rFonts w:cs="Arial"/>
        </w:rPr>
        <w:t xml:space="preserve">2009, </w:t>
      </w:r>
      <w:r>
        <w:rPr>
          <w:rFonts w:cs="Arial"/>
        </w:rPr>
        <w:t>p</w:t>
      </w:r>
      <w:r w:rsidRPr="00F65276">
        <w:rPr>
          <w:rFonts w:cs="Arial"/>
        </w:rPr>
        <w:t>29</w:t>
      </w:r>
      <w:r>
        <w:rPr>
          <w:rFonts w:cs="Arial"/>
        </w:rPr>
        <w:t>)</w:t>
      </w:r>
    </w:p>
    <w:p w14:paraId="532C9A5E" w14:textId="77777777" w:rsidR="00EE4B47" w:rsidRDefault="00EE4B47" w:rsidP="00250EA9">
      <w:pPr>
        <w:spacing w:line="360" w:lineRule="auto"/>
        <w:rPr>
          <w:rFonts w:cs="Arial"/>
          <w:szCs w:val="22"/>
        </w:rPr>
      </w:pPr>
      <w:r w:rsidRPr="001208FB">
        <w:rPr>
          <w:rFonts w:cs="Arial"/>
          <w:szCs w:val="22"/>
        </w:rPr>
        <w:t xml:space="preserve">The feasibility of being able to achieve the requirements for township proclamation </w:t>
      </w:r>
      <w:r>
        <w:rPr>
          <w:rFonts w:cs="Arial"/>
          <w:szCs w:val="22"/>
        </w:rPr>
        <w:t>and registration of tenure rights within a reasonable time period needs to be carefully assessed against questions such as:</w:t>
      </w:r>
    </w:p>
    <w:p w14:paraId="712ADB2B" w14:textId="77777777" w:rsidR="00EE4B47" w:rsidRDefault="00EE4B47" w:rsidP="0055634E">
      <w:pPr>
        <w:pStyle w:val="ListParagraph"/>
        <w:numPr>
          <w:ilvl w:val="0"/>
          <w:numId w:val="18"/>
        </w:numPr>
        <w:rPr>
          <w:rFonts w:cs="Arial"/>
        </w:rPr>
      </w:pPr>
      <w:r>
        <w:rPr>
          <w:rFonts w:cs="Arial"/>
        </w:rPr>
        <w:t xml:space="preserve">Will the municipality’s services certificate be able to be issued at an early stage or will the servicing standards applied in the upgrade require amendments to the current municipal standards? </w:t>
      </w:r>
    </w:p>
    <w:p w14:paraId="1426E45B" w14:textId="77777777" w:rsidR="00EE4B47" w:rsidRDefault="00EE4B47" w:rsidP="0055634E">
      <w:pPr>
        <w:pStyle w:val="ListParagraph"/>
        <w:numPr>
          <w:ilvl w:val="0"/>
          <w:numId w:val="18"/>
        </w:numPr>
        <w:rPr>
          <w:rFonts w:cs="Arial"/>
        </w:rPr>
      </w:pPr>
      <w:r>
        <w:rPr>
          <w:rFonts w:cs="Arial"/>
        </w:rPr>
        <w:t>Can the town planning standards associated with the upgrade be incorporated within municipal systems in the short term?</w:t>
      </w:r>
    </w:p>
    <w:p w14:paraId="3313218B" w14:textId="77777777" w:rsidR="00EE4B47" w:rsidRDefault="00EE4B47" w:rsidP="00250EA9">
      <w:pPr>
        <w:spacing w:line="360" w:lineRule="auto"/>
        <w:rPr>
          <w:rFonts w:cs="Arial"/>
          <w:szCs w:val="22"/>
        </w:rPr>
      </w:pPr>
      <w:r>
        <w:rPr>
          <w:rFonts w:cs="Arial"/>
          <w:szCs w:val="22"/>
        </w:rPr>
        <w:t>Critically too, i</w:t>
      </w:r>
      <w:r w:rsidRPr="00B90C3D">
        <w:rPr>
          <w:rFonts w:cs="Arial"/>
          <w:szCs w:val="22"/>
        </w:rPr>
        <w:t>n higher density contexts requiring multi</w:t>
      </w:r>
      <w:r>
        <w:rPr>
          <w:rFonts w:cs="Arial"/>
          <w:szCs w:val="22"/>
        </w:rPr>
        <w:t>-</w:t>
      </w:r>
      <w:r w:rsidRPr="00B90C3D">
        <w:rPr>
          <w:rFonts w:cs="Arial"/>
          <w:szCs w:val="22"/>
        </w:rPr>
        <w:t>storey units</w:t>
      </w:r>
      <w:r>
        <w:rPr>
          <w:rFonts w:cs="Arial"/>
          <w:szCs w:val="22"/>
        </w:rPr>
        <w:t xml:space="preserve"> and </w:t>
      </w:r>
      <w:r w:rsidRPr="00B90C3D">
        <w:rPr>
          <w:rFonts w:cs="Arial"/>
          <w:szCs w:val="22"/>
        </w:rPr>
        <w:t>where vertical separation of the ownership units</w:t>
      </w:r>
      <w:r>
        <w:rPr>
          <w:rFonts w:cs="Arial"/>
          <w:szCs w:val="22"/>
        </w:rPr>
        <w:t xml:space="preserve"> is required, </w:t>
      </w:r>
      <w:r w:rsidRPr="00B90C3D">
        <w:rPr>
          <w:rFonts w:cs="Arial"/>
          <w:szCs w:val="22"/>
        </w:rPr>
        <w:t>the registration of ownership requirement</w:t>
      </w:r>
      <w:r>
        <w:rPr>
          <w:rFonts w:cs="Arial"/>
          <w:szCs w:val="22"/>
        </w:rPr>
        <w:t>s is fundamentally different. This i</w:t>
      </w:r>
      <w:r w:rsidRPr="00B90C3D">
        <w:rPr>
          <w:rFonts w:cs="Arial"/>
          <w:szCs w:val="22"/>
        </w:rPr>
        <w:t xml:space="preserve">s currently a major feasibility constraint. </w:t>
      </w:r>
    </w:p>
    <w:p w14:paraId="7FFAAAF5" w14:textId="77777777" w:rsidR="00EE4B47" w:rsidRDefault="00EE4B47" w:rsidP="00487A94">
      <w:pPr>
        <w:pStyle w:val="Heading3"/>
      </w:pPr>
      <w:bookmarkStart w:id="213" w:name="_Toc262067848"/>
      <w:bookmarkStart w:id="214" w:name="_Toc262068174"/>
      <w:r>
        <w:t>Ability to maintain sufficient levels of social cohesion within the settlement</w:t>
      </w:r>
      <w:bookmarkEnd w:id="213"/>
      <w:bookmarkEnd w:id="214"/>
    </w:p>
    <w:p w14:paraId="4E7D748F" w14:textId="0422B557" w:rsidR="00EE4B47" w:rsidRDefault="00EE4B47" w:rsidP="00250EA9">
      <w:pPr>
        <w:spacing w:after="0" w:line="360" w:lineRule="auto"/>
        <w:rPr>
          <w:rFonts w:cs="Arial"/>
          <w:szCs w:val="22"/>
        </w:rPr>
      </w:pPr>
      <w:r w:rsidRPr="00F654D4">
        <w:rPr>
          <w:rFonts w:cs="Arial"/>
          <w:szCs w:val="22"/>
        </w:rPr>
        <w:t xml:space="preserve">In Chapter </w:t>
      </w:r>
      <w:r>
        <w:rPr>
          <w:rFonts w:cs="Arial"/>
          <w:szCs w:val="22"/>
        </w:rPr>
        <w:t xml:space="preserve">4 </w:t>
      </w:r>
      <w:r w:rsidRPr="00F654D4">
        <w:rPr>
          <w:rFonts w:cs="Arial"/>
          <w:szCs w:val="22"/>
        </w:rPr>
        <w:t xml:space="preserve">we noted that the UISP establishes permissive qualification criteria for accessing site occupation rights and services but that a </w:t>
      </w:r>
      <w:r>
        <w:rPr>
          <w:rFonts w:cs="Arial"/>
          <w:szCs w:val="22"/>
        </w:rPr>
        <w:t xml:space="preserve">much </w:t>
      </w:r>
      <w:r w:rsidRPr="00F654D4">
        <w:rPr>
          <w:rFonts w:cs="Arial"/>
          <w:szCs w:val="22"/>
        </w:rPr>
        <w:t xml:space="preserve">more restrictive set of criteria apply to eligibility for a </w:t>
      </w:r>
      <w:r>
        <w:rPr>
          <w:rFonts w:cs="Arial"/>
          <w:szCs w:val="22"/>
        </w:rPr>
        <w:t xml:space="preserve">top structure </w:t>
      </w:r>
      <w:r w:rsidRPr="00F654D4">
        <w:rPr>
          <w:rFonts w:cs="Arial"/>
          <w:szCs w:val="22"/>
        </w:rPr>
        <w:t>subsidy</w:t>
      </w:r>
      <w:r>
        <w:rPr>
          <w:rFonts w:cs="Arial"/>
          <w:szCs w:val="22"/>
        </w:rPr>
        <w:t>. This implies that h</w:t>
      </w:r>
      <w:r w:rsidRPr="00F654D4">
        <w:rPr>
          <w:rFonts w:cs="Arial"/>
          <w:szCs w:val="22"/>
        </w:rPr>
        <w:t>ouseholds that are unable to qualify for the top structure subsidy will effectively be left to their own devices for housing consolidation</w:t>
      </w:r>
      <w:r>
        <w:rPr>
          <w:rFonts w:cs="Arial"/>
          <w:szCs w:val="22"/>
        </w:rPr>
        <w:t>.</w:t>
      </w:r>
      <w:r w:rsidRPr="008E0069">
        <w:rPr>
          <w:rFonts w:cs="Arial"/>
          <w:szCs w:val="22"/>
        </w:rPr>
        <w:t xml:space="preserve"> </w:t>
      </w:r>
      <w:r>
        <w:rPr>
          <w:rFonts w:cs="Arial"/>
          <w:szCs w:val="22"/>
        </w:rPr>
        <w:t>T</w:t>
      </w:r>
      <w:r w:rsidRPr="008E0069">
        <w:rPr>
          <w:rFonts w:cs="Arial"/>
          <w:szCs w:val="22"/>
        </w:rPr>
        <w:t xml:space="preserve">he impact of this </w:t>
      </w:r>
      <w:r>
        <w:rPr>
          <w:rFonts w:cs="Arial"/>
          <w:szCs w:val="22"/>
        </w:rPr>
        <w:t xml:space="preserve">excluded </w:t>
      </w:r>
      <w:r w:rsidRPr="008E0069">
        <w:rPr>
          <w:rFonts w:cs="Arial"/>
          <w:szCs w:val="22"/>
        </w:rPr>
        <w:t xml:space="preserve">constituency following a different top structure consolidation mode needs to </w:t>
      </w:r>
      <w:r>
        <w:rPr>
          <w:rFonts w:cs="Arial"/>
          <w:szCs w:val="22"/>
        </w:rPr>
        <w:t xml:space="preserve">be </w:t>
      </w:r>
      <w:r w:rsidRPr="008E0069">
        <w:rPr>
          <w:rFonts w:cs="Arial"/>
          <w:szCs w:val="22"/>
        </w:rPr>
        <w:t>examine</w:t>
      </w:r>
      <w:r>
        <w:rPr>
          <w:rFonts w:cs="Arial"/>
          <w:szCs w:val="22"/>
        </w:rPr>
        <w:t>d</w:t>
      </w:r>
      <w:r w:rsidRPr="008E0069">
        <w:rPr>
          <w:rFonts w:cs="Arial"/>
          <w:szCs w:val="22"/>
        </w:rPr>
        <w:t xml:space="preserve"> from a political, social and technical feasibility perspective.</w:t>
      </w:r>
    </w:p>
    <w:p w14:paraId="1A70C107" w14:textId="77777777" w:rsidR="00402496" w:rsidRPr="008E0069" w:rsidRDefault="00402496" w:rsidP="00250EA9">
      <w:pPr>
        <w:spacing w:after="0" w:line="360" w:lineRule="auto"/>
        <w:rPr>
          <w:rFonts w:cs="Arial"/>
          <w:szCs w:val="22"/>
        </w:rPr>
      </w:pPr>
    </w:p>
    <w:p w14:paraId="3DED8005" w14:textId="5B5939CE" w:rsidR="00EE4B47" w:rsidRDefault="00EE4B47" w:rsidP="00250EA9">
      <w:pPr>
        <w:spacing w:line="360" w:lineRule="auto"/>
        <w:rPr>
          <w:rFonts w:cs="Arial"/>
          <w:szCs w:val="22"/>
        </w:rPr>
      </w:pPr>
      <w:r>
        <w:rPr>
          <w:rFonts w:cs="Arial"/>
          <w:szCs w:val="22"/>
        </w:rPr>
        <w:t>In settlements with large numbers of non-top structure subsidy qualifying households the ability to design and implement a socially and politically feasible solution that is supported by all beneficiary streams is a key consideration. That is, can a socio</w:t>
      </w:r>
      <w:r w:rsidR="00402496">
        <w:rPr>
          <w:rFonts w:cs="Arial"/>
          <w:szCs w:val="22"/>
        </w:rPr>
        <w:t>-</w:t>
      </w:r>
      <w:r>
        <w:rPr>
          <w:rFonts w:cs="Arial"/>
          <w:szCs w:val="22"/>
        </w:rPr>
        <w:t xml:space="preserve">political solution be crafted that </w:t>
      </w:r>
      <w:r>
        <w:rPr>
          <w:rFonts w:cs="Arial"/>
          <w:szCs w:val="22"/>
        </w:rPr>
        <w:lastRenderedPageBreak/>
        <w:t xml:space="preserve">deals appropriately with </w:t>
      </w:r>
      <w:r w:rsidR="00D16FD4">
        <w:rPr>
          <w:rFonts w:cs="Arial"/>
          <w:szCs w:val="22"/>
        </w:rPr>
        <w:t xml:space="preserve">a variety of households i.e. </w:t>
      </w:r>
      <w:r>
        <w:rPr>
          <w:rFonts w:cs="Arial"/>
          <w:szCs w:val="22"/>
        </w:rPr>
        <w:t>those households that are eligible for housing subsidies</w:t>
      </w:r>
      <w:r w:rsidR="00D16FD4">
        <w:rPr>
          <w:rFonts w:cs="Arial"/>
          <w:szCs w:val="22"/>
        </w:rPr>
        <w:t>;</w:t>
      </w:r>
      <w:r>
        <w:rPr>
          <w:rFonts w:cs="Arial"/>
          <w:szCs w:val="22"/>
        </w:rPr>
        <w:t xml:space="preserve"> those that will not be able to access top structure but can acquire ownership of the site</w:t>
      </w:r>
      <w:r w:rsidR="00D16FD4">
        <w:rPr>
          <w:rFonts w:cs="Arial"/>
          <w:szCs w:val="22"/>
        </w:rPr>
        <w:t>;</w:t>
      </w:r>
      <w:r>
        <w:rPr>
          <w:rFonts w:cs="Arial"/>
          <w:szCs w:val="22"/>
        </w:rPr>
        <w:t xml:space="preserve"> and</w:t>
      </w:r>
      <w:r w:rsidR="00D16FD4">
        <w:rPr>
          <w:rFonts w:cs="Arial"/>
          <w:szCs w:val="22"/>
        </w:rPr>
        <w:t>,</w:t>
      </w:r>
      <w:r>
        <w:rPr>
          <w:rFonts w:cs="Arial"/>
          <w:szCs w:val="22"/>
        </w:rPr>
        <w:t xml:space="preserve"> those that may not even be able to procure title to land in the settlement?</w:t>
      </w:r>
    </w:p>
    <w:p w14:paraId="5B551323" w14:textId="77777777" w:rsidR="00EE4B47" w:rsidRDefault="00EE4B47" w:rsidP="00487A94">
      <w:pPr>
        <w:pStyle w:val="Heading3"/>
      </w:pPr>
      <w:bookmarkStart w:id="215" w:name="_Toc262067849"/>
      <w:bookmarkStart w:id="216" w:name="_Toc262068175"/>
      <w:r>
        <w:t>Ability to meet the technical requirements associated with the top structure subsidy within the available funding</w:t>
      </w:r>
      <w:bookmarkEnd w:id="215"/>
      <w:bookmarkEnd w:id="216"/>
      <w:r>
        <w:t xml:space="preserve">. </w:t>
      </w:r>
    </w:p>
    <w:p w14:paraId="69CBFEF4" w14:textId="3C667860" w:rsidR="00EE4B47" w:rsidRPr="00B66F7D" w:rsidRDefault="00EE4B47" w:rsidP="00250EA9">
      <w:pPr>
        <w:spacing w:line="360" w:lineRule="auto"/>
        <w:rPr>
          <w:rFonts w:cs="Arial"/>
          <w:szCs w:val="22"/>
        </w:rPr>
      </w:pPr>
      <w:r w:rsidRPr="00653C6F">
        <w:rPr>
          <w:rFonts w:cs="Arial"/>
          <w:szCs w:val="22"/>
        </w:rPr>
        <w:t xml:space="preserve">The application of top structure subsidies requires that </w:t>
      </w:r>
      <w:r>
        <w:rPr>
          <w:rFonts w:cs="Arial"/>
          <w:szCs w:val="22"/>
        </w:rPr>
        <w:t>certain performance standards be met. For example, the Minimum Norms and Standards in the Code require that a stand-alone state funded structure must achieve a h</w:t>
      </w:r>
      <w:r w:rsidRPr="00B66F7D">
        <w:rPr>
          <w:rFonts w:cs="Arial"/>
          <w:szCs w:val="22"/>
        </w:rPr>
        <w:t>ouse of a minimum size of 40</w:t>
      </w:r>
      <w:r w:rsidR="00D16FD4">
        <w:rPr>
          <w:rFonts w:cs="Arial"/>
          <w:szCs w:val="22"/>
        </w:rPr>
        <w:t>m</w:t>
      </w:r>
      <w:r w:rsidR="00D16FD4" w:rsidRPr="00250EA9">
        <w:rPr>
          <w:rFonts w:cs="Arial"/>
          <w:szCs w:val="22"/>
          <w:vertAlign w:val="superscript"/>
        </w:rPr>
        <w:t>2</w:t>
      </w:r>
      <w:r w:rsidRPr="00B66F7D">
        <w:rPr>
          <w:rFonts w:cs="Arial"/>
          <w:szCs w:val="22"/>
        </w:rPr>
        <w:t xml:space="preserve"> gross floor area</w:t>
      </w:r>
      <w:r>
        <w:rPr>
          <w:rFonts w:cs="Arial"/>
          <w:szCs w:val="22"/>
        </w:rPr>
        <w:t xml:space="preserve"> with </w:t>
      </w:r>
      <w:r w:rsidR="00D16FD4">
        <w:rPr>
          <w:rFonts w:cs="Arial"/>
          <w:szCs w:val="22"/>
        </w:rPr>
        <w:t>two</w:t>
      </w:r>
      <w:r w:rsidR="00D16FD4" w:rsidRPr="00B66F7D">
        <w:rPr>
          <w:rFonts w:cs="Arial"/>
          <w:szCs w:val="22"/>
        </w:rPr>
        <w:t xml:space="preserve"> </w:t>
      </w:r>
      <w:r w:rsidRPr="00B66F7D">
        <w:rPr>
          <w:rFonts w:cs="Arial"/>
          <w:szCs w:val="22"/>
        </w:rPr>
        <w:t>bedrooms,</w:t>
      </w:r>
      <w:r>
        <w:rPr>
          <w:rFonts w:cs="Arial"/>
          <w:szCs w:val="22"/>
        </w:rPr>
        <w:t xml:space="preserve"> </w:t>
      </w:r>
      <w:r w:rsidR="00D16FD4">
        <w:rPr>
          <w:rFonts w:cs="Arial"/>
          <w:szCs w:val="22"/>
        </w:rPr>
        <w:t>an</w:t>
      </w:r>
      <w:r w:rsidRPr="00B66F7D">
        <w:rPr>
          <w:rFonts w:cs="Arial"/>
          <w:szCs w:val="22"/>
        </w:rPr>
        <w:t xml:space="preserve"> internal bathroom,</w:t>
      </w:r>
      <w:r>
        <w:rPr>
          <w:rFonts w:cs="Arial"/>
          <w:szCs w:val="22"/>
        </w:rPr>
        <w:t xml:space="preserve"> </w:t>
      </w:r>
      <w:r w:rsidRPr="00B66F7D">
        <w:rPr>
          <w:rFonts w:cs="Arial"/>
          <w:szCs w:val="22"/>
        </w:rPr>
        <w:t>a combine</w:t>
      </w:r>
      <w:r>
        <w:rPr>
          <w:rFonts w:cs="Arial"/>
          <w:szCs w:val="22"/>
        </w:rPr>
        <w:t>d</w:t>
      </w:r>
      <w:r w:rsidRPr="00B66F7D">
        <w:rPr>
          <w:rFonts w:cs="Arial"/>
          <w:szCs w:val="22"/>
        </w:rPr>
        <w:t xml:space="preserve"> living are</w:t>
      </w:r>
      <w:r>
        <w:rPr>
          <w:rFonts w:cs="Arial"/>
          <w:szCs w:val="22"/>
        </w:rPr>
        <w:t>a</w:t>
      </w:r>
      <w:r w:rsidRPr="00B66F7D">
        <w:rPr>
          <w:rFonts w:cs="Arial"/>
          <w:szCs w:val="22"/>
        </w:rPr>
        <w:t xml:space="preserve"> with kitchen and </w:t>
      </w:r>
      <w:r>
        <w:rPr>
          <w:rFonts w:cs="Arial"/>
          <w:szCs w:val="22"/>
        </w:rPr>
        <w:t xml:space="preserve">an </w:t>
      </w:r>
      <w:r w:rsidRPr="00B66F7D">
        <w:rPr>
          <w:rFonts w:cs="Arial"/>
          <w:szCs w:val="22"/>
        </w:rPr>
        <w:t>electrical connection where possible.</w:t>
      </w:r>
    </w:p>
    <w:p w14:paraId="5200BD4B" w14:textId="77777777" w:rsidR="00EE4B47" w:rsidRDefault="00EE4B47" w:rsidP="00250EA9">
      <w:pPr>
        <w:spacing w:line="360" w:lineRule="auto"/>
        <w:rPr>
          <w:rFonts w:cs="Arial"/>
          <w:szCs w:val="22"/>
        </w:rPr>
      </w:pPr>
      <w:r w:rsidRPr="00475BBF">
        <w:rPr>
          <w:rFonts w:cs="Arial"/>
          <w:szCs w:val="22"/>
        </w:rPr>
        <w:t xml:space="preserve">In some higher density in situ upgrading if may not be possible to achieve these standards </w:t>
      </w:r>
      <w:r>
        <w:rPr>
          <w:rFonts w:cs="Arial"/>
          <w:szCs w:val="22"/>
        </w:rPr>
        <w:t xml:space="preserve">either within the </w:t>
      </w:r>
      <w:r w:rsidRPr="00475BBF">
        <w:rPr>
          <w:rFonts w:cs="Arial"/>
          <w:szCs w:val="22"/>
        </w:rPr>
        <w:t>with</w:t>
      </w:r>
      <w:r>
        <w:rPr>
          <w:rFonts w:cs="Arial"/>
          <w:szCs w:val="22"/>
        </w:rPr>
        <w:t>in the allocated top subsidy amounts and/or without generating substantial relocations.</w:t>
      </w:r>
    </w:p>
    <w:p w14:paraId="016ABA3F" w14:textId="6B9C96A5" w:rsidR="00EE4B47" w:rsidRPr="00935947" w:rsidRDefault="00EE4B47" w:rsidP="00540DD7">
      <w:pPr>
        <w:pStyle w:val="Heading2"/>
      </w:pPr>
      <w:bookmarkStart w:id="217" w:name="_Toc261617638"/>
      <w:bookmarkStart w:id="218" w:name="_Toc262067850"/>
      <w:bookmarkStart w:id="219" w:name="_Toc270946039"/>
      <w:bookmarkEnd w:id="208"/>
      <w:r w:rsidRPr="00935947">
        <w:t xml:space="preserve">Selecting the Top Structure Subsidy Programme to be </w:t>
      </w:r>
      <w:r w:rsidR="001A5F90">
        <w:t>U</w:t>
      </w:r>
      <w:r w:rsidRPr="00935947">
        <w:t xml:space="preserve">sed in the Subsidy Led </w:t>
      </w:r>
      <w:r w:rsidR="001A5F90">
        <w:t>H</w:t>
      </w:r>
      <w:r w:rsidRPr="00935947">
        <w:t xml:space="preserve">ousing </w:t>
      </w:r>
      <w:r w:rsidR="001A5F90">
        <w:t>C</w:t>
      </w:r>
      <w:r w:rsidRPr="00935947">
        <w:t xml:space="preserve">onsolidation </w:t>
      </w:r>
      <w:r w:rsidR="001A5F90">
        <w:t>P</w:t>
      </w:r>
      <w:r w:rsidRPr="00935947">
        <w:t>hase</w:t>
      </w:r>
      <w:bookmarkEnd w:id="217"/>
      <w:bookmarkEnd w:id="218"/>
      <w:bookmarkEnd w:id="219"/>
      <w:r w:rsidRPr="00935947">
        <w:t xml:space="preserve"> </w:t>
      </w:r>
    </w:p>
    <w:p w14:paraId="7677A7C0" w14:textId="77777777" w:rsidR="00EE4B47" w:rsidRDefault="00EE4B47" w:rsidP="00250EA9">
      <w:pPr>
        <w:spacing w:after="0"/>
        <w:ind w:left="490"/>
        <w:rPr>
          <w:rFonts w:cs="Arial"/>
          <w:szCs w:val="22"/>
        </w:rPr>
      </w:pPr>
      <w:bookmarkStart w:id="220" w:name="_Toc387655134"/>
      <w:bookmarkStart w:id="221" w:name="_Toc261617665"/>
    </w:p>
    <w:p w14:paraId="676B58AD" w14:textId="77777777" w:rsidR="00EE4B47" w:rsidRPr="00057B9E" w:rsidRDefault="00EE4B47" w:rsidP="00250EA9">
      <w:pPr>
        <w:spacing w:line="360" w:lineRule="auto"/>
        <w:rPr>
          <w:rFonts w:cs="Arial"/>
          <w:szCs w:val="22"/>
        </w:rPr>
      </w:pPr>
      <w:r>
        <w:rPr>
          <w:rFonts w:cs="Arial"/>
          <w:szCs w:val="22"/>
        </w:rPr>
        <w:t>H</w:t>
      </w:r>
      <w:r w:rsidRPr="00057B9E">
        <w:rPr>
          <w:rFonts w:cs="Arial"/>
          <w:szCs w:val="22"/>
        </w:rPr>
        <w:t xml:space="preserve">aving confirmed the feasibility </w:t>
      </w:r>
      <w:r>
        <w:rPr>
          <w:rFonts w:cs="Arial"/>
          <w:szCs w:val="22"/>
        </w:rPr>
        <w:t xml:space="preserve">of </w:t>
      </w:r>
      <w:r w:rsidRPr="00057B9E">
        <w:rPr>
          <w:rFonts w:cs="Arial"/>
          <w:szCs w:val="22"/>
        </w:rPr>
        <w:t xml:space="preserve">the </w:t>
      </w:r>
      <w:r>
        <w:rPr>
          <w:rFonts w:cs="Arial"/>
          <w:b/>
          <w:szCs w:val="22"/>
        </w:rPr>
        <w:t>s</w:t>
      </w:r>
      <w:r w:rsidRPr="00057B9E">
        <w:rPr>
          <w:rFonts w:cs="Arial"/>
          <w:b/>
          <w:szCs w:val="22"/>
        </w:rPr>
        <w:t xml:space="preserve">tate </w:t>
      </w:r>
      <w:r>
        <w:rPr>
          <w:rFonts w:cs="Arial"/>
          <w:b/>
          <w:szCs w:val="22"/>
        </w:rPr>
        <w:t xml:space="preserve">top structure </w:t>
      </w:r>
      <w:r w:rsidRPr="00057B9E">
        <w:rPr>
          <w:rFonts w:cs="Arial"/>
          <w:b/>
          <w:szCs w:val="22"/>
        </w:rPr>
        <w:t>subsidy led consolidation mode</w:t>
      </w:r>
      <w:r w:rsidRPr="00057B9E">
        <w:rPr>
          <w:rFonts w:cs="Arial"/>
          <w:szCs w:val="22"/>
        </w:rPr>
        <w:t xml:space="preserve">, </w:t>
      </w:r>
      <w:r>
        <w:rPr>
          <w:rFonts w:cs="Arial"/>
          <w:szCs w:val="22"/>
        </w:rPr>
        <w:t>a housing consolidation plan would need to make a selection between state housing programmes for the delivery of such subsidies.</w:t>
      </w:r>
    </w:p>
    <w:p w14:paraId="1C35C7AE" w14:textId="42255250" w:rsidR="00EE4B47" w:rsidRDefault="00EE4B47" w:rsidP="00250EA9">
      <w:pPr>
        <w:spacing w:line="360" w:lineRule="auto"/>
        <w:rPr>
          <w:rFonts w:cs="Arial"/>
          <w:szCs w:val="22"/>
        </w:rPr>
      </w:pPr>
      <w:r w:rsidRPr="00057B9E">
        <w:rPr>
          <w:rFonts w:cs="Arial"/>
          <w:szCs w:val="22"/>
        </w:rPr>
        <w:t xml:space="preserve">In this section we will examine </w:t>
      </w:r>
      <w:r>
        <w:rPr>
          <w:rFonts w:cs="Arial"/>
          <w:szCs w:val="22"/>
        </w:rPr>
        <w:t>four</w:t>
      </w:r>
      <w:r w:rsidRPr="00057B9E">
        <w:rPr>
          <w:rFonts w:cs="Arial"/>
          <w:szCs w:val="22"/>
        </w:rPr>
        <w:t xml:space="preserve"> ownership</w:t>
      </w:r>
      <w:r>
        <w:rPr>
          <w:rFonts w:cs="Arial"/>
          <w:szCs w:val="22"/>
        </w:rPr>
        <w:t>-</w:t>
      </w:r>
      <w:r w:rsidRPr="00057B9E">
        <w:rPr>
          <w:rFonts w:cs="Arial"/>
          <w:szCs w:val="22"/>
        </w:rPr>
        <w:t xml:space="preserve">orientated </w:t>
      </w:r>
      <w:r>
        <w:rPr>
          <w:rFonts w:cs="Arial"/>
          <w:szCs w:val="22"/>
        </w:rPr>
        <w:t xml:space="preserve">housing </w:t>
      </w:r>
      <w:r w:rsidRPr="00057B9E">
        <w:rPr>
          <w:rFonts w:cs="Arial"/>
          <w:szCs w:val="22"/>
        </w:rPr>
        <w:t xml:space="preserve">subsidy programmes in the </w:t>
      </w:r>
      <w:r>
        <w:rPr>
          <w:rFonts w:cs="Arial"/>
          <w:szCs w:val="22"/>
        </w:rPr>
        <w:t>Housing Code.</w:t>
      </w:r>
      <w:r w:rsidR="00B0299D">
        <w:rPr>
          <w:rFonts w:cs="Arial"/>
          <w:szCs w:val="22"/>
        </w:rPr>
        <w:t xml:space="preserve"> </w:t>
      </w:r>
      <w:r>
        <w:rPr>
          <w:rFonts w:cs="Arial"/>
          <w:szCs w:val="22"/>
        </w:rPr>
        <w:t>These are:</w:t>
      </w:r>
      <w:r w:rsidRPr="00057B9E">
        <w:rPr>
          <w:rFonts w:cs="Arial"/>
          <w:szCs w:val="22"/>
        </w:rPr>
        <w:t xml:space="preserve"> </w:t>
      </w:r>
    </w:p>
    <w:p w14:paraId="563A2817" w14:textId="77777777" w:rsidR="00EE4B47" w:rsidRPr="00057B9E" w:rsidRDefault="00EE4B47" w:rsidP="0055634E">
      <w:pPr>
        <w:pStyle w:val="ListParagraph"/>
        <w:numPr>
          <w:ilvl w:val="0"/>
          <w:numId w:val="20"/>
        </w:numPr>
        <w:ind w:left="720" w:hanging="360"/>
        <w:rPr>
          <w:rFonts w:cs="Arial"/>
        </w:rPr>
      </w:pPr>
      <w:r>
        <w:rPr>
          <w:rFonts w:cs="Arial"/>
        </w:rPr>
        <w:t>The Integrated Residential Development Programme (</w:t>
      </w:r>
      <w:r w:rsidRPr="00057B9E">
        <w:rPr>
          <w:rFonts w:cs="Arial"/>
        </w:rPr>
        <w:t>IRDP</w:t>
      </w:r>
      <w:r>
        <w:rPr>
          <w:rFonts w:cs="Arial"/>
        </w:rPr>
        <w:t>);</w:t>
      </w:r>
      <w:r w:rsidRPr="00057B9E">
        <w:rPr>
          <w:rFonts w:cs="Arial"/>
        </w:rPr>
        <w:t xml:space="preserve"> </w:t>
      </w:r>
    </w:p>
    <w:p w14:paraId="1020D7F2" w14:textId="77777777" w:rsidR="00EE4B47" w:rsidRDefault="00EE4B47" w:rsidP="0055634E">
      <w:pPr>
        <w:pStyle w:val="ListParagraph"/>
        <w:numPr>
          <w:ilvl w:val="0"/>
          <w:numId w:val="20"/>
        </w:numPr>
        <w:ind w:left="720" w:hanging="360"/>
        <w:rPr>
          <w:rFonts w:cs="Arial"/>
        </w:rPr>
      </w:pPr>
      <w:r>
        <w:rPr>
          <w:rFonts w:cs="Arial"/>
        </w:rPr>
        <w:t>The Enhanced Peoples’ Housing Process (</w:t>
      </w:r>
      <w:r w:rsidRPr="00057B9E">
        <w:rPr>
          <w:rFonts w:cs="Arial"/>
        </w:rPr>
        <w:t>EPHP</w:t>
      </w:r>
      <w:r>
        <w:rPr>
          <w:rFonts w:cs="Arial"/>
        </w:rPr>
        <w:t>);</w:t>
      </w:r>
      <w:r w:rsidRPr="00057B9E">
        <w:rPr>
          <w:rFonts w:cs="Arial"/>
        </w:rPr>
        <w:t xml:space="preserve">  </w:t>
      </w:r>
    </w:p>
    <w:p w14:paraId="57090D5E" w14:textId="77777777" w:rsidR="00EE4B47" w:rsidRDefault="00EE4B47" w:rsidP="0055634E">
      <w:pPr>
        <w:pStyle w:val="ListParagraph"/>
        <w:numPr>
          <w:ilvl w:val="0"/>
          <w:numId w:val="20"/>
        </w:numPr>
        <w:ind w:left="720" w:hanging="360"/>
        <w:rPr>
          <w:rFonts w:cs="Arial"/>
        </w:rPr>
      </w:pPr>
      <w:r w:rsidRPr="00057B9E">
        <w:rPr>
          <w:rFonts w:cs="Arial"/>
        </w:rPr>
        <w:t xml:space="preserve">Consolidation </w:t>
      </w:r>
      <w:r>
        <w:rPr>
          <w:rFonts w:cs="Arial"/>
        </w:rPr>
        <w:t>S</w:t>
      </w:r>
      <w:r w:rsidRPr="00057B9E">
        <w:rPr>
          <w:rFonts w:cs="Arial"/>
        </w:rPr>
        <w:t>ubsidies</w:t>
      </w:r>
      <w:bookmarkEnd w:id="220"/>
      <w:r>
        <w:rPr>
          <w:rFonts w:cs="Arial"/>
        </w:rPr>
        <w:t xml:space="preserve"> (CS); and</w:t>
      </w:r>
    </w:p>
    <w:p w14:paraId="1152C0AB" w14:textId="60706B7B" w:rsidR="00EE4B47" w:rsidRDefault="008E235F" w:rsidP="0055634E">
      <w:pPr>
        <w:pStyle w:val="ListParagraph"/>
        <w:numPr>
          <w:ilvl w:val="0"/>
          <w:numId w:val="20"/>
        </w:numPr>
        <w:ind w:left="720" w:hanging="360"/>
        <w:rPr>
          <w:rFonts w:cs="Arial"/>
        </w:rPr>
      </w:pPr>
      <w:r>
        <w:rPr>
          <w:rFonts w:cs="Arial"/>
        </w:rPr>
        <w:t xml:space="preserve">Individual Subsidy via </w:t>
      </w:r>
      <w:r w:rsidR="00EE4B47">
        <w:rPr>
          <w:rFonts w:cs="Arial"/>
        </w:rPr>
        <w:t xml:space="preserve">Housing Voucher (HV) - </w:t>
      </w:r>
      <w:r w:rsidR="00402496">
        <w:rPr>
          <w:rFonts w:cs="Arial"/>
        </w:rPr>
        <w:t>t</w:t>
      </w:r>
      <w:r w:rsidR="00EE4B47" w:rsidRPr="00057B9E">
        <w:rPr>
          <w:rFonts w:cs="Arial"/>
        </w:rPr>
        <w:t>he possible adaption of a voucher-based system that was recently introduced and piloted for rural housing, as a longer-term subsidy delivery option.</w:t>
      </w:r>
      <w:r w:rsidR="00A73740">
        <w:rPr>
          <w:rFonts w:cs="Arial"/>
        </w:rPr>
        <w:t xml:space="preserve"> </w:t>
      </w:r>
    </w:p>
    <w:p w14:paraId="2EB61AB7" w14:textId="77777777" w:rsidR="00EE4B47" w:rsidRDefault="00EE4B47" w:rsidP="00250EA9">
      <w:pPr>
        <w:spacing w:line="360" w:lineRule="auto"/>
        <w:rPr>
          <w:rFonts w:cs="Arial"/>
          <w:szCs w:val="22"/>
        </w:rPr>
      </w:pPr>
      <w:r w:rsidRPr="00F34864">
        <w:rPr>
          <w:rFonts w:cs="Arial"/>
          <w:szCs w:val="22"/>
        </w:rPr>
        <w:t>The application of Rental options within a state subsidy dominated consolidation system will also be discussed.</w:t>
      </w:r>
    </w:p>
    <w:p w14:paraId="0C7A8ECC" w14:textId="77777777" w:rsidR="00402496" w:rsidRPr="00F34864" w:rsidRDefault="00402496" w:rsidP="00250EA9">
      <w:pPr>
        <w:spacing w:line="360" w:lineRule="auto"/>
        <w:rPr>
          <w:rFonts w:cs="Arial"/>
          <w:szCs w:val="22"/>
        </w:rPr>
      </w:pPr>
    </w:p>
    <w:p w14:paraId="1B2BB9F8" w14:textId="4C1C31A9" w:rsidR="00EE4B47" w:rsidRDefault="00EE4B47" w:rsidP="00E732E9">
      <w:pPr>
        <w:pStyle w:val="Heading3"/>
      </w:pPr>
      <w:bookmarkStart w:id="222" w:name="_Toc262067852"/>
      <w:bookmarkStart w:id="223" w:name="_Toc262068178"/>
      <w:r>
        <w:lastRenderedPageBreak/>
        <w:t>Selection Criteria</w:t>
      </w:r>
      <w:bookmarkEnd w:id="222"/>
      <w:bookmarkEnd w:id="223"/>
    </w:p>
    <w:p w14:paraId="0B77E8DB" w14:textId="54C4D464" w:rsidR="00EE4B47" w:rsidRDefault="00EE4B47" w:rsidP="00250EA9">
      <w:pPr>
        <w:spacing w:line="360" w:lineRule="auto"/>
        <w:rPr>
          <w:rFonts w:cs="Arial"/>
          <w:szCs w:val="22"/>
        </w:rPr>
      </w:pPr>
      <w:r>
        <w:rPr>
          <w:rFonts w:cs="Arial"/>
          <w:szCs w:val="22"/>
        </w:rPr>
        <w:t>In selecting between the top structure subsidy programmes</w:t>
      </w:r>
      <w:r w:rsidR="00402496">
        <w:rPr>
          <w:rFonts w:cs="Arial"/>
          <w:szCs w:val="22"/>
        </w:rPr>
        <w:t>,</w:t>
      </w:r>
      <w:r>
        <w:rPr>
          <w:rFonts w:cs="Arial"/>
          <w:szCs w:val="22"/>
        </w:rPr>
        <w:t xml:space="preserve"> the following assessment criteria are relevant: </w:t>
      </w:r>
    </w:p>
    <w:p w14:paraId="122CC9BE" w14:textId="77777777" w:rsidR="00EE4B47" w:rsidRPr="003526D2" w:rsidRDefault="00EE4B47" w:rsidP="0055634E">
      <w:pPr>
        <w:pStyle w:val="ListParagraph"/>
        <w:numPr>
          <w:ilvl w:val="0"/>
          <w:numId w:val="37"/>
        </w:numPr>
        <w:ind w:left="720"/>
        <w:rPr>
          <w:rFonts w:cs="Arial"/>
        </w:rPr>
      </w:pPr>
      <w:r w:rsidRPr="003526D2">
        <w:rPr>
          <w:rFonts w:cs="Arial"/>
          <w:b/>
        </w:rPr>
        <w:t>Programme Fit</w:t>
      </w:r>
      <w:r>
        <w:rPr>
          <w:rFonts w:cs="Arial"/>
        </w:rPr>
        <w:t xml:space="preserve">: </w:t>
      </w:r>
      <w:r w:rsidRPr="003526D2">
        <w:rPr>
          <w:rFonts w:cs="Arial"/>
        </w:rPr>
        <w:t xml:space="preserve">Will </w:t>
      </w:r>
      <w:r>
        <w:rPr>
          <w:rFonts w:cs="Arial"/>
        </w:rPr>
        <w:t xml:space="preserve">the project </w:t>
      </w:r>
      <w:r w:rsidRPr="003526D2">
        <w:rPr>
          <w:rFonts w:cs="Arial"/>
        </w:rPr>
        <w:t xml:space="preserve">be able to meet the procedural and technical requirements specified in the funding programmes? E.g. </w:t>
      </w:r>
      <w:r>
        <w:rPr>
          <w:rFonts w:cs="Arial"/>
        </w:rPr>
        <w:t>NHBRC registration requirements associated with the subsidy programme.</w:t>
      </w:r>
      <w:r w:rsidRPr="003526D2">
        <w:rPr>
          <w:rFonts w:cs="Arial"/>
        </w:rPr>
        <w:t xml:space="preserve"> </w:t>
      </w:r>
    </w:p>
    <w:p w14:paraId="5B4429A1" w14:textId="77777777" w:rsidR="00EE4B47" w:rsidRPr="00A2207B" w:rsidRDefault="00EE4B47" w:rsidP="0055634E">
      <w:pPr>
        <w:pStyle w:val="ListParagraph"/>
        <w:numPr>
          <w:ilvl w:val="0"/>
          <w:numId w:val="37"/>
        </w:numPr>
        <w:ind w:left="720"/>
        <w:rPr>
          <w:rFonts w:cs="Arial"/>
        </w:rPr>
      </w:pPr>
      <w:r w:rsidRPr="00A2207B">
        <w:rPr>
          <w:rFonts w:cs="Arial"/>
          <w:b/>
        </w:rPr>
        <w:t>Institutional Requirements</w:t>
      </w:r>
      <w:r w:rsidRPr="00A2207B">
        <w:rPr>
          <w:rFonts w:cs="Arial"/>
        </w:rPr>
        <w:t>: Can the institutional requirements and responsibilities associated with the</w:t>
      </w:r>
      <w:r>
        <w:rPr>
          <w:rFonts w:cs="Arial"/>
        </w:rPr>
        <w:t xml:space="preserve"> subsidy </w:t>
      </w:r>
      <w:r w:rsidRPr="00A2207B">
        <w:rPr>
          <w:rFonts w:cs="Arial"/>
        </w:rPr>
        <w:t xml:space="preserve">programme be achieved? Do these institutions have </w:t>
      </w:r>
      <w:r>
        <w:rPr>
          <w:rFonts w:cs="Arial"/>
        </w:rPr>
        <w:t xml:space="preserve">the </w:t>
      </w:r>
      <w:r w:rsidRPr="00A2207B">
        <w:rPr>
          <w:rFonts w:cs="Arial"/>
        </w:rPr>
        <w:t>capacit</w:t>
      </w:r>
      <w:r>
        <w:rPr>
          <w:rFonts w:cs="Arial"/>
        </w:rPr>
        <w:t>y</w:t>
      </w:r>
      <w:r w:rsidRPr="00A2207B">
        <w:rPr>
          <w:rFonts w:cs="Arial"/>
        </w:rPr>
        <w:t xml:space="preserve"> needed to implement the programme?</w:t>
      </w:r>
    </w:p>
    <w:p w14:paraId="60FDFAC0" w14:textId="54A2D0C0" w:rsidR="00EE4B47" w:rsidRPr="008F1830" w:rsidRDefault="00EE4B47" w:rsidP="0055634E">
      <w:pPr>
        <w:pStyle w:val="ListParagraph"/>
        <w:numPr>
          <w:ilvl w:val="0"/>
          <w:numId w:val="37"/>
        </w:numPr>
        <w:ind w:left="720"/>
        <w:rPr>
          <w:rFonts w:cs="Arial"/>
        </w:rPr>
      </w:pPr>
      <w:r w:rsidRPr="008F1830">
        <w:rPr>
          <w:rFonts w:cs="Arial"/>
          <w:b/>
        </w:rPr>
        <w:t>Utilisation of prior private housing investment</w:t>
      </w:r>
      <w:r w:rsidRPr="008F1830">
        <w:rPr>
          <w:rFonts w:cs="Arial"/>
        </w:rPr>
        <w:t xml:space="preserve"> </w:t>
      </w:r>
      <w:r w:rsidRPr="008F1830">
        <w:rPr>
          <w:rFonts w:cs="Arial"/>
          <w:b/>
        </w:rPr>
        <w:t>and the incorporation of private sources of funding into the dwelling:</w:t>
      </w:r>
      <w:r w:rsidRPr="008F1830">
        <w:rPr>
          <w:rFonts w:cs="Arial"/>
        </w:rPr>
        <w:t xml:space="preserve"> Will the subsidy programme allow the project to accommodate private capital invested in the building stock prior to the construction of the </w:t>
      </w:r>
      <w:r w:rsidR="00D16FD4" w:rsidRPr="008F1830">
        <w:rPr>
          <w:rFonts w:cs="Arial"/>
        </w:rPr>
        <w:t>subsidized</w:t>
      </w:r>
      <w:r w:rsidRPr="008F1830">
        <w:rPr>
          <w:rFonts w:cs="Arial"/>
        </w:rPr>
        <w:t xml:space="preserve"> top structure</w:t>
      </w:r>
      <w:r w:rsidR="00D16FD4">
        <w:rPr>
          <w:rFonts w:cs="Arial"/>
        </w:rPr>
        <w:t xml:space="preserve"> to be utilized</w:t>
      </w:r>
      <w:r w:rsidRPr="008F1830">
        <w:rPr>
          <w:rFonts w:cs="Arial"/>
        </w:rPr>
        <w:t>?</w:t>
      </w:r>
      <w:r>
        <w:rPr>
          <w:rFonts w:cs="Arial"/>
        </w:rPr>
        <w:t xml:space="preserve"> Can private funding streams be incorporated into the building of the </w:t>
      </w:r>
      <w:r w:rsidR="00E01C9B">
        <w:rPr>
          <w:rFonts w:cs="Arial"/>
        </w:rPr>
        <w:t>subsidized</w:t>
      </w:r>
      <w:r>
        <w:rPr>
          <w:rFonts w:cs="Arial"/>
        </w:rPr>
        <w:t xml:space="preserve"> unit?</w:t>
      </w:r>
    </w:p>
    <w:p w14:paraId="0A897BDC" w14:textId="45D01266" w:rsidR="00EE4B47" w:rsidRPr="0031267D" w:rsidRDefault="00EE4B47" w:rsidP="0055634E">
      <w:pPr>
        <w:pStyle w:val="ListParagraph"/>
        <w:numPr>
          <w:ilvl w:val="0"/>
          <w:numId w:val="37"/>
        </w:numPr>
        <w:ind w:left="720"/>
        <w:rPr>
          <w:rFonts w:cs="Arial"/>
        </w:rPr>
      </w:pPr>
      <w:r>
        <w:rPr>
          <w:rFonts w:cs="Arial"/>
          <w:b/>
        </w:rPr>
        <w:t xml:space="preserve">Synergies with the </w:t>
      </w:r>
      <w:r w:rsidRPr="0031267D">
        <w:rPr>
          <w:rFonts w:cs="Arial"/>
          <w:b/>
        </w:rPr>
        <w:t xml:space="preserve">house </w:t>
      </w:r>
      <w:r>
        <w:rPr>
          <w:rFonts w:cs="Arial"/>
          <w:b/>
        </w:rPr>
        <w:t xml:space="preserve">consolidation activities of </w:t>
      </w:r>
      <w:r w:rsidRPr="0031267D">
        <w:rPr>
          <w:rFonts w:cs="Arial"/>
          <w:b/>
        </w:rPr>
        <w:t>non-subsidy qualifying household</w:t>
      </w:r>
      <w:r>
        <w:rPr>
          <w:rFonts w:cs="Arial"/>
          <w:b/>
        </w:rPr>
        <w:t xml:space="preserve"> within the settlement - </w:t>
      </w:r>
      <w:r w:rsidRPr="00985BA5">
        <w:rPr>
          <w:rFonts w:cs="Arial"/>
        </w:rPr>
        <w:t>Wi</w:t>
      </w:r>
      <w:r w:rsidRPr="0031267D">
        <w:rPr>
          <w:rFonts w:cs="Arial"/>
        </w:rPr>
        <w:t xml:space="preserve">ll the subsidy programme </w:t>
      </w:r>
      <w:r>
        <w:rPr>
          <w:rFonts w:cs="Arial"/>
        </w:rPr>
        <w:t xml:space="preserve">provide secondary benefits that can be utilised by non-subsidy qualifying beneficiaries seeking to consolidate their housing? </w:t>
      </w:r>
    </w:p>
    <w:p w14:paraId="57614DCF" w14:textId="006C4C92" w:rsidR="00EE4B47" w:rsidRPr="00057B9E" w:rsidRDefault="00EE4B47" w:rsidP="0055634E">
      <w:pPr>
        <w:pStyle w:val="ListParagraph"/>
        <w:numPr>
          <w:ilvl w:val="0"/>
          <w:numId w:val="37"/>
        </w:numPr>
        <w:ind w:left="720"/>
        <w:rPr>
          <w:rFonts w:cs="Arial"/>
        </w:rPr>
      </w:pPr>
      <w:r>
        <w:rPr>
          <w:rFonts w:cs="Arial"/>
          <w:b/>
        </w:rPr>
        <w:t>Building a s</w:t>
      </w:r>
      <w:r w:rsidRPr="001F4739">
        <w:rPr>
          <w:rFonts w:cs="Arial"/>
          <w:b/>
        </w:rPr>
        <w:t xml:space="preserve">ustainable </w:t>
      </w:r>
      <w:r>
        <w:rPr>
          <w:rFonts w:cs="Arial"/>
          <w:b/>
        </w:rPr>
        <w:t>local construction capacity:</w:t>
      </w:r>
      <w:r>
        <w:rPr>
          <w:rFonts w:cs="Arial"/>
        </w:rPr>
        <w:t xml:space="preserve"> </w:t>
      </w:r>
      <w:r w:rsidRPr="00057B9E">
        <w:rPr>
          <w:rFonts w:cs="Arial"/>
        </w:rPr>
        <w:t xml:space="preserve">Can the </w:t>
      </w:r>
      <w:r>
        <w:rPr>
          <w:rFonts w:cs="Arial"/>
        </w:rPr>
        <w:t xml:space="preserve">subsidy </w:t>
      </w:r>
      <w:r w:rsidRPr="00057B9E">
        <w:rPr>
          <w:rFonts w:cs="Arial"/>
        </w:rPr>
        <w:t xml:space="preserve">programme be applied in a </w:t>
      </w:r>
      <w:r>
        <w:rPr>
          <w:rFonts w:cs="Arial"/>
        </w:rPr>
        <w:t xml:space="preserve">way </w:t>
      </w:r>
      <w:r w:rsidRPr="00057B9E">
        <w:rPr>
          <w:rFonts w:cs="Arial"/>
        </w:rPr>
        <w:t xml:space="preserve">that </w:t>
      </w:r>
      <w:r>
        <w:rPr>
          <w:rFonts w:cs="Arial"/>
        </w:rPr>
        <w:t xml:space="preserve">builds local </w:t>
      </w:r>
      <w:r w:rsidRPr="00057B9E">
        <w:rPr>
          <w:rFonts w:cs="Arial"/>
        </w:rPr>
        <w:t>c</w:t>
      </w:r>
      <w:r>
        <w:rPr>
          <w:rFonts w:cs="Arial"/>
        </w:rPr>
        <w:t xml:space="preserve">apacities that sustain the consolidation process </w:t>
      </w:r>
      <w:r w:rsidRPr="00057B9E">
        <w:rPr>
          <w:rFonts w:cs="Arial"/>
        </w:rPr>
        <w:t xml:space="preserve">after state subsidies have been applied- i.e. serve the extensions and improvements phases. </w:t>
      </w:r>
    </w:p>
    <w:p w14:paraId="4AF2E274" w14:textId="55C23A54" w:rsidR="00EE4B47" w:rsidRDefault="00EE4B47" w:rsidP="00250EA9">
      <w:pPr>
        <w:spacing w:line="360" w:lineRule="auto"/>
        <w:rPr>
          <w:rFonts w:cs="Arial"/>
          <w:szCs w:val="22"/>
        </w:rPr>
      </w:pPr>
      <w:r w:rsidRPr="00A76C50">
        <w:rPr>
          <w:rFonts w:cs="Arial"/>
          <w:szCs w:val="22"/>
        </w:rPr>
        <w:t xml:space="preserve">Since the characteristics and dynamics of the informal settlements targeted under the UISP show high degrees of variance between settlements it not possible to recommend </w:t>
      </w:r>
      <w:r w:rsidRPr="00475BBF">
        <w:rPr>
          <w:rFonts w:cs="Arial"/>
          <w:szCs w:val="22"/>
        </w:rPr>
        <w:t xml:space="preserve">one top structure subsidy </w:t>
      </w:r>
      <w:r>
        <w:rPr>
          <w:rFonts w:cs="Arial"/>
          <w:szCs w:val="22"/>
        </w:rPr>
        <w:t xml:space="preserve">programme </w:t>
      </w:r>
      <w:r w:rsidRPr="00475BBF">
        <w:rPr>
          <w:rFonts w:cs="Arial"/>
          <w:szCs w:val="22"/>
        </w:rPr>
        <w:t>as the preferred instrument</w:t>
      </w:r>
      <w:r w:rsidR="00D16FD4">
        <w:rPr>
          <w:rFonts w:cs="Arial"/>
          <w:szCs w:val="22"/>
        </w:rPr>
        <w:t xml:space="preserve">, </w:t>
      </w:r>
      <w:r w:rsidRPr="00475BBF">
        <w:rPr>
          <w:rFonts w:cs="Arial"/>
          <w:szCs w:val="22"/>
        </w:rPr>
        <w:t xml:space="preserve">instead each UISP project will need to </w:t>
      </w:r>
      <w:r>
        <w:rPr>
          <w:rFonts w:cs="Arial"/>
          <w:szCs w:val="22"/>
        </w:rPr>
        <w:t xml:space="preserve">make a context specific selection between </w:t>
      </w:r>
      <w:r w:rsidRPr="00475BBF">
        <w:rPr>
          <w:rFonts w:cs="Arial"/>
          <w:szCs w:val="22"/>
        </w:rPr>
        <w:t xml:space="preserve">the </w:t>
      </w:r>
      <w:r>
        <w:rPr>
          <w:rFonts w:cs="Arial"/>
          <w:szCs w:val="22"/>
        </w:rPr>
        <w:t xml:space="preserve">alternative </w:t>
      </w:r>
      <w:r w:rsidRPr="00475BBF">
        <w:rPr>
          <w:rFonts w:cs="Arial"/>
          <w:szCs w:val="22"/>
        </w:rPr>
        <w:t>subsidy</w:t>
      </w:r>
      <w:r>
        <w:rPr>
          <w:rFonts w:cs="Arial"/>
          <w:szCs w:val="22"/>
        </w:rPr>
        <w:t xml:space="preserve"> programmes using general discussion provided in the sections hereunder as guidance. </w:t>
      </w:r>
    </w:p>
    <w:p w14:paraId="63C70C54" w14:textId="77777777" w:rsidR="00D16FD4" w:rsidRDefault="00D16FD4" w:rsidP="00250EA9">
      <w:pPr>
        <w:spacing w:line="360" w:lineRule="auto"/>
        <w:rPr>
          <w:rFonts w:cs="Arial"/>
          <w:szCs w:val="22"/>
        </w:rPr>
      </w:pPr>
    </w:p>
    <w:p w14:paraId="6630D019" w14:textId="77777777" w:rsidR="00D16FD4" w:rsidRDefault="00D16FD4" w:rsidP="00250EA9">
      <w:pPr>
        <w:spacing w:line="360" w:lineRule="auto"/>
        <w:rPr>
          <w:rFonts w:cs="Arial"/>
          <w:szCs w:val="22"/>
        </w:rPr>
      </w:pPr>
    </w:p>
    <w:p w14:paraId="79AC4A43" w14:textId="77777777" w:rsidR="00D16FD4" w:rsidRDefault="00D16FD4" w:rsidP="00250EA9">
      <w:pPr>
        <w:spacing w:line="360" w:lineRule="auto"/>
        <w:rPr>
          <w:rFonts w:cs="Arial"/>
          <w:szCs w:val="22"/>
        </w:rPr>
      </w:pPr>
    </w:p>
    <w:p w14:paraId="62E65754" w14:textId="602F768E" w:rsidR="00EE4B47" w:rsidRDefault="00EE4B47" w:rsidP="00540DD7">
      <w:pPr>
        <w:pStyle w:val="Heading2"/>
      </w:pPr>
      <w:bookmarkStart w:id="224" w:name="_Toc387238526"/>
      <w:bookmarkStart w:id="225" w:name="_Toc387655135"/>
      <w:bookmarkStart w:id="226" w:name="_Toc262067853"/>
      <w:bookmarkStart w:id="227" w:name="_Toc270946040"/>
      <w:r>
        <w:lastRenderedPageBreak/>
        <w:t xml:space="preserve">Ownership: </w:t>
      </w:r>
      <w:r w:rsidRPr="00317923">
        <w:rPr>
          <w:highlight w:val="yellow"/>
        </w:rPr>
        <w:t>The Integrated Residential Development Programme</w:t>
      </w:r>
      <w:bookmarkEnd w:id="224"/>
      <w:r w:rsidR="00E732E9" w:rsidRPr="00317923">
        <w:rPr>
          <w:highlight w:val="yellow"/>
        </w:rPr>
        <w:t xml:space="preserve"> (IRDP) - </w:t>
      </w:r>
      <w:r w:rsidRPr="00317923">
        <w:rPr>
          <w:highlight w:val="yellow"/>
        </w:rPr>
        <w:t>State Developer &amp; Private Sector House Building Contractor Model</w:t>
      </w:r>
      <w:bookmarkEnd w:id="225"/>
      <w:bookmarkEnd w:id="226"/>
      <w:bookmarkEnd w:id="227"/>
      <w:r w:rsidRPr="00A76C50">
        <w:t xml:space="preserve"> </w:t>
      </w:r>
    </w:p>
    <w:p w14:paraId="2CD3AD31" w14:textId="77777777" w:rsidR="00B0299D" w:rsidRDefault="00B0299D" w:rsidP="00EE4B47">
      <w:pPr>
        <w:spacing w:line="360" w:lineRule="auto"/>
        <w:ind w:left="488"/>
        <w:rPr>
          <w:rFonts w:cs="Arial"/>
          <w:szCs w:val="22"/>
        </w:rPr>
      </w:pPr>
    </w:p>
    <w:p w14:paraId="1517A528" w14:textId="174498B0" w:rsidR="00EE4B47" w:rsidRPr="00B50E99" w:rsidRDefault="00EE4B47" w:rsidP="00B0299D">
      <w:pPr>
        <w:spacing w:line="360" w:lineRule="auto"/>
        <w:rPr>
          <w:rFonts w:cs="Arial"/>
          <w:szCs w:val="22"/>
        </w:rPr>
      </w:pPr>
      <w:r w:rsidRPr="00B50E99">
        <w:rPr>
          <w:rFonts w:cs="Arial"/>
          <w:szCs w:val="22"/>
        </w:rPr>
        <w:t xml:space="preserve">The IRDP is an integrated subsidy instrument that allows for the funding of both the </w:t>
      </w:r>
      <w:r w:rsidRPr="00985BA5">
        <w:rPr>
          <w:rFonts w:cs="Arial"/>
          <w:b/>
          <w:szCs w:val="22"/>
        </w:rPr>
        <w:t>site development</w:t>
      </w:r>
      <w:r w:rsidRPr="00B50E99">
        <w:rPr>
          <w:rFonts w:cs="Arial"/>
          <w:szCs w:val="22"/>
        </w:rPr>
        <w:t xml:space="preserve"> and </w:t>
      </w:r>
      <w:r w:rsidRPr="00985BA5">
        <w:rPr>
          <w:rFonts w:cs="Arial"/>
          <w:b/>
          <w:szCs w:val="22"/>
        </w:rPr>
        <w:t>top structure development phases</w:t>
      </w:r>
      <w:r>
        <w:rPr>
          <w:rFonts w:cs="Arial"/>
          <w:szCs w:val="22"/>
        </w:rPr>
        <w:t xml:space="preserve"> for qualifying beneficiaries who are part of an approved housing project</w:t>
      </w:r>
      <w:r w:rsidRPr="00B50E99">
        <w:rPr>
          <w:rFonts w:cs="Arial"/>
          <w:szCs w:val="22"/>
        </w:rPr>
        <w:t xml:space="preserve">. Due to the fact that the UISP deals with the site development phase, only the top structure phase of the IRDP is </w:t>
      </w:r>
      <w:r>
        <w:rPr>
          <w:rFonts w:cs="Arial"/>
          <w:szCs w:val="22"/>
        </w:rPr>
        <w:t xml:space="preserve">potentially </w:t>
      </w:r>
      <w:r w:rsidRPr="00B50E99">
        <w:rPr>
          <w:rFonts w:cs="Arial"/>
          <w:szCs w:val="22"/>
        </w:rPr>
        <w:t xml:space="preserve">applicable in </w:t>
      </w:r>
      <w:r>
        <w:rPr>
          <w:rFonts w:cs="Arial"/>
          <w:szCs w:val="22"/>
        </w:rPr>
        <w:t xml:space="preserve">the </w:t>
      </w:r>
      <w:r w:rsidRPr="00B50E99">
        <w:rPr>
          <w:rFonts w:cs="Arial"/>
          <w:szCs w:val="22"/>
        </w:rPr>
        <w:t>Phase 4 UISP projects.</w:t>
      </w:r>
    </w:p>
    <w:p w14:paraId="4727A242" w14:textId="77777777" w:rsidR="00EE4B47" w:rsidRPr="004E2A81" w:rsidRDefault="00EE4B47" w:rsidP="00E732E9">
      <w:pPr>
        <w:pStyle w:val="Heading3"/>
      </w:pPr>
      <w:bookmarkStart w:id="228" w:name="_Toc387655136"/>
      <w:bookmarkStart w:id="229" w:name="_Toc262067854"/>
      <w:bookmarkStart w:id="230" w:name="_Toc262068180"/>
      <w:r w:rsidRPr="004E2A81">
        <w:t>Basic Features of the Instrument</w:t>
      </w:r>
      <w:bookmarkEnd w:id="228"/>
      <w:bookmarkEnd w:id="229"/>
      <w:bookmarkEnd w:id="230"/>
      <w:r w:rsidRPr="004E2A81">
        <w:t xml:space="preserve">  </w:t>
      </w:r>
    </w:p>
    <w:p w14:paraId="568896B1" w14:textId="4FA7FA61" w:rsidR="00EE4B47" w:rsidRDefault="00EE4B47" w:rsidP="00B0299D">
      <w:pPr>
        <w:spacing w:line="360" w:lineRule="auto"/>
        <w:rPr>
          <w:rFonts w:cs="Arial"/>
          <w:szCs w:val="22"/>
        </w:rPr>
      </w:pPr>
      <w:r w:rsidRPr="002F509F">
        <w:rPr>
          <w:rFonts w:cs="Arial"/>
          <w:b/>
          <w:szCs w:val="22"/>
        </w:rPr>
        <w:t>Implementation Arrangements</w:t>
      </w:r>
      <w:r>
        <w:rPr>
          <w:rFonts w:cs="Arial"/>
          <w:szCs w:val="22"/>
        </w:rPr>
        <w:t>:</w:t>
      </w:r>
      <w:r w:rsidR="00B0299D">
        <w:rPr>
          <w:rFonts w:cs="Arial"/>
          <w:szCs w:val="22"/>
        </w:rPr>
        <w:t xml:space="preserve"> </w:t>
      </w:r>
    </w:p>
    <w:p w14:paraId="5109E089" w14:textId="177024F5" w:rsidR="00EE4B47" w:rsidRPr="00317923" w:rsidRDefault="00EE4B47" w:rsidP="00B0299D">
      <w:pPr>
        <w:spacing w:line="360" w:lineRule="auto"/>
        <w:rPr>
          <w:rFonts w:cs="Arial"/>
          <w:szCs w:val="22"/>
          <w:highlight w:val="yellow"/>
        </w:rPr>
      </w:pPr>
      <w:r w:rsidRPr="00317923">
        <w:rPr>
          <w:rFonts w:cs="Arial"/>
          <w:szCs w:val="22"/>
          <w:highlight w:val="yellow"/>
        </w:rPr>
        <w:t xml:space="preserve">The </w:t>
      </w:r>
      <w:r w:rsidR="00D16FD4" w:rsidRPr="00317923">
        <w:rPr>
          <w:rFonts w:cs="Arial"/>
          <w:szCs w:val="22"/>
          <w:highlight w:val="yellow"/>
        </w:rPr>
        <w:t xml:space="preserve">municipality </w:t>
      </w:r>
      <w:r w:rsidRPr="00317923">
        <w:rPr>
          <w:rFonts w:cs="Arial"/>
          <w:szCs w:val="22"/>
          <w:highlight w:val="yellow"/>
        </w:rPr>
        <w:t xml:space="preserve">acts as the developer in IRDP projects – and if it lacks the required capacity can solicit the Provincial Department of Human Settlements to perform </w:t>
      </w:r>
      <w:r w:rsidR="00D16FD4" w:rsidRPr="00317923">
        <w:rPr>
          <w:rFonts w:cs="Arial"/>
          <w:szCs w:val="22"/>
          <w:highlight w:val="yellow"/>
        </w:rPr>
        <w:t xml:space="preserve">these functions. </w:t>
      </w:r>
    </w:p>
    <w:p w14:paraId="02F7D89E" w14:textId="77777777" w:rsidR="00EE4B47" w:rsidRPr="00317923" w:rsidRDefault="00EE4B47" w:rsidP="00B0299D">
      <w:pPr>
        <w:spacing w:line="360" w:lineRule="auto"/>
        <w:rPr>
          <w:rFonts w:cs="Arial"/>
          <w:szCs w:val="22"/>
          <w:highlight w:val="yellow"/>
        </w:rPr>
      </w:pPr>
      <w:r w:rsidRPr="00317923">
        <w:rPr>
          <w:rFonts w:cs="Arial"/>
          <w:szCs w:val="22"/>
          <w:highlight w:val="yellow"/>
        </w:rPr>
        <w:t>The developer can procure the services of professional service providers to oversee and manage the house construction phase.</w:t>
      </w:r>
    </w:p>
    <w:p w14:paraId="793DC7A3" w14:textId="77777777" w:rsidR="00EE4B47" w:rsidRPr="008E0069" w:rsidRDefault="00EE4B47" w:rsidP="00B0299D">
      <w:pPr>
        <w:spacing w:line="360" w:lineRule="auto"/>
        <w:rPr>
          <w:rFonts w:cs="Arial"/>
          <w:szCs w:val="22"/>
        </w:rPr>
      </w:pPr>
      <w:r w:rsidRPr="00317923">
        <w:rPr>
          <w:rFonts w:cs="Arial"/>
          <w:szCs w:val="22"/>
          <w:highlight w:val="yellow"/>
        </w:rPr>
        <w:t>The IRDP house construction phase is founded on the construction of houses by registered contractor(s) who are to be procured by the developer through MFMA / PFMA compliant procedures.</w:t>
      </w:r>
      <w:r w:rsidRPr="008E0069">
        <w:rPr>
          <w:rFonts w:cs="Arial"/>
          <w:szCs w:val="22"/>
        </w:rPr>
        <w:t xml:space="preserve">  </w:t>
      </w:r>
    </w:p>
    <w:p w14:paraId="5220B8CB" w14:textId="77777777" w:rsidR="00EE4B47" w:rsidRPr="00317923" w:rsidRDefault="00EE4B47" w:rsidP="00B0299D">
      <w:pPr>
        <w:spacing w:line="360" w:lineRule="auto"/>
        <w:rPr>
          <w:rFonts w:cs="Arial"/>
          <w:szCs w:val="22"/>
          <w:highlight w:val="yellow"/>
        </w:rPr>
      </w:pPr>
      <w:r w:rsidRPr="00317923">
        <w:rPr>
          <w:rFonts w:cs="Arial"/>
          <w:b/>
          <w:szCs w:val="22"/>
          <w:highlight w:val="yellow"/>
        </w:rPr>
        <w:t>Measures and Controls</w:t>
      </w:r>
      <w:r w:rsidRPr="00317923">
        <w:rPr>
          <w:rFonts w:cs="Arial"/>
          <w:szCs w:val="22"/>
          <w:highlight w:val="yellow"/>
        </w:rPr>
        <w:t>:</w:t>
      </w:r>
    </w:p>
    <w:p w14:paraId="4C5E28D3" w14:textId="1B3CB7CF" w:rsidR="00EE4B47" w:rsidRPr="00985BA5" w:rsidRDefault="00EE4B47" w:rsidP="00B0299D">
      <w:pPr>
        <w:spacing w:line="360" w:lineRule="auto"/>
        <w:rPr>
          <w:rFonts w:cs="Arial"/>
          <w:szCs w:val="22"/>
        </w:rPr>
      </w:pPr>
      <w:r w:rsidRPr="00317923">
        <w:rPr>
          <w:rFonts w:cs="Arial"/>
          <w:szCs w:val="22"/>
          <w:highlight w:val="yellow"/>
        </w:rPr>
        <w:t>Any residential unit being built under the IRDP programme needs to comply with the N</w:t>
      </w:r>
      <w:r w:rsidR="00D16FD4" w:rsidRPr="00317923">
        <w:rPr>
          <w:rFonts w:cs="Arial"/>
          <w:szCs w:val="22"/>
          <w:highlight w:val="yellow"/>
        </w:rPr>
        <w:t xml:space="preserve">ational </w:t>
      </w:r>
      <w:r w:rsidRPr="00317923">
        <w:rPr>
          <w:rFonts w:cs="Arial"/>
          <w:szCs w:val="22"/>
          <w:highlight w:val="yellow"/>
        </w:rPr>
        <w:t>B</w:t>
      </w:r>
      <w:r w:rsidR="00D16FD4" w:rsidRPr="00317923">
        <w:rPr>
          <w:rFonts w:cs="Arial"/>
          <w:szCs w:val="22"/>
          <w:highlight w:val="yellow"/>
        </w:rPr>
        <w:t xml:space="preserve">uilding </w:t>
      </w:r>
      <w:r w:rsidRPr="00317923">
        <w:rPr>
          <w:rFonts w:cs="Arial"/>
          <w:szCs w:val="22"/>
          <w:highlight w:val="yellow"/>
        </w:rPr>
        <w:t>R</w:t>
      </w:r>
      <w:r w:rsidR="00D16FD4" w:rsidRPr="00317923">
        <w:rPr>
          <w:rFonts w:cs="Arial"/>
          <w:szCs w:val="22"/>
          <w:highlight w:val="yellow"/>
        </w:rPr>
        <w:t xml:space="preserve">egulations and </w:t>
      </w:r>
      <w:r w:rsidRPr="00317923">
        <w:rPr>
          <w:rFonts w:cs="Arial"/>
          <w:szCs w:val="22"/>
          <w:highlight w:val="yellow"/>
        </w:rPr>
        <w:t>S</w:t>
      </w:r>
      <w:r w:rsidR="00D16FD4" w:rsidRPr="00317923">
        <w:rPr>
          <w:rFonts w:cs="Arial"/>
          <w:szCs w:val="22"/>
          <w:highlight w:val="yellow"/>
        </w:rPr>
        <w:t>tandards</w:t>
      </w:r>
      <w:r w:rsidRPr="00317923">
        <w:rPr>
          <w:rFonts w:cs="Arial"/>
          <w:szCs w:val="22"/>
          <w:highlight w:val="yellow"/>
        </w:rPr>
        <w:t xml:space="preserve"> and the </w:t>
      </w:r>
      <w:r w:rsidR="00D16FD4" w:rsidRPr="00317923">
        <w:rPr>
          <w:rFonts w:cs="Arial"/>
          <w:szCs w:val="22"/>
          <w:highlight w:val="yellow"/>
        </w:rPr>
        <w:t>N</w:t>
      </w:r>
      <w:r w:rsidRPr="00317923">
        <w:rPr>
          <w:rFonts w:cs="Arial"/>
          <w:szCs w:val="22"/>
          <w:highlight w:val="yellow"/>
        </w:rPr>
        <w:t>DHS Minimum Norms for stand-alone residential units and any minimum norms and standards applicable at the Provincial level. Furthermore</w:t>
      </w:r>
      <w:r w:rsidR="00D16FD4" w:rsidRPr="00317923">
        <w:rPr>
          <w:rFonts w:cs="Arial"/>
          <w:szCs w:val="22"/>
          <w:highlight w:val="yellow"/>
        </w:rPr>
        <w:t>,</w:t>
      </w:r>
      <w:r w:rsidRPr="00317923">
        <w:rPr>
          <w:rFonts w:cs="Arial"/>
          <w:szCs w:val="22"/>
          <w:highlight w:val="yellow"/>
        </w:rPr>
        <w:t xml:space="preserve"> it is a requirement of the IRDP that all homebuilders/contractors appointed </w:t>
      </w:r>
      <w:r w:rsidR="00D16FD4" w:rsidRPr="00317923">
        <w:rPr>
          <w:rFonts w:cs="Arial"/>
          <w:szCs w:val="22"/>
          <w:highlight w:val="yellow"/>
        </w:rPr>
        <w:t>‘</w:t>
      </w:r>
      <w:r w:rsidRPr="00317923">
        <w:rPr>
          <w:rFonts w:cs="Arial"/>
          <w:i/>
          <w:szCs w:val="22"/>
          <w:highlight w:val="yellow"/>
        </w:rPr>
        <w:t>be registered with the NHBRC and to comply with the guidelines as stipulated by the NHBRC. In addition all houses to be constructed under the programme must be enrolled with the NHBRC</w:t>
      </w:r>
      <w:r w:rsidRPr="00317923">
        <w:rPr>
          <w:rFonts w:cs="Arial"/>
          <w:szCs w:val="22"/>
          <w:highlight w:val="yellow"/>
        </w:rPr>
        <w:t>.</w:t>
      </w:r>
      <w:r w:rsidR="00D16FD4">
        <w:rPr>
          <w:rFonts w:cs="Arial"/>
          <w:szCs w:val="22"/>
        </w:rPr>
        <w:t>’</w:t>
      </w:r>
      <w:r w:rsidRPr="00985BA5">
        <w:rPr>
          <w:rFonts w:cs="Arial"/>
          <w:szCs w:val="22"/>
        </w:rPr>
        <w:t xml:space="preserve">  </w:t>
      </w:r>
      <w:r w:rsidRPr="009A6835">
        <w:rPr>
          <w:rFonts w:cs="Arial"/>
          <w:szCs w:val="22"/>
        </w:rPr>
        <w:t>(</w:t>
      </w:r>
      <w:r w:rsidR="00D16FD4" w:rsidRPr="009A6835">
        <w:rPr>
          <w:rFonts w:cs="Arial"/>
          <w:szCs w:val="22"/>
        </w:rPr>
        <w:t>source</w:t>
      </w:r>
      <w:r w:rsidRPr="009A6835">
        <w:rPr>
          <w:rFonts w:cs="Arial"/>
          <w:szCs w:val="22"/>
        </w:rPr>
        <w:t>)</w:t>
      </w:r>
    </w:p>
    <w:p w14:paraId="535101C4" w14:textId="77777777" w:rsidR="00EE4B47" w:rsidRDefault="00EE4B47" w:rsidP="00B0299D">
      <w:pPr>
        <w:spacing w:line="360" w:lineRule="auto"/>
        <w:rPr>
          <w:rFonts w:cs="Arial"/>
          <w:szCs w:val="22"/>
        </w:rPr>
      </w:pPr>
      <w:r w:rsidRPr="002F509F">
        <w:rPr>
          <w:rFonts w:cs="Arial"/>
          <w:b/>
          <w:szCs w:val="22"/>
        </w:rPr>
        <w:t>Financial Mechanisms</w:t>
      </w:r>
      <w:r>
        <w:rPr>
          <w:rFonts w:cs="Arial"/>
          <w:szCs w:val="22"/>
        </w:rPr>
        <w:t>:</w:t>
      </w:r>
    </w:p>
    <w:p w14:paraId="65BD913F" w14:textId="77777777" w:rsidR="00EE4B47" w:rsidRPr="008E0069" w:rsidRDefault="00EE4B47" w:rsidP="00B0299D">
      <w:pPr>
        <w:spacing w:line="360" w:lineRule="auto"/>
        <w:rPr>
          <w:rFonts w:cs="Arial"/>
          <w:szCs w:val="22"/>
        </w:rPr>
      </w:pPr>
      <w:r w:rsidRPr="008E0069">
        <w:rPr>
          <w:rFonts w:cs="Arial"/>
          <w:szCs w:val="22"/>
        </w:rPr>
        <w:t>The programme provides for the projects working capital requirements through permitting progress payments in advance to the IRDP developers.</w:t>
      </w:r>
    </w:p>
    <w:p w14:paraId="3479FDF2" w14:textId="298810D4" w:rsidR="00EE4B47" w:rsidRPr="00A76C50" w:rsidRDefault="00EE4B47" w:rsidP="00E732E9">
      <w:pPr>
        <w:pStyle w:val="Heading3"/>
      </w:pPr>
      <w:bookmarkStart w:id="231" w:name="_Toc387655137"/>
      <w:bookmarkStart w:id="232" w:name="_Toc262067855"/>
      <w:bookmarkStart w:id="233" w:name="_Toc262068181"/>
      <w:r w:rsidRPr="00A76C50">
        <w:t xml:space="preserve">Generic work process for </w:t>
      </w:r>
      <w:r w:rsidR="00E01C9B">
        <w:t>subsidized</w:t>
      </w:r>
      <w:r w:rsidRPr="00A76C50">
        <w:t xml:space="preserve"> top structure development under the </w:t>
      </w:r>
      <w:bookmarkEnd w:id="231"/>
      <w:r w:rsidRPr="00A76C50">
        <w:t>IRDP</w:t>
      </w:r>
      <w:bookmarkEnd w:id="232"/>
      <w:bookmarkEnd w:id="233"/>
      <w:r w:rsidRPr="00A76C50">
        <w:t xml:space="preserve"> </w:t>
      </w:r>
    </w:p>
    <w:p w14:paraId="47100182" w14:textId="37485483" w:rsidR="00EE4B47" w:rsidRPr="008E0069" w:rsidRDefault="00D16FD4" w:rsidP="00EE4B47">
      <w:pPr>
        <w:spacing w:line="360" w:lineRule="auto"/>
        <w:ind w:left="488"/>
        <w:rPr>
          <w:rFonts w:cs="Arial"/>
          <w:szCs w:val="22"/>
        </w:rPr>
      </w:pPr>
      <w:r w:rsidRPr="00250EA9">
        <w:rPr>
          <w:rFonts w:cs="Arial"/>
          <w:szCs w:val="22"/>
        </w:rPr>
        <w:lastRenderedPageBreak/>
        <w:fldChar w:fldCharType="begin"/>
      </w:r>
      <w:r w:rsidRPr="00250EA9">
        <w:rPr>
          <w:rFonts w:cs="Arial"/>
          <w:szCs w:val="22"/>
        </w:rPr>
        <w:instrText xml:space="preserve"> REF _Ref388626910 \h </w:instrText>
      </w:r>
      <w:r>
        <w:rPr>
          <w:rFonts w:cs="Arial"/>
          <w:szCs w:val="22"/>
        </w:rPr>
        <w:instrText xml:space="preserve"> \* MERGEFORMAT </w:instrText>
      </w:r>
      <w:r w:rsidRPr="00250EA9">
        <w:rPr>
          <w:rFonts w:cs="Arial"/>
          <w:szCs w:val="22"/>
        </w:rPr>
      </w:r>
      <w:r w:rsidRPr="00250EA9">
        <w:rPr>
          <w:rFonts w:cs="Arial"/>
          <w:szCs w:val="22"/>
        </w:rPr>
        <w:fldChar w:fldCharType="separate"/>
      </w:r>
      <w:r w:rsidR="00E9048A">
        <w:rPr>
          <w:rFonts w:cs="Arial"/>
          <w:b/>
          <w:szCs w:val="22"/>
        </w:rPr>
        <w:t>Error! Reference source not found.</w:t>
      </w:r>
      <w:r w:rsidRPr="00250EA9">
        <w:rPr>
          <w:rFonts w:cs="Arial"/>
          <w:szCs w:val="22"/>
        </w:rPr>
        <w:fldChar w:fldCharType="end"/>
      </w:r>
      <w:r>
        <w:rPr>
          <w:rFonts w:cs="Arial"/>
          <w:b/>
          <w:szCs w:val="22"/>
        </w:rPr>
        <w:t xml:space="preserve"> </w:t>
      </w:r>
      <w:r w:rsidR="00EE4B47" w:rsidRPr="008E0069">
        <w:rPr>
          <w:rFonts w:cs="Arial"/>
          <w:szCs w:val="22"/>
        </w:rPr>
        <w:t xml:space="preserve">below outlines the general work process that could be associated with an IRDP funded top structure work process. The activities that need to be executed by the developer / municipality are </w:t>
      </w:r>
      <w:r w:rsidR="00955FF5" w:rsidRPr="008E0069">
        <w:rPr>
          <w:rFonts w:cs="Arial"/>
          <w:szCs w:val="22"/>
        </w:rPr>
        <w:t>identifie</w:t>
      </w:r>
      <w:r w:rsidR="00955FF5">
        <w:rPr>
          <w:rFonts w:cs="Arial"/>
          <w:szCs w:val="22"/>
        </w:rPr>
        <w:t>d</w:t>
      </w:r>
      <w:r w:rsidR="00955FF5" w:rsidRPr="008E0069">
        <w:rPr>
          <w:rFonts w:cs="Arial"/>
          <w:szCs w:val="22"/>
        </w:rPr>
        <w:t xml:space="preserve"> </w:t>
      </w:r>
      <w:r w:rsidR="00EE4B47" w:rsidRPr="008E0069">
        <w:rPr>
          <w:rFonts w:cs="Arial"/>
          <w:szCs w:val="22"/>
        </w:rPr>
        <w:t>in the yellow filled boxes</w:t>
      </w:r>
      <w:r w:rsidR="00A73740">
        <w:rPr>
          <w:rFonts w:cs="Arial"/>
          <w:szCs w:val="22"/>
        </w:rPr>
        <w:t>, while the blue box indicates an activity required to be fulfilled by another actor</w:t>
      </w:r>
      <w:r w:rsidR="00EE4B47" w:rsidRPr="008E0069">
        <w:rPr>
          <w:rFonts w:cs="Arial"/>
          <w:szCs w:val="22"/>
        </w:rPr>
        <w:t xml:space="preserve">. </w:t>
      </w:r>
    </w:p>
    <w:p w14:paraId="4C16B4D6" w14:textId="77777777" w:rsidR="00EE4B47" w:rsidRPr="008E0069" w:rsidRDefault="00EE4B47" w:rsidP="00955FF5">
      <w:pPr>
        <w:ind w:left="1440" w:hanging="1440"/>
        <w:rPr>
          <w:rFonts w:cs="Arial"/>
          <w:szCs w:val="22"/>
        </w:rPr>
      </w:pPr>
      <w:r>
        <w:rPr>
          <w:noProof/>
          <w:lang w:val="en-US"/>
        </w:rPr>
        <w:drawing>
          <wp:inline distT="0" distB="0" distL="0" distR="0" wp14:anchorId="78696928" wp14:editId="424D7FF3">
            <wp:extent cx="6115050" cy="63246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115050" cy="6324600"/>
                    </a:xfrm>
                    <a:prstGeom prst="rect">
                      <a:avLst/>
                    </a:prstGeom>
                    <a:noFill/>
                    <a:ln>
                      <a:noFill/>
                    </a:ln>
                  </pic:spPr>
                </pic:pic>
              </a:graphicData>
            </a:graphic>
          </wp:inline>
        </w:drawing>
      </w:r>
    </w:p>
    <w:p w14:paraId="1E246311" w14:textId="77777777" w:rsidR="00EE4B47" w:rsidRPr="008E0069" w:rsidRDefault="00EE4B47" w:rsidP="00EE4B47">
      <w:pPr>
        <w:ind w:left="1080"/>
        <w:rPr>
          <w:rFonts w:cs="Arial"/>
          <w:szCs w:val="22"/>
        </w:rPr>
      </w:pPr>
    </w:p>
    <w:p w14:paraId="74F9372C" w14:textId="280AD065" w:rsidR="00EE4B47" w:rsidRPr="00565B77" w:rsidRDefault="009A6835" w:rsidP="00EE4B47">
      <w:pPr>
        <w:spacing w:line="360" w:lineRule="auto"/>
        <w:rPr>
          <w:b/>
          <w:bCs/>
          <w:szCs w:val="22"/>
        </w:rPr>
      </w:pPr>
      <w:bookmarkStart w:id="234" w:name="_Toc270945521"/>
      <w:r w:rsidRPr="008C45F2">
        <w:rPr>
          <w:b/>
        </w:rPr>
        <w:t xml:space="preserve">Figure </w:t>
      </w:r>
      <w:r w:rsidRPr="00220C7D">
        <w:rPr>
          <w:b/>
        </w:rPr>
        <w:fldChar w:fldCharType="begin"/>
      </w:r>
      <w:r w:rsidRPr="00220C7D">
        <w:rPr>
          <w:b/>
        </w:rPr>
        <w:instrText xml:space="preserve"> SEQ Figure \* ARABIC </w:instrText>
      </w:r>
      <w:r w:rsidRPr="00220C7D">
        <w:rPr>
          <w:b/>
        </w:rPr>
        <w:fldChar w:fldCharType="separate"/>
      </w:r>
      <w:r w:rsidR="00E9048A">
        <w:rPr>
          <w:b/>
          <w:noProof/>
        </w:rPr>
        <w:t>18</w:t>
      </w:r>
      <w:r w:rsidRPr="00220C7D">
        <w:rPr>
          <w:b/>
        </w:rPr>
        <w:fldChar w:fldCharType="end"/>
      </w:r>
      <w:r w:rsidR="00EE4B47" w:rsidRPr="00565B77">
        <w:rPr>
          <w:b/>
          <w:szCs w:val="22"/>
        </w:rPr>
        <w:t>:</w:t>
      </w:r>
      <w:r w:rsidR="00EE4B47" w:rsidRPr="00565B77">
        <w:rPr>
          <w:b/>
          <w:bCs/>
          <w:szCs w:val="22"/>
        </w:rPr>
        <w:t xml:space="preserve"> Work Process for </w:t>
      </w:r>
      <w:r w:rsidR="00E01C9B">
        <w:rPr>
          <w:b/>
          <w:bCs/>
          <w:szCs w:val="22"/>
        </w:rPr>
        <w:t>Subsidized</w:t>
      </w:r>
      <w:r w:rsidR="00EE4B47" w:rsidRPr="00565B77">
        <w:rPr>
          <w:b/>
          <w:bCs/>
          <w:szCs w:val="22"/>
        </w:rPr>
        <w:t xml:space="preserve"> Top Structure Development (IRDP)</w:t>
      </w:r>
      <w:bookmarkEnd w:id="234"/>
    </w:p>
    <w:p w14:paraId="17C69570" w14:textId="16CCF5DD" w:rsidR="00EE4B47" w:rsidRPr="00A76C50" w:rsidRDefault="00EE4B47" w:rsidP="00E732E9">
      <w:pPr>
        <w:pStyle w:val="Heading3"/>
      </w:pPr>
      <w:bookmarkStart w:id="235" w:name="_Toc387655138"/>
      <w:bookmarkStart w:id="236" w:name="_Toc262067856"/>
      <w:bookmarkStart w:id="237" w:name="_Toc262068182"/>
      <w:r>
        <w:lastRenderedPageBreak/>
        <w:t>A</w:t>
      </w:r>
      <w:r w:rsidRPr="00A76C50">
        <w:t>ssessment</w:t>
      </w:r>
      <w:bookmarkEnd w:id="235"/>
      <w:r>
        <w:t xml:space="preserve"> of the suitability of the IRDP Programme to housing consolidation in in</w:t>
      </w:r>
      <w:r w:rsidR="00126E91">
        <w:t xml:space="preserve"> </w:t>
      </w:r>
      <w:r>
        <w:t>situ upgrading</w:t>
      </w:r>
      <w:bookmarkEnd w:id="236"/>
      <w:bookmarkEnd w:id="237"/>
    </w:p>
    <w:p w14:paraId="385FA64E" w14:textId="77777777" w:rsidR="00EE4B47" w:rsidRDefault="00EE4B47" w:rsidP="0055634E">
      <w:pPr>
        <w:pStyle w:val="ListParagraph"/>
        <w:numPr>
          <w:ilvl w:val="0"/>
          <w:numId w:val="38"/>
        </w:numPr>
        <w:ind w:left="720"/>
        <w:rPr>
          <w:rFonts w:cs="Arial"/>
        </w:rPr>
      </w:pPr>
      <w:r w:rsidRPr="007D653E">
        <w:rPr>
          <w:rFonts w:cs="Arial"/>
          <w:b/>
        </w:rPr>
        <w:t>Programme Fit</w:t>
      </w:r>
      <w:r w:rsidRPr="007D653E">
        <w:rPr>
          <w:rFonts w:cs="Arial"/>
        </w:rPr>
        <w:t xml:space="preserve">: </w:t>
      </w:r>
    </w:p>
    <w:p w14:paraId="487BD627" w14:textId="1777576B" w:rsidR="00EE4B47" w:rsidRDefault="00EE4B47" w:rsidP="0055634E">
      <w:pPr>
        <w:pStyle w:val="ListParagraph"/>
        <w:numPr>
          <w:ilvl w:val="0"/>
          <w:numId w:val="22"/>
        </w:numPr>
        <w:ind w:left="1080"/>
        <w:rPr>
          <w:rFonts w:cs="Arial"/>
        </w:rPr>
      </w:pPr>
      <w:r w:rsidRPr="00D647F4">
        <w:rPr>
          <w:rFonts w:cs="Arial"/>
        </w:rPr>
        <w:t xml:space="preserve">In higher density </w:t>
      </w:r>
      <w:r>
        <w:rPr>
          <w:rFonts w:cs="Arial"/>
        </w:rPr>
        <w:t>ISU projects</w:t>
      </w:r>
      <w:r w:rsidR="00955FF5">
        <w:rPr>
          <w:rFonts w:cs="Arial"/>
        </w:rPr>
        <w:t>,</w:t>
      </w:r>
      <w:r>
        <w:rPr>
          <w:rFonts w:cs="Arial"/>
        </w:rPr>
        <w:t xml:space="preserve"> it may not be possible to construct </w:t>
      </w:r>
      <w:r w:rsidRPr="00D647F4">
        <w:rPr>
          <w:rFonts w:cs="Arial"/>
        </w:rPr>
        <w:t xml:space="preserve">housing types that match the density required </w:t>
      </w:r>
      <w:r>
        <w:rPr>
          <w:rFonts w:cs="Arial"/>
        </w:rPr>
        <w:t xml:space="preserve">and </w:t>
      </w:r>
      <w:r w:rsidRPr="00D647F4">
        <w:rPr>
          <w:rFonts w:cs="Arial"/>
        </w:rPr>
        <w:t xml:space="preserve">comply with minimum norms and standards, </w:t>
      </w:r>
      <w:r w:rsidR="00955FF5">
        <w:rPr>
          <w:rFonts w:cs="Arial"/>
        </w:rPr>
        <w:t xml:space="preserve">the </w:t>
      </w:r>
      <w:r w:rsidRPr="00D647F4">
        <w:rPr>
          <w:rFonts w:cs="Arial"/>
        </w:rPr>
        <w:t>NBR</w:t>
      </w:r>
      <w:r w:rsidR="00955FF5">
        <w:rPr>
          <w:rFonts w:cs="Arial"/>
        </w:rPr>
        <w:t>S</w:t>
      </w:r>
      <w:r w:rsidRPr="00D647F4">
        <w:rPr>
          <w:rFonts w:cs="Arial"/>
        </w:rPr>
        <w:t xml:space="preserve"> and NHBRC requirements as required by the IRDP code.</w:t>
      </w:r>
    </w:p>
    <w:p w14:paraId="51D36B83" w14:textId="77777777" w:rsidR="00EE4B47" w:rsidRPr="00DD13C3" w:rsidRDefault="00EE4B47" w:rsidP="0055634E">
      <w:pPr>
        <w:pStyle w:val="ListParagraph"/>
        <w:numPr>
          <w:ilvl w:val="0"/>
          <w:numId w:val="22"/>
        </w:numPr>
        <w:ind w:left="1080"/>
        <w:rPr>
          <w:rFonts w:cs="Arial"/>
        </w:rPr>
      </w:pPr>
      <w:r w:rsidRPr="00DD13C3">
        <w:rPr>
          <w:rFonts w:cs="Arial"/>
        </w:rPr>
        <w:t>The nature of the private contractor procurement and contract management place pressure on the developer to restrict the number of house types to be constructed</w:t>
      </w:r>
      <w:r>
        <w:rPr>
          <w:rFonts w:cs="Arial"/>
        </w:rPr>
        <w:t>. This will m</w:t>
      </w:r>
      <w:r w:rsidRPr="00DD13C3">
        <w:rPr>
          <w:rFonts w:cs="Arial"/>
        </w:rPr>
        <w:t xml:space="preserve">ake it difficult to accommodate house design solutions designed to respond to </w:t>
      </w:r>
      <w:r>
        <w:rPr>
          <w:rFonts w:cs="Arial"/>
        </w:rPr>
        <w:t xml:space="preserve">diverse </w:t>
      </w:r>
      <w:r w:rsidRPr="00DD13C3">
        <w:rPr>
          <w:rFonts w:cs="Arial"/>
        </w:rPr>
        <w:t xml:space="preserve">household requirements- for example </w:t>
      </w:r>
      <w:r>
        <w:rPr>
          <w:rFonts w:cs="Arial"/>
        </w:rPr>
        <w:t xml:space="preserve">need to </w:t>
      </w:r>
      <w:r w:rsidRPr="00DD13C3">
        <w:rPr>
          <w:rFonts w:cs="Arial"/>
        </w:rPr>
        <w:t xml:space="preserve">rent </w:t>
      </w:r>
      <w:r>
        <w:rPr>
          <w:rFonts w:cs="Arial"/>
        </w:rPr>
        <w:t>out a room</w:t>
      </w:r>
      <w:r w:rsidRPr="00DD13C3">
        <w:rPr>
          <w:rFonts w:cs="Arial"/>
        </w:rPr>
        <w:t xml:space="preserve"> to generate income</w:t>
      </w:r>
      <w:r>
        <w:rPr>
          <w:rFonts w:cs="Arial"/>
        </w:rPr>
        <w:t xml:space="preserve">, </w:t>
      </w:r>
      <w:r w:rsidRPr="00DD13C3">
        <w:rPr>
          <w:rFonts w:cs="Arial"/>
        </w:rPr>
        <w:t xml:space="preserve">or </w:t>
      </w:r>
      <w:r>
        <w:rPr>
          <w:rFonts w:cs="Arial"/>
        </w:rPr>
        <w:t xml:space="preserve">a households </w:t>
      </w:r>
      <w:r w:rsidRPr="00DD13C3">
        <w:rPr>
          <w:rFonts w:cs="Arial"/>
        </w:rPr>
        <w:t>need for separate room and entrance to accommodate adult son.</w:t>
      </w:r>
    </w:p>
    <w:p w14:paraId="36D05629" w14:textId="77777777" w:rsidR="00EE4B47" w:rsidRDefault="00EE4B47" w:rsidP="0055634E">
      <w:pPr>
        <w:pStyle w:val="ListParagraph"/>
        <w:numPr>
          <w:ilvl w:val="0"/>
          <w:numId w:val="38"/>
        </w:numPr>
        <w:ind w:left="720"/>
        <w:rPr>
          <w:rFonts w:cs="Arial"/>
        </w:rPr>
      </w:pPr>
      <w:r w:rsidRPr="00D647F4">
        <w:rPr>
          <w:rFonts w:cs="Arial"/>
          <w:b/>
        </w:rPr>
        <w:t xml:space="preserve">Institutional </w:t>
      </w:r>
      <w:r>
        <w:rPr>
          <w:rFonts w:cs="Arial"/>
          <w:b/>
        </w:rPr>
        <w:t>capacity</w:t>
      </w:r>
      <w:r w:rsidRPr="00D647F4">
        <w:rPr>
          <w:rFonts w:cs="Arial"/>
        </w:rPr>
        <w:t xml:space="preserve">: </w:t>
      </w:r>
    </w:p>
    <w:p w14:paraId="71862700" w14:textId="71BB41DE" w:rsidR="00EE4B47" w:rsidRDefault="00EE4B47" w:rsidP="0055634E">
      <w:pPr>
        <w:pStyle w:val="ListParagraph"/>
        <w:numPr>
          <w:ilvl w:val="0"/>
          <w:numId w:val="22"/>
        </w:numPr>
        <w:ind w:left="1080"/>
        <w:rPr>
          <w:rFonts w:cs="Arial"/>
        </w:rPr>
      </w:pPr>
      <w:r>
        <w:rPr>
          <w:rFonts w:cs="Arial"/>
        </w:rPr>
        <w:t>U</w:t>
      </w:r>
      <w:r w:rsidRPr="00D647F4">
        <w:rPr>
          <w:rFonts w:cs="Arial"/>
        </w:rPr>
        <w:t>nder the IRDP process the developer/municipality is expected to perform a large number of complex design, social facilitation and technical contract management processes. Accordingly the viability of adopting the IRDP mode of the top structure delivery needs to be carefully assessed against the capacity of the municipality to</w:t>
      </w:r>
      <w:r w:rsidR="00955FF5">
        <w:rPr>
          <w:rFonts w:cs="Arial"/>
        </w:rPr>
        <w:t>,</w:t>
      </w:r>
      <w:r w:rsidRPr="00D647F4">
        <w:rPr>
          <w:rFonts w:cs="Arial"/>
        </w:rPr>
        <w:t xml:space="preserve"> either</w:t>
      </w:r>
      <w:r w:rsidR="00955FF5">
        <w:rPr>
          <w:rFonts w:cs="Arial"/>
        </w:rPr>
        <w:t>:</w:t>
      </w:r>
      <w:r>
        <w:rPr>
          <w:rFonts w:cs="Arial"/>
        </w:rPr>
        <w:t xml:space="preserve">  </w:t>
      </w:r>
      <w:r w:rsidRPr="00D647F4">
        <w:rPr>
          <w:rFonts w:cs="Arial"/>
        </w:rPr>
        <w:t>perform these functions or procure the services of an experienced and capacitated implementing agent from the private sector.</w:t>
      </w:r>
    </w:p>
    <w:p w14:paraId="42932F79" w14:textId="686278DF" w:rsidR="00EE4B47" w:rsidRPr="00084D93" w:rsidRDefault="00EE4B47" w:rsidP="0055634E">
      <w:pPr>
        <w:pStyle w:val="ListParagraph"/>
        <w:numPr>
          <w:ilvl w:val="0"/>
          <w:numId w:val="22"/>
        </w:numPr>
        <w:ind w:left="1080"/>
        <w:rPr>
          <w:rFonts w:cs="Arial"/>
        </w:rPr>
      </w:pPr>
      <w:r>
        <w:rPr>
          <w:rFonts w:cs="Arial"/>
        </w:rPr>
        <w:t>T</w:t>
      </w:r>
      <w:r w:rsidRPr="00084D93">
        <w:rPr>
          <w:rFonts w:cs="Arial"/>
        </w:rPr>
        <w:t xml:space="preserve">he management of contractual timing risk will require that the handover of the residential construction sites to the house contractor(s) </w:t>
      </w:r>
      <w:r w:rsidR="00955FF5">
        <w:rPr>
          <w:rFonts w:cs="Arial"/>
        </w:rPr>
        <w:t xml:space="preserve">in </w:t>
      </w:r>
      <w:r>
        <w:rPr>
          <w:rFonts w:cs="Arial"/>
        </w:rPr>
        <w:t xml:space="preserve">a </w:t>
      </w:r>
      <w:r w:rsidRPr="00084D93">
        <w:rPr>
          <w:rFonts w:cs="Arial"/>
        </w:rPr>
        <w:t xml:space="preserve">predictable and contracted sequence. This places a significant management onus on the </w:t>
      </w:r>
      <w:r>
        <w:rPr>
          <w:rFonts w:cs="Arial"/>
        </w:rPr>
        <w:t>municipality/</w:t>
      </w:r>
      <w:r w:rsidRPr="00084D93">
        <w:rPr>
          <w:rFonts w:cs="Arial"/>
        </w:rPr>
        <w:t xml:space="preserve">developer to ensure that the process of preparing/clearing/vacating  </w:t>
      </w:r>
      <w:r w:rsidR="00955FF5">
        <w:rPr>
          <w:rFonts w:cs="Arial"/>
        </w:rPr>
        <w:t xml:space="preserve"> </w:t>
      </w:r>
      <w:r w:rsidRPr="00084D93">
        <w:rPr>
          <w:rFonts w:cs="Arial"/>
        </w:rPr>
        <w:t>the individual sites for the home building contractor</w:t>
      </w:r>
      <w:r w:rsidR="00955FF5">
        <w:rPr>
          <w:rFonts w:cs="Arial"/>
        </w:rPr>
        <w:t>, which</w:t>
      </w:r>
      <w:r w:rsidRPr="00084D93">
        <w:rPr>
          <w:rFonts w:cs="Arial"/>
        </w:rPr>
        <w:t xml:space="preserve"> needs to be seamlessly managed.</w:t>
      </w:r>
      <w:r>
        <w:rPr>
          <w:rFonts w:cs="Arial"/>
        </w:rPr>
        <w:t xml:space="preserve"> In medium and higher density </w:t>
      </w:r>
      <w:r w:rsidRPr="00084D93">
        <w:rPr>
          <w:rFonts w:cs="Arial"/>
        </w:rPr>
        <w:t>settlements with lower levels of social cohesion and consensus the developer/municipality may experience difficulty in securing the vacant sites needed for handover to the house building contractors at the rate and in the sequence predicted</w:t>
      </w:r>
      <w:r>
        <w:rPr>
          <w:rFonts w:cs="Arial"/>
        </w:rPr>
        <w:t>.</w:t>
      </w:r>
    </w:p>
    <w:p w14:paraId="23911431" w14:textId="24C3DFC6" w:rsidR="00EE4B47" w:rsidRPr="00A43E70" w:rsidRDefault="00955FF5" w:rsidP="0055634E">
      <w:pPr>
        <w:pStyle w:val="ListParagraph"/>
        <w:numPr>
          <w:ilvl w:val="0"/>
          <w:numId w:val="38"/>
        </w:numPr>
        <w:ind w:left="720"/>
        <w:rPr>
          <w:rFonts w:cs="Arial"/>
          <w:b/>
        </w:rPr>
      </w:pPr>
      <w:r>
        <w:rPr>
          <w:rFonts w:cs="Arial"/>
          <w:b/>
        </w:rPr>
        <w:t>Utilization</w:t>
      </w:r>
      <w:r w:rsidR="00EE4B47">
        <w:rPr>
          <w:rFonts w:cs="Arial"/>
          <w:b/>
        </w:rPr>
        <w:t xml:space="preserve"> of prior private housing i</w:t>
      </w:r>
      <w:r w:rsidR="00EE4B47" w:rsidRPr="00D647F4">
        <w:rPr>
          <w:rFonts w:cs="Arial"/>
          <w:b/>
        </w:rPr>
        <w:t>nvestment</w:t>
      </w:r>
      <w:r w:rsidR="00EE4B47">
        <w:rPr>
          <w:rFonts w:cs="Arial"/>
        </w:rPr>
        <w:t xml:space="preserve"> </w:t>
      </w:r>
      <w:r w:rsidR="00EE4B47" w:rsidRPr="00A43E70">
        <w:rPr>
          <w:rFonts w:cs="Arial"/>
          <w:b/>
        </w:rPr>
        <w:t xml:space="preserve">and </w:t>
      </w:r>
      <w:r w:rsidR="00EE4B47">
        <w:rPr>
          <w:rFonts w:cs="Arial"/>
          <w:b/>
        </w:rPr>
        <w:t xml:space="preserve">the </w:t>
      </w:r>
      <w:r w:rsidR="00EE4B47" w:rsidRPr="00A43E70">
        <w:rPr>
          <w:rFonts w:cs="Arial"/>
          <w:b/>
        </w:rPr>
        <w:t>incorporat</w:t>
      </w:r>
      <w:r w:rsidR="00EE4B47">
        <w:rPr>
          <w:rFonts w:cs="Arial"/>
          <w:b/>
        </w:rPr>
        <w:t xml:space="preserve">ion of </w:t>
      </w:r>
      <w:r w:rsidR="00EE4B47" w:rsidRPr="00A43E70">
        <w:rPr>
          <w:rFonts w:cs="Arial"/>
          <w:b/>
        </w:rPr>
        <w:t xml:space="preserve"> </w:t>
      </w:r>
      <w:r w:rsidR="00EE4B47">
        <w:rPr>
          <w:rFonts w:cs="Arial"/>
          <w:b/>
        </w:rPr>
        <w:t xml:space="preserve">private </w:t>
      </w:r>
      <w:r w:rsidR="00EE4B47" w:rsidRPr="00A43E70">
        <w:rPr>
          <w:rFonts w:cs="Arial"/>
          <w:b/>
        </w:rPr>
        <w:t xml:space="preserve">sources of funding into the dwelling </w:t>
      </w:r>
    </w:p>
    <w:p w14:paraId="0FC07079" w14:textId="69F612BA" w:rsidR="00EE4B47" w:rsidRPr="00D647F4" w:rsidRDefault="00EE4B47" w:rsidP="0055634E">
      <w:pPr>
        <w:pStyle w:val="ListParagraph"/>
        <w:numPr>
          <w:ilvl w:val="0"/>
          <w:numId w:val="22"/>
        </w:numPr>
        <w:ind w:left="1080"/>
        <w:rPr>
          <w:rFonts w:cs="Arial"/>
        </w:rPr>
      </w:pPr>
      <w:r w:rsidRPr="00D647F4">
        <w:rPr>
          <w:rFonts w:cs="Arial"/>
        </w:rPr>
        <w:t>In situations where households have already invested in improvements using permanent materials and the residential plot size does not allow the construction of a new standard 4</w:t>
      </w:r>
      <w:r w:rsidR="00B25FA0">
        <w:rPr>
          <w:rFonts w:cs="Arial"/>
        </w:rPr>
        <w:t>2</w:t>
      </w:r>
      <w:r w:rsidRPr="00D647F4">
        <w:rPr>
          <w:rFonts w:cs="Arial"/>
        </w:rPr>
        <w:t>m</w:t>
      </w:r>
      <w:r w:rsidRPr="00250EA9">
        <w:rPr>
          <w:rFonts w:cs="Arial"/>
          <w:vertAlign w:val="superscript"/>
        </w:rPr>
        <w:t>2</w:t>
      </w:r>
      <w:r w:rsidRPr="00D647F4">
        <w:rPr>
          <w:rFonts w:cs="Arial"/>
        </w:rPr>
        <w:t xml:space="preserve"> unit in addition to these improvements</w:t>
      </w:r>
      <w:r w:rsidR="00B25FA0">
        <w:rPr>
          <w:rFonts w:cs="Arial"/>
        </w:rPr>
        <w:t>,</w:t>
      </w:r>
      <w:r w:rsidRPr="00D647F4">
        <w:rPr>
          <w:rFonts w:cs="Arial"/>
        </w:rPr>
        <w:t xml:space="preserve"> demolition of the </w:t>
      </w:r>
      <w:r w:rsidRPr="00D647F4">
        <w:rPr>
          <w:rFonts w:cs="Arial"/>
        </w:rPr>
        <w:lastRenderedPageBreak/>
        <w:t xml:space="preserve">previous investment </w:t>
      </w:r>
      <w:r w:rsidR="00B25FA0">
        <w:rPr>
          <w:rFonts w:cs="Arial"/>
        </w:rPr>
        <w:t>would</w:t>
      </w:r>
      <w:r w:rsidRPr="00D647F4">
        <w:rPr>
          <w:rFonts w:cs="Arial"/>
        </w:rPr>
        <w:t xml:space="preserve"> be required.</w:t>
      </w:r>
      <w:r>
        <w:rPr>
          <w:rFonts w:cs="Arial"/>
        </w:rPr>
        <w:t xml:space="preserve"> </w:t>
      </w:r>
      <w:r w:rsidRPr="00D647F4">
        <w:rPr>
          <w:rFonts w:cs="Arial"/>
        </w:rPr>
        <w:t>It is worth noting however</w:t>
      </w:r>
      <w:r>
        <w:rPr>
          <w:rFonts w:cs="Arial"/>
        </w:rPr>
        <w:t>,</w:t>
      </w:r>
      <w:r w:rsidRPr="00D647F4">
        <w:rPr>
          <w:rFonts w:cs="Arial"/>
        </w:rPr>
        <w:t xml:space="preserve"> that in</w:t>
      </w:r>
      <w:r>
        <w:rPr>
          <w:rFonts w:cs="Arial"/>
        </w:rPr>
        <w:t xml:space="preserve"> many </w:t>
      </w:r>
      <w:r w:rsidRPr="00D647F4">
        <w:rPr>
          <w:rFonts w:cs="Arial"/>
        </w:rPr>
        <w:t>lower</w:t>
      </w:r>
      <w:r>
        <w:rPr>
          <w:rFonts w:cs="Arial"/>
        </w:rPr>
        <w:t xml:space="preserve"> density </w:t>
      </w:r>
      <w:r w:rsidRPr="00D647F4">
        <w:rPr>
          <w:rFonts w:cs="Arial"/>
        </w:rPr>
        <w:t>context</w:t>
      </w:r>
      <w:r>
        <w:rPr>
          <w:rFonts w:cs="Arial"/>
        </w:rPr>
        <w:t>s</w:t>
      </w:r>
      <w:r w:rsidRPr="00D647F4">
        <w:rPr>
          <w:rFonts w:cs="Arial"/>
        </w:rPr>
        <w:t xml:space="preserve">, given adequate site sizes, there is no reason why new </w:t>
      </w:r>
      <w:r w:rsidR="00E01C9B">
        <w:rPr>
          <w:rFonts w:cs="Arial"/>
        </w:rPr>
        <w:t>subsidized</w:t>
      </w:r>
      <w:r w:rsidRPr="00D647F4">
        <w:rPr>
          <w:rFonts w:cs="Arial"/>
        </w:rPr>
        <w:t xml:space="preserve"> structures could not be constructed alongside, or in parallel to relocated existing dwellings.</w:t>
      </w:r>
      <w:r w:rsidR="00B25FA0">
        <w:rPr>
          <w:rFonts w:cs="Arial"/>
        </w:rPr>
        <w:t xml:space="preserve"> This extra space can then be applied to other uses, such as storage or additional income from backyard rental.</w:t>
      </w:r>
    </w:p>
    <w:p w14:paraId="64A78F2C" w14:textId="77777777" w:rsidR="00EE4B47" w:rsidRPr="005C3AE4" w:rsidRDefault="00EE4B47" w:rsidP="0055634E">
      <w:pPr>
        <w:pStyle w:val="ListParagraph"/>
        <w:numPr>
          <w:ilvl w:val="0"/>
          <w:numId w:val="38"/>
        </w:numPr>
        <w:ind w:left="720"/>
        <w:rPr>
          <w:rFonts w:cs="Arial"/>
        </w:rPr>
      </w:pPr>
      <w:r>
        <w:rPr>
          <w:rFonts w:cs="Arial"/>
          <w:b/>
        </w:rPr>
        <w:t xml:space="preserve">Synergies with the </w:t>
      </w:r>
      <w:r w:rsidRPr="0031267D">
        <w:rPr>
          <w:rFonts w:cs="Arial"/>
          <w:b/>
        </w:rPr>
        <w:t xml:space="preserve">house </w:t>
      </w:r>
      <w:r>
        <w:rPr>
          <w:rFonts w:cs="Arial"/>
          <w:b/>
        </w:rPr>
        <w:t xml:space="preserve">consolidation activities of </w:t>
      </w:r>
      <w:r w:rsidRPr="0031267D">
        <w:rPr>
          <w:rFonts w:cs="Arial"/>
          <w:b/>
        </w:rPr>
        <w:t>non-subsidy qualifying household</w:t>
      </w:r>
      <w:r>
        <w:rPr>
          <w:rFonts w:cs="Arial"/>
          <w:b/>
        </w:rPr>
        <w:t xml:space="preserve"> within the settlement</w:t>
      </w:r>
    </w:p>
    <w:p w14:paraId="0B2C7430" w14:textId="77777777" w:rsidR="00EE4B47" w:rsidRDefault="00EE4B47" w:rsidP="0055634E">
      <w:pPr>
        <w:pStyle w:val="ListParagraph"/>
        <w:numPr>
          <w:ilvl w:val="0"/>
          <w:numId w:val="22"/>
        </w:numPr>
        <w:ind w:left="1080"/>
        <w:rPr>
          <w:rFonts w:cs="Arial"/>
        </w:rPr>
      </w:pPr>
      <w:r>
        <w:rPr>
          <w:rFonts w:cs="Arial"/>
          <w:b/>
        </w:rPr>
        <w:t xml:space="preserve"> </w:t>
      </w:r>
      <w:r w:rsidRPr="007D653E">
        <w:rPr>
          <w:rFonts w:cs="Arial"/>
        </w:rPr>
        <w:t xml:space="preserve">House types developed to meet </w:t>
      </w:r>
      <w:r>
        <w:rPr>
          <w:rFonts w:cs="Arial"/>
        </w:rPr>
        <w:t xml:space="preserve">mass building efficiencies, </w:t>
      </w:r>
      <w:r w:rsidRPr="007D653E">
        <w:rPr>
          <w:rFonts w:cs="Arial"/>
        </w:rPr>
        <w:t xml:space="preserve">the norms and standards, NHBRC requirements </w:t>
      </w:r>
      <w:r>
        <w:rPr>
          <w:rFonts w:cs="Arial"/>
        </w:rPr>
        <w:t xml:space="preserve">associated with the IRDP programme </w:t>
      </w:r>
      <w:r w:rsidRPr="007D653E">
        <w:rPr>
          <w:rFonts w:cs="Arial"/>
        </w:rPr>
        <w:t>are unlikely to be suited to non-qualifying households that need to follow the privately financed incremental consolidation mode</w:t>
      </w:r>
      <w:r>
        <w:rPr>
          <w:rFonts w:cs="Arial"/>
        </w:rPr>
        <w:t>, and will be assembling their dwelling wall by wall or room by room.</w:t>
      </w:r>
    </w:p>
    <w:p w14:paraId="437209D0" w14:textId="230A07C7" w:rsidR="00EE4B47" w:rsidRDefault="00EE4B47" w:rsidP="0055634E">
      <w:pPr>
        <w:pStyle w:val="ListParagraph"/>
        <w:numPr>
          <w:ilvl w:val="0"/>
          <w:numId w:val="22"/>
        </w:numPr>
        <w:ind w:left="1080"/>
        <w:rPr>
          <w:rFonts w:cs="Arial"/>
        </w:rPr>
      </w:pPr>
      <w:r>
        <w:rPr>
          <w:rFonts w:cs="Arial"/>
        </w:rPr>
        <w:t xml:space="preserve">The developer- contractor mode will be unlikely to establish local design, materials supply and management and construction supervision arrangement that would be </w:t>
      </w:r>
      <w:r w:rsidR="00126E91">
        <w:rPr>
          <w:rFonts w:cs="Arial"/>
        </w:rPr>
        <w:t xml:space="preserve">suitable for </w:t>
      </w:r>
      <w:r>
        <w:rPr>
          <w:rFonts w:cs="Arial"/>
        </w:rPr>
        <w:t xml:space="preserve">unsubsidized households consolidating their homes through incremental owner building modes. </w:t>
      </w:r>
    </w:p>
    <w:p w14:paraId="08EF4922" w14:textId="6D1455DA" w:rsidR="00EE4B47" w:rsidRDefault="00EE4B47" w:rsidP="0055634E">
      <w:pPr>
        <w:pStyle w:val="ListParagraph"/>
        <w:numPr>
          <w:ilvl w:val="0"/>
          <w:numId w:val="38"/>
        </w:numPr>
        <w:ind w:left="720"/>
        <w:rPr>
          <w:rFonts w:cs="Arial"/>
        </w:rPr>
      </w:pPr>
      <w:r>
        <w:rPr>
          <w:rFonts w:cs="Arial"/>
          <w:b/>
        </w:rPr>
        <w:t>Building a s</w:t>
      </w:r>
      <w:r w:rsidRPr="001F4739">
        <w:rPr>
          <w:rFonts w:cs="Arial"/>
          <w:b/>
        </w:rPr>
        <w:t xml:space="preserve">ustainable </w:t>
      </w:r>
      <w:r>
        <w:rPr>
          <w:rFonts w:cs="Arial"/>
          <w:b/>
        </w:rPr>
        <w:t>local construction capacity</w:t>
      </w:r>
      <w:r w:rsidR="00B25FA0">
        <w:rPr>
          <w:rFonts w:cs="Arial"/>
          <w:b/>
        </w:rPr>
        <w:t xml:space="preserve"> &amp;</w:t>
      </w:r>
      <w:r>
        <w:rPr>
          <w:rFonts w:cs="Arial"/>
        </w:rPr>
        <w:t xml:space="preserve"> </w:t>
      </w:r>
      <w:r w:rsidRPr="007D653E">
        <w:rPr>
          <w:rFonts w:cs="Arial"/>
          <w:b/>
        </w:rPr>
        <w:t>Sustainable Housing Market</w:t>
      </w:r>
      <w:r w:rsidRPr="007D653E">
        <w:rPr>
          <w:rFonts w:cs="Arial"/>
        </w:rPr>
        <w:t>:</w:t>
      </w:r>
    </w:p>
    <w:p w14:paraId="5ED54549" w14:textId="77777777" w:rsidR="00EE4B47" w:rsidRPr="007D653E" w:rsidRDefault="00EE4B47" w:rsidP="0055634E">
      <w:pPr>
        <w:pStyle w:val="ListParagraph"/>
        <w:numPr>
          <w:ilvl w:val="0"/>
          <w:numId w:val="22"/>
        </w:numPr>
        <w:tabs>
          <w:tab w:val="left" w:pos="1080"/>
        </w:tabs>
        <w:ind w:left="1080"/>
        <w:rPr>
          <w:rFonts w:cs="Arial"/>
        </w:rPr>
      </w:pPr>
      <w:r>
        <w:rPr>
          <w:rFonts w:cs="Arial"/>
        </w:rPr>
        <w:t xml:space="preserve">The IRDP </w:t>
      </w:r>
      <w:r w:rsidRPr="008E0069">
        <w:rPr>
          <w:rFonts w:cs="Arial"/>
        </w:rPr>
        <w:t xml:space="preserve">house building contractors </w:t>
      </w:r>
      <w:r>
        <w:rPr>
          <w:rFonts w:cs="Arial"/>
        </w:rPr>
        <w:t xml:space="preserve">are unlikely to root their </w:t>
      </w:r>
      <w:r w:rsidRPr="008E0069">
        <w:rPr>
          <w:rFonts w:cs="Arial"/>
        </w:rPr>
        <w:t>materials supply – top structure design and construction management skills within the community- posing challenges for the post subsidy home extension and improvement stages</w:t>
      </w:r>
      <w:r>
        <w:rPr>
          <w:rFonts w:cs="Arial"/>
        </w:rPr>
        <w:t xml:space="preserve">. </w:t>
      </w:r>
    </w:p>
    <w:p w14:paraId="36CFFA9B" w14:textId="6CD82210" w:rsidR="00EE4B47" w:rsidRPr="004F035C" w:rsidRDefault="00EE4B47" w:rsidP="00540DD7">
      <w:pPr>
        <w:pStyle w:val="Heading2"/>
        <w:rPr>
          <w:highlight w:val="yellow"/>
        </w:rPr>
      </w:pPr>
      <w:bookmarkStart w:id="238" w:name="_Toc387238527"/>
      <w:bookmarkStart w:id="239" w:name="_Toc387655139"/>
      <w:bookmarkStart w:id="240" w:name="_Toc262067857"/>
      <w:bookmarkStart w:id="241" w:name="_Toc270946041"/>
      <w:r>
        <w:t xml:space="preserve">Ownership: </w:t>
      </w:r>
      <w:r w:rsidRPr="004F035C">
        <w:rPr>
          <w:highlight w:val="yellow"/>
        </w:rPr>
        <w:t>The Enhanced Peoples</w:t>
      </w:r>
      <w:r w:rsidR="006D2888" w:rsidRPr="004F035C">
        <w:rPr>
          <w:highlight w:val="yellow"/>
        </w:rPr>
        <w:t>’</w:t>
      </w:r>
      <w:r w:rsidRPr="004F035C">
        <w:rPr>
          <w:highlight w:val="yellow"/>
        </w:rPr>
        <w:t xml:space="preserve"> Housing </w:t>
      </w:r>
      <w:bookmarkEnd w:id="238"/>
      <w:r w:rsidRPr="004F035C">
        <w:rPr>
          <w:highlight w:val="yellow"/>
        </w:rPr>
        <w:t xml:space="preserve">Process </w:t>
      </w:r>
      <w:r w:rsidR="003F326C" w:rsidRPr="004F035C">
        <w:rPr>
          <w:highlight w:val="yellow"/>
        </w:rPr>
        <w:t>(EPHP)</w:t>
      </w:r>
      <w:r w:rsidRPr="004F035C">
        <w:rPr>
          <w:highlight w:val="yellow"/>
        </w:rPr>
        <w:t xml:space="preserve">– A State Supported, Community </w:t>
      </w:r>
      <w:r w:rsidR="003F326C" w:rsidRPr="004F035C">
        <w:rPr>
          <w:highlight w:val="yellow"/>
        </w:rPr>
        <w:t xml:space="preserve">and </w:t>
      </w:r>
      <w:r w:rsidRPr="004F035C">
        <w:rPr>
          <w:highlight w:val="yellow"/>
        </w:rPr>
        <w:t>NGO-Implemented model</w:t>
      </w:r>
      <w:bookmarkEnd w:id="239"/>
      <w:bookmarkEnd w:id="240"/>
      <w:bookmarkEnd w:id="241"/>
      <w:r w:rsidRPr="004F035C">
        <w:rPr>
          <w:highlight w:val="yellow"/>
        </w:rPr>
        <w:t xml:space="preserve"> </w:t>
      </w:r>
    </w:p>
    <w:p w14:paraId="10B80642" w14:textId="77777777" w:rsidR="00126E91" w:rsidRPr="004F035C" w:rsidRDefault="00126E91" w:rsidP="00250EA9">
      <w:pPr>
        <w:spacing w:after="0"/>
        <w:ind w:left="490"/>
        <w:rPr>
          <w:rFonts w:cs="Arial"/>
          <w:szCs w:val="22"/>
          <w:highlight w:val="yellow"/>
        </w:rPr>
      </w:pPr>
    </w:p>
    <w:p w14:paraId="6A513083" w14:textId="21C80589" w:rsidR="00EE4B47" w:rsidRPr="00B50E99" w:rsidRDefault="00EE4B47" w:rsidP="006D2888">
      <w:pPr>
        <w:spacing w:line="360" w:lineRule="auto"/>
        <w:rPr>
          <w:rFonts w:cs="Arial"/>
          <w:szCs w:val="22"/>
        </w:rPr>
      </w:pPr>
      <w:r w:rsidRPr="004F035C">
        <w:rPr>
          <w:rFonts w:cs="Arial"/>
          <w:szCs w:val="22"/>
          <w:highlight w:val="yellow"/>
        </w:rPr>
        <w:t xml:space="preserve">The EPHP provides subsidy funding </w:t>
      </w:r>
      <w:r w:rsidR="003F326C" w:rsidRPr="004F035C">
        <w:rPr>
          <w:rFonts w:cs="Arial"/>
          <w:szCs w:val="22"/>
          <w:highlight w:val="yellow"/>
        </w:rPr>
        <w:t xml:space="preserve">for </w:t>
      </w:r>
      <w:r w:rsidRPr="004F035C">
        <w:rPr>
          <w:rFonts w:cs="Arial"/>
          <w:szCs w:val="22"/>
          <w:highlight w:val="yellow"/>
        </w:rPr>
        <w:t xml:space="preserve">both the physical construction of the </w:t>
      </w:r>
      <w:r w:rsidR="00E01C9B" w:rsidRPr="004F035C">
        <w:rPr>
          <w:rFonts w:cs="Arial"/>
          <w:szCs w:val="22"/>
          <w:highlight w:val="yellow"/>
        </w:rPr>
        <w:t>subsidized</w:t>
      </w:r>
      <w:r w:rsidRPr="004F035C">
        <w:rPr>
          <w:rFonts w:cs="Arial"/>
          <w:szCs w:val="22"/>
          <w:highlight w:val="yellow"/>
        </w:rPr>
        <w:t xml:space="preserve"> unit and to </w:t>
      </w:r>
      <w:r w:rsidR="003F326C" w:rsidRPr="004F035C">
        <w:rPr>
          <w:rFonts w:cs="Arial"/>
          <w:szCs w:val="22"/>
          <w:highlight w:val="yellow"/>
        </w:rPr>
        <w:t xml:space="preserve">support </w:t>
      </w:r>
      <w:r w:rsidRPr="004F035C">
        <w:rPr>
          <w:rFonts w:cs="Arial"/>
          <w:szCs w:val="22"/>
          <w:highlight w:val="yellow"/>
        </w:rPr>
        <w:t xml:space="preserve">the building and operation of the capacity and local systems needed to allow households, communities and government </w:t>
      </w:r>
      <w:r w:rsidR="003F326C" w:rsidRPr="004F035C">
        <w:rPr>
          <w:rFonts w:cs="Arial"/>
          <w:szCs w:val="22"/>
          <w:highlight w:val="yellow"/>
        </w:rPr>
        <w:t xml:space="preserve">to </w:t>
      </w:r>
      <w:r w:rsidRPr="004F035C">
        <w:rPr>
          <w:rFonts w:cs="Arial"/>
          <w:szCs w:val="22"/>
          <w:highlight w:val="yellow"/>
        </w:rPr>
        <w:t>work together to build</w:t>
      </w:r>
      <w:r>
        <w:rPr>
          <w:rFonts w:cs="Arial"/>
          <w:szCs w:val="22"/>
        </w:rPr>
        <w:t xml:space="preserve">. The </w:t>
      </w:r>
      <w:r w:rsidRPr="008E0069">
        <w:rPr>
          <w:rFonts w:cs="Arial"/>
          <w:szCs w:val="22"/>
        </w:rPr>
        <w:t>EPHP was introduced into the housing code in 2008 as a modification and improvement of the Peoples</w:t>
      </w:r>
      <w:r w:rsidR="006D2888">
        <w:rPr>
          <w:rFonts w:cs="Arial"/>
          <w:szCs w:val="22"/>
        </w:rPr>
        <w:t>’</w:t>
      </w:r>
      <w:r w:rsidRPr="008E0069">
        <w:rPr>
          <w:rFonts w:cs="Arial"/>
          <w:szCs w:val="22"/>
        </w:rPr>
        <w:t xml:space="preserve"> Housing Programme (PHP) that had been in existence since 1998.</w:t>
      </w:r>
    </w:p>
    <w:p w14:paraId="47BF08F3" w14:textId="5CF5FEB9" w:rsidR="00EE4B47" w:rsidRPr="007E1D2C" w:rsidRDefault="00EE4B47" w:rsidP="00E732E9">
      <w:pPr>
        <w:pStyle w:val="Heading3"/>
      </w:pPr>
      <w:r w:rsidRPr="007E1D2C">
        <w:t xml:space="preserve"> </w:t>
      </w:r>
      <w:bookmarkStart w:id="242" w:name="_Toc387655140"/>
      <w:bookmarkStart w:id="243" w:name="_Toc262067858"/>
      <w:bookmarkStart w:id="244" w:name="_Toc262068184"/>
      <w:bookmarkEnd w:id="242"/>
      <w:r w:rsidRPr="007E1D2C">
        <w:t>Basic Features of the Instrument</w:t>
      </w:r>
      <w:bookmarkEnd w:id="243"/>
      <w:bookmarkEnd w:id="244"/>
      <w:r w:rsidRPr="007E1D2C">
        <w:t xml:space="preserve">  </w:t>
      </w:r>
    </w:p>
    <w:p w14:paraId="06C739AF" w14:textId="77777777" w:rsidR="00EE4B47" w:rsidRDefault="00EE4B47" w:rsidP="00250EA9">
      <w:pPr>
        <w:spacing w:line="360" w:lineRule="auto"/>
        <w:rPr>
          <w:rFonts w:cs="Arial"/>
          <w:szCs w:val="22"/>
        </w:rPr>
      </w:pPr>
      <w:r w:rsidRPr="002F509F">
        <w:rPr>
          <w:rFonts w:cs="Arial"/>
          <w:b/>
          <w:szCs w:val="22"/>
        </w:rPr>
        <w:t>Implementation Arrangements</w:t>
      </w:r>
      <w:r>
        <w:rPr>
          <w:rFonts w:cs="Arial"/>
          <w:szCs w:val="22"/>
        </w:rPr>
        <w:t>:</w:t>
      </w:r>
    </w:p>
    <w:p w14:paraId="23FC952A" w14:textId="4605092F" w:rsidR="00EE4B47" w:rsidRPr="008E0069" w:rsidRDefault="00EE4B47" w:rsidP="006D2888">
      <w:pPr>
        <w:spacing w:line="360" w:lineRule="auto"/>
        <w:rPr>
          <w:rFonts w:cs="Arial"/>
          <w:szCs w:val="22"/>
        </w:rPr>
      </w:pPr>
      <w:r w:rsidRPr="008E0069">
        <w:rPr>
          <w:rFonts w:cs="Arial"/>
          <w:szCs w:val="22"/>
        </w:rPr>
        <w:lastRenderedPageBreak/>
        <w:t xml:space="preserve">The EPHP places a Non Governmental </w:t>
      </w:r>
      <w:r w:rsidR="008B47BF">
        <w:rPr>
          <w:rFonts w:cs="Arial"/>
          <w:szCs w:val="22"/>
        </w:rPr>
        <w:t>Organization</w:t>
      </w:r>
      <w:r w:rsidRPr="008E0069">
        <w:rPr>
          <w:rFonts w:cs="Arial"/>
          <w:szCs w:val="22"/>
        </w:rPr>
        <w:t xml:space="preserve"> (NGO) or Faith Based </w:t>
      </w:r>
      <w:r w:rsidR="008B47BF">
        <w:rPr>
          <w:rFonts w:cs="Arial"/>
          <w:szCs w:val="22"/>
        </w:rPr>
        <w:t>Organization</w:t>
      </w:r>
      <w:r w:rsidRPr="008E0069">
        <w:rPr>
          <w:rFonts w:cs="Arial"/>
          <w:szCs w:val="22"/>
        </w:rPr>
        <w:t xml:space="preserve"> (FBO) with the requisite mix of the technical and community facilitation skills at the centre of the top structure </w:t>
      </w:r>
      <w:r>
        <w:rPr>
          <w:rFonts w:cs="Arial"/>
          <w:szCs w:val="22"/>
        </w:rPr>
        <w:t xml:space="preserve">implementation and </w:t>
      </w:r>
      <w:r w:rsidRPr="008E0069">
        <w:rPr>
          <w:rFonts w:cs="Arial"/>
          <w:szCs w:val="22"/>
        </w:rPr>
        <w:t xml:space="preserve">delivery </w:t>
      </w:r>
      <w:r>
        <w:rPr>
          <w:rFonts w:cs="Arial"/>
          <w:szCs w:val="22"/>
        </w:rPr>
        <w:t xml:space="preserve">system. </w:t>
      </w:r>
      <w:r w:rsidRPr="008E0069">
        <w:rPr>
          <w:rFonts w:cs="Arial"/>
          <w:szCs w:val="22"/>
        </w:rPr>
        <w:t>These NGO</w:t>
      </w:r>
      <w:r w:rsidR="006D2888">
        <w:rPr>
          <w:rFonts w:cs="Arial"/>
          <w:szCs w:val="22"/>
        </w:rPr>
        <w:t>s</w:t>
      </w:r>
      <w:r w:rsidRPr="008E0069">
        <w:rPr>
          <w:rFonts w:cs="Arial"/>
          <w:szCs w:val="22"/>
        </w:rPr>
        <w:t xml:space="preserve"> or FBOs are termed </w:t>
      </w:r>
      <w:r>
        <w:rPr>
          <w:rFonts w:cs="Arial"/>
          <w:szCs w:val="22"/>
        </w:rPr>
        <w:t>“</w:t>
      </w:r>
      <w:r w:rsidRPr="008E0069">
        <w:rPr>
          <w:rFonts w:cs="Arial"/>
          <w:szCs w:val="22"/>
        </w:rPr>
        <w:t xml:space="preserve">Community Resource </w:t>
      </w:r>
      <w:r w:rsidR="008B47BF">
        <w:rPr>
          <w:rFonts w:cs="Arial"/>
          <w:szCs w:val="22"/>
        </w:rPr>
        <w:t>Organization</w:t>
      </w:r>
      <w:r w:rsidRPr="008E0069">
        <w:rPr>
          <w:rFonts w:cs="Arial"/>
          <w:szCs w:val="22"/>
        </w:rPr>
        <w:t>s</w:t>
      </w:r>
      <w:r>
        <w:rPr>
          <w:rFonts w:cs="Arial"/>
          <w:szCs w:val="22"/>
        </w:rPr>
        <w:t>”</w:t>
      </w:r>
      <w:r w:rsidRPr="008E0069">
        <w:rPr>
          <w:rFonts w:cs="Arial"/>
          <w:szCs w:val="22"/>
        </w:rPr>
        <w:t xml:space="preserve"> (CRO’s) and are required to be accredited as having the requisite capacities by the relevant Provincial Department. A provision is made that a consortium of private sector </w:t>
      </w:r>
      <w:r w:rsidR="008B47BF">
        <w:rPr>
          <w:rFonts w:cs="Arial"/>
          <w:szCs w:val="22"/>
        </w:rPr>
        <w:t>organization</w:t>
      </w:r>
      <w:r w:rsidRPr="008E0069">
        <w:rPr>
          <w:rFonts w:cs="Arial"/>
          <w:szCs w:val="22"/>
        </w:rPr>
        <w:t>s can also be accredited by a Provincial Department as a CRO.</w:t>
      </w:r>
    </w:p>
    <w:p w14:paraId="2BF334A4" w14:textId="7A3D434F" w:rsidR="00EE4B47" w:rsidRDefault="00EE4B47" w:rsidP="006D2888">
      <w:pPr>
        <w:spacing w:line="360" w:lineRule="auto"/>
        <w:rPr>
          <w:rFonts w:cs="Arial"/>
          <w:szCs w:val="22"/>
        </w:rPr>
      </w:pPr>
      <w:r w:rsidRPr="008E0069">
        <w:rPr>
          <w:rFonts w:cs="Arial"/>
          <w:szCs w:val="22"/>
        </w:rPr>
        <w:t xml:space="preserve">The CRO selection needs to be approved by the </w:t>
      </w:r>
      <w:r w:rsidR="008B47BF">
        <w:rPr>
          <w:rFonts w:cs="Arial"/>
          <w:szCs w:val="22"/>
        </w:rPr>
        <w:t>organization</w:t>
      </w:r>
      <w:r w:rsidRPr="008E0069">
        <w:rPr>
          <w:rFonts w:cs="Arial"/>
          <w:szCs w:val="22"/>
        </w:rPr>
        <w:t xml:space="preserve"> representing the beneficiary community which</w:t>
      </w:r>
      <w:r>
        <w:rPr>
          <w:rFonts w:cs="Arial"/>
          <w:szCs w:val="22"/>
        </w:rPr>
        <w:t xml:space="preserve"> can be </w:t>
      </w:r>
      <w:r w:rsidR="00B25FA0">
        <w:rPr>
          <w:rFonts w:cs="Arial"/>
          <w:szCs w:val="22"/>
        </w:rPr>
        <w:t>a local body</w:t>
      </w:r>
      <w:r>
        <w:rPr>
          <w:rFonts w:cs="Arial"/>
          <w:szCs w:val="22"/>
        </w:rPr>
        <w:t xml:space="preserve"> (such as an organised residents association, or an appointed representative CBO or FBO) </w:t>
      </w:r>
      <w:r w:rsidRPr="007E1D2C">
        <w:rPr>
          <w:rFonts w:cs="Arial"/>
          <w:szCs w:val="22"/>
        </w:rPr>
        <w:t xml:space="preserve">and /or by common interest (for example a household who wants a house and who </w:t>
      </w:r>
      <w:r>
        <w:rPr>
          <w:rFonts w:cs="Arial"/>
          <w:szCs w:val="22"/>
        </w:rPr>
        <w:t>is</w:t>
      </w:r>
      <w:r w:rsidRPr="007E1D2C">
        <w:rPr>
          <w:rFonts w:cs="Arial"/>
          <w:szCs w:val="22"/>
        </w:rPr>
        <w:t xml:space="preserve"> willing to participate in the housing process) </w:t>
      </w:r>
      <w:r>
        <w:rPr>
          <w:rFonts w:cs="Arial"/>
          <w:szCs w:val="22"/>
        </w:rPr>
        <w:t>(</w:t>
      </w:r>
      <w:r w:rsidR="00B0299D">
        <w:rPr>
          <w:rFonts w:cs="Arial"/>
          <w:szCs w:val="22"/>
        </w:rPr>
        <w:t xml:space="preserve">Housing </w:t>
      </w:r>
      <w:r w:rsidRPr="00B0299D">
        <w:rPr>
          <w:rFonts w:cs="Arial"/>
          <w:szCs w:val="22"/>
        </w:rPr>
        <w:t>Code</w:t>
      </w:r>
      <w:r>
        <w:rPr>
          <w:rFonts w:cs="Arial"/>
          <w:szCs w:val="22"/>
        </w:rPr>
        <w:t>, p</w:t>
      </w:r>
      <w:r w:rsidRPr="007E1D2C">
        <w:rPr>
          <w:rFonts w:cs="Arial"/>
          <w:szCs w:val="22"/>
        </w:rPr>
        <w:t>19</w:t>
      </w:r>
      <w:r>
        <w:rPr>
          <w:rFonts w:cs="Arial"/>
          <w:szCs w:val="22"/>
        </w:rPr>
        <w:t xml:space="preserve">). </w:t>
      </w:r>
    </w:p>
    <w:p w14:paraId="2C373CE3" w14:textId="4B110448" w:rsidR="00EE4B47" w:rsidRPr="00B376B9" w:rsidRDefault="00EE4B47" w:rsidP="006D2888">
      <w:pPr>
        <w:spacing w:line="360" w:lineRule="auto"/>
        <w:rPr>
          <w:rFonts w:cs="Arial"/>
          <w:szCs w:val="22"/>
        </w:rPr>
      </w:pPr>
      <w:r w:rsidRPr="008E0069">
        <w:rPr>
          <w:rFonts w:cs="Arial"/>
          <w:szCs w:val="22"/>
        </w:rPr>
        <w:t xml:space="preserve"> The </w:t>
      </w:r>
      <w:r w:rsidR="00B25FA0" w:rsidRPr="00CF3F6C">
        <w:rPr>
          <w:rFonts w:cs="Arial"/>
          <w:szCs w:val="22"/>
        </w:rPr>
        <w:t>African Centre for Cities</w:t>
      </w:r>
      <w:r w:rsidR="00B25FA0">
        <w:rPr>
          <w:rFonts w:cs="Arial"/>
          <w:szCs w:val="22"/>
        </w:rPr>
        <w:t xml:space="preserve"> (</w:t>
      </w:r>
      <w:r w:rsidRPr="008E0069">
        <w:rPr>
          <w:rFonts w:cs="Arial"/>
          <w:szCs w:val="22"/>
        </w:rPr>
        <w:t>ACC</w:t>
      </w:r>
      <w:r w:rsidR="00B25FA0">
        <w:rPr>
          <w:rFonts w:cs="Arial"/>
          <w:szCs w:val="22"/>
        </w:rPr>
        <w:t>)</w:t>
      </w:r>
      <w:r>
        <w:rPr>
          <w:rFonts w:cs="Arial"/>
          <w:szCs w:val="22"/>
        </w:rPr>
        <w:t xml:space="preserve"> </w:t>
      </w:r>
      <w:r w:rsidRPr="008E0069">
        <w:rPr>
          <w:rFonts w:cs="Arial"/>
          <w:szCs w:val="22"/>
        </w:rPr>
        <w:t>note</w:t>
      </w:r>
      <w:r>
        <w:rPr>
          <w:rFonts w:cs="Arial"/>
          <w:szCs w:val="22"/>
        </w:rPr>
        <w:t>s</w:t>
      </w:r>
      <w:r w:rsidRPr="008E0069">
        <w:rPr>
          <w:rFonts w:cs="Arial"/>
          <w:szCs w:val="22"/>
        </w:rPr>
        <w:t xml:space="preserve"> that</w:t>
      </w:r>
      <w:r w:rsidRPr="007E1D2C">
        <w:rPr>
          <w:rFonts w:cs="Arial"/>
          <w:szCs w:val="22"/>
        </w:rPr>
        <w:t xml:space="preserve"> </w:t>
      </w:r>
      <w:r w:rsidR="006D2888">
        <w:rPr>
          <w:rFonts w:cs="Arial"/>
          <w:i/>
          <w:szCs w:val="22"/>
        </w:rPr>
        <w:t>‘</w:t>
      </w:r>
      <w:r w:rsidRPr="00B25FA0">
        <w:rPr>
          <w:rFonts w:cs="Arial"/>
          <w:i/>
          <w:szCs w:val="22"/>
        </w:rPr>
        <w:t xml:space="preserve">The role of a CRO in an EPHP project includes setting up the necessary contracts and procedures, on-going management of the project, capacitating the community based </w:t>
      </w:r>
      <w:r w:rsidR="008B47BF" w:rsidRPr="00B25FA0">
        <w:rPr>
          <w:rFonts w:cs="Arial"/>
          <w:i/>
          <w:szCs w:val="22"/>
        </w:rPr>
        <w:t>organization</w:t>
      </w:r>
      <w:r w:rsidRPr="00B25FA0">
        <w:rPr>
          <w:rFonts w:cs="Arial"/>
          <w:i/>
          <w:szCs w:val="22"/>
        </w:rPr>
        <w:t xml:space="preserve"> (which represents the beneficiaries), facilitating community participation and submitting progress reports in line with provincial requirements. The CRO is responsible for appointing a Project Manager to oversee the project, a Certifier to monitor progress and an Accounts Administrator to manage the finances.</w:t>
      </w:r>
      <w:r w:rsidR="006D2888">
        <w:rPr>
          <w:rFonts w:cs="Arial"/>
          <w:szCs w:val="22"/>
        </w:rPr>
        <w:t>’</w:t>
      </w:r>
      <w:r w:rsidRPr="00B376B9">
        <w:rPr>
          <w:rFonts w:cs="Arial"/>
          <w:szCs w:val="22"/>
        </w:rPr>
        <w:t xml:space="preserve"> </w:t>
      </w:r>
    </w:p>
    <w:p w14:paraId="5E27AAFA" w14:textId="66DE11E3" w:rsidR="00EE4B47" w:rsidRPr="007E1D2C" w:rsidRDefault="00EE4B47" w:rsidP="006D2888">
      <w:pPr>
        <w:spacing w:line="360" w:lineRule="auto"/>
        <w:rPr>
          <w:rFonts w:cs="Arial"/>
          <w:szCs w:val="22"/>
        </w:rPr>
      </w:pPr>
      <w:r>
        <w:rPr>
          <w:rFonts w:cs="Arial"/>
          <w:szCs w:val="22"/>
        </w:rPr>
        <w:t xml:space="preserve">Most support provided to communities for EPHP projects </w:t>
      </w:r>
      <w:r w:rsidRPr="007E1D2C">
        <w:rPr>
          <w:rFonts w:cs="Arial"/>
          <w:szCs w:val="22"/>
        </w:rPr>
        <w:t xml:space="preserve">is provided through </w:t>
      </w:r>
      <w:r>
        <w:rPr>
          <w:rFonts w:cs="Arial"/>
          <w:szCs w:val="22"/>
        </w:rPr>
        <w:t>local Housing Support Centres</w:t>
      </w:r>
      <w:r w:rsidR="006D2888">
        <w:rPr>
          <w:rFonts w:cs="Arial"/>
          <w:szCs w:val="22"/>
        </w:rPr>
        <w:t xml:space="preserve"> </w:t>
      </w:r>
      <w:r>
        <w:rPr>
          <w:rFonts w:cs="Arial"/>
          <w:szCs w:val="22"/>
        </w:rPr>
        <w:t>(</w:t>
      </w:r>
      <w:r w:rsidRPr="007E1D2C">
        <w:rPr>
          <w:rFonts w:cs="Arial"/>
          <w:szCs w:val="22"/>
        </w:rPr>
        <w:t>HSCs</w:t>
      </w:r>
      <w:r>
        <w:rPr>
          <w:rFonts w:cs="Arial"/>
          <w:szCs w:val="22"/>
        </w:rPr>
        <w:t>)</w:t>
      </w:r>
      <w:r w:rsidRPr="007E1D2C">
        <w:rPr>
          <w:rFonts w:cs="Arial"/>
          <w:szCs w:val="22"/>
        </w:rPr>
        <w:t>. The HSC staff members consist of Construction Controllers (CCs) and Community Liaison Officers (CLOs) (ND</w:t>
      </w:r>
      <w:r w:rsidR="006D2888">
        <w:rPr>
          <w:rFonts w:cs="Arial"/>
          <w:szCs w:val="22"/>
        </w:rPr>
        <w:t>HS,</w:t>
      </w:r>
      <w:r w:rsidRPr="007E1D2C">
        <w:rPr>
          <w:rFonts w:cs="Arial"/>
          <w:szCs w:val="22"/>
        </w:rPr>
        <w:t xml:space="preserve"> 2011). The CCs are responsible for assisting beneficiaries with house plans and setting out, organizing the delivery of materials and monitoring construction and materials quality. CLOs are responsible for liaising with beneficiaries and for general office management. </w:t>
      </w:r>
    </w:p>
    <w:p w14:paraId="32D722D8" w14:textId="77777777" w:rsidR="00EE4B47" w:rsidRDefault="00EE4B47" w:rsidP="00250EA9">
      <w:pPr>
        <w:spacing w:line="360" w:lineRule="auto"/>
        <w:rPr>
          <w:rFonts w:cs="Arial"/>
          <w:szCs w:val="22"/>
        </w:rPr>
      </w:pPr>
      <w:r w:rsidRPr="002F509F">
        <w:rPr>
          <w:rFonts w:cs="Arial"/>
          <w:b/>
          <w:szCs w:val="22"/>
        </w:rPr>
        <w:t>Measures and Controls</w:t>
      </w:r>
      <w:r>
        <w:rPr>
          <w:rFonts w:cs="Arial"/>
          <w:szCs w:val="22"/>
        </w:rPr>
        <w:t>:</w:t>
      </w:r>
    </w:p>
    <w:p w14:paraId="02609323" w14:textId="39AE8FA8" w:rsidR="00EE4B47" w:rsidRPr="008E0069" w:rsidRDefault="00EE4B47" w:rsidP="006D2888">
      <w:pPr>
        <w:spacing w:line="360" w:lineRule="auto"/>
        <w:rPr>
          <w:rFonts w:cs="Arial"/>
          <w:szCs w:val="22"/>
        </w:rPr>
      </w:pPr>
      <w:r w:rsidRPr="008E0069">
        <w:rPr>
          <w:rFonts w:cs="Arial"/>
          <w:szCs w:val="22"/>
        </w:rPr>
        <w:t>In terms of tenure preconditions the EPHP code required that EPHP projects provide ownership as the tenure form but makes the provision that group ownership could be an acceptable tenure form</w:t>
      </w:r>
      <w:r w:rsidR="006D2888">
        <w:rPr>
          <w:rFonts w:cs="Arial"/>
          <w:szCs w:val="22"/>
        </w:rPr>
        <w:t xml:space="preserve"> i.e. co-operatives.</w:t>
      </w:r>
      <w:r w:rsidRPr="008E0069">
        <w:rPr>
          <w:rFonts w:cs="Arial"/>
          <w:szCs w:val="22"/>
        </w:rPr>
        <w:t xml:space="preserve"> </w:t>
      </w:r>
    </w:p>
    <w:p w14:paraId="4DF950F3" w14:textId="589EF86F" w:rsidR="00EE4B47" w:rsidRDefault="00EE4B47" w:rsidP="006D2888">
      <w:pPr>
        <w:spacing w:line="360" w:lineRule="auto"/>
        <w:rPr>
          <w:rFonts w:cs="Arial"/>
          <w:szCs w:val="22"/>
        </w:rPr>
      </w:pPr>
      <w:r>
        <w:rPr>
          <w:rFonts w:cs="Arial"/>
          <w:szCs w:val="22"/>
        </w:rPr>
        <w:t xml:space="preserve">Minimum norms and standards </w:t>
      </w:r>
      <w:r w:rsidR="00606744">
        <w:rPr>
          <w:rFonts w:cs="Arial"/>
          <w:szCs w:val="22"/>
        </w:rPr>
        <w:t>–</w:t>
      </w:r>
      <w:r>
        <w:rPr>
          <w:rFonts w:cs="Arial"/>
          <w:szCs w:val="22"/>
        </w:rPr>
        <w:t xml:space="preserve"> </w:t>
      </w:r>
      <w:r w:rsidR="00606744">
        <w:rPr>
          <w:rFonts w:cs="Arial"/>
          <w:szCs w:val="22"/>
        </w:rPr>
        <w:t xml:space="preserve">The EPHP requires the same minimum norms and standards in respect of subsidised dwellings as the other programmes i.e. a 40m2 unit with two bedrooms, a bathroom and a combined kitchen living space. (Pers comm Ms T. Mabalane)  </w:t>
      </w:r>
      <w:r>
        <w:rPr>
          <w:rFonts w:cs="Arial"/>
          <w:szCs w:val="22"/>
        </w:rPr>
        <w:t xml:space="preserve"> </w:t>
      </w:r>
    </w:p>
    <w:p w14:paraId="7359E3CB" w14:textId="3620402B" w:rsidR="00606744" w:rsidRDefault="00EE4B47" w:rsidP="00606744">
      <w:pPr>
        <w:spacing w:line="360" w:lineRule="auto"/>
        <w:rPr>
          <w:rFonts w:cs="Arial"/>
          <w:szCs w:val="22"/>
        </w:rPr>
      </w:pPr>
      <w:r w:rsidRPr="008E0069">
        <w:rPr>
          <w:rFonts w:cs="Arial"/>
          <w:szCs w:val="22"/>
        </w:rPr>
        <w:lastRenderedPageBreak/>
        <w:t xml:space="preserve"> In </w:t>
      </w:r>
      <w:r>
        <w:rPr>
          <w:rFonts w:cs="Arial"/>
          <w:szCs w:val="22"/>
        </w:rPr>
        <w:t>relation to t</w:t>
      </w:r>
      <w:r w:rsidRPr="008E0069">
        <w:rPr>
          <w:rFonts w:cs="Arial"/>
          <w:szCs w:val="22"/>
        </w:rPr>
        <w:t>he top structure standards prescribed by the code</w:t>
      </w:r>
      <w:r>
        <w:rPr>
          <w:rFonts w:cs="Arial"/>
          <w:szCs w:val="22"/>
        </w:rPr>
        <w:t xml:space="preserve">, the </w:t>
      </w:r>
      <w:r w:rsidRPr="008E0069">
        <w:rPr>
          <w:rFonts w:cs="Arial"/>
          <w:szCs w:val="22"/>
        </w:rPr>
        <w:t xml:space="preserve">EPHP </w:t>
      </w:r>
      <w:r>
        <w:rPr>
          <w:rFonts w:cs="Arial"/>
          <w:szCs w:val="22"/>
        </w:rPr>
        <w:t xml:space="preserve">code </w:t>
      </w:r>
      <w:r w:rsidRPr="008E0069">
        <w:rPr>
          <w:rFonts w:cs="Arial"/>
          <w:szCs w:val="22"/>
        </w:rPr>
        <w:t>notes that</w:t>
      </w:r>
      <w:r>
        <w:rPr>
          <w:rFonts w:cs="Arial"/>
          <w:szCs w:val="22"/>
        </w:rPr>
        <w:t xml:space="preserve"> i</w:t>
      </w:r>
      <w:r w:rsidRPr="008E0069">
        <w:rPr>
          <w:rFonts w:cs="Arial"/>
          <w:szCs w:val="22"/>
        </w:rPr>
        <w:t>n respect of NHBRC enrolment, the EPHP</w:t>
      </w:r>
      <w:r>
        <w:rPr>
          <w:rFonts w:cs="Arial"/>
          <w:szCs w:val="22"/>
        </w:rPr>
        <w:t>:</w:t>
      </w:r>
      <w:r w:rsidR="006D2888">
        <w:rPr>
          <w:rFonts w:cs="Arial"/>
          <w:i/>
          <w:szCs w:val="22"/>
        </w:rPr>
        <w:t xml:space="preserve"> ‘</w:t>
      </w:r>
      <w:r w:rsidR="00B25FA0">
        <w:rPr>
          <w:rFonts w:cs="Arial"/>
          <w:i/>
          <w:szCs w:val="22"/>
        </w:rPr>
        <w:t>…</w:t>
      </w:r>
      <w:r w:rsidRPr="00820855">
        <w:rPr>
          <w:rFonts w:cs="Arial"/>
          <w:i/>
          <w:szCs w:val="22"/>
        </w:rPr>
        <w:t xml:space="preserve">requires project enrolment with the NHBRC through the Province to foundation and slab level </w:t>
      </w:r>
      <w:r w:rsidRPr="00B50E99">
        <w:rPr>
          <w:rFonts w:cs="Arial"/>
          <w:b/>
          <w:i/>
          <w:szCs w:val="22"/>
        </w:rPr>
        <w:t>but will not require individual house enrolment</w:t>
      </w:r>
      <w:r w:rsidRPr="00820855">
        <w:rPr>
          <w:rFonts w:cs="Arial"/>
          <w:i/>
          <w:szCs w:val="22"/>
        </w:rPr>
        <w:t>. In addition the NHBRC will be required to participate as a partner in the programme to build the capacity of the community in which the project is being initiated.”</w:t>
      </w:r>
      <w:r w:rsidRPr="007E1D2C">
        <w:rPr>
          <w:rFonts w:cs="Arial"/>
          <w:szCs w:val="22"/>
        </w:rPr>
        <w:t xml:space="preserve"> </w:t>
      </w:r>
      <w:r>
        <w:rPr>
          <w:rFonts w:cs="Arial"/>
          <w:szCs w:val="22"/>
        </w:rPr>
        <w:t xml:space="preserve"> </w:t>
      </w:r>
      <w:r w:rsidRPr="00B50E99">
        <w:rPr>
          <w:rFonts w:cs="Arial"/>
          <w:szCs w:val="22"/>
          <w:highlight w:val="yellow"/>
        </w:rPr>
        <w:t>Code, Pxx</w:t>
      </w:r>
      <w:r>
        <w:rPr>
          <w:rFonts w:cs="Arial"/>
          <w:szCs w:val="22"/>
        </w:rPr>
        <w:t xml:space="preserve"> </w:t>
      </w:r>
      <w:r w:rsidR="00606744">
        <w:rPr>
          <w:rFonts w:cs="Arial"/>
          <w:szCs w:val="22"/>
        </w:rPr>
        <w:t xml:space="preserve">This is an area of current flux and mechanisms to secure full NHBRC enrolment of all EPHP subsidised units are currently being explored. (Pers comm Ms T. Mabalane)   </w:t>
      </w:r>
    </w:p>
    <w:p w14:paraId="43C25860" w14:textId="77777777" w:rsidR="00EE4B47" w:rsidRPr="00515B1B" w:rsidRDefault="00EE4B47" w:rsidP="00250EA9">
      <w:pPr>
        <w:spacing w:line="360" w:lineRule="auto"/>
        <w:rPr>
          <w:rFonts w:cs="Arial"/>
          <w:szCs w:val="22"/>
          <w:highlight w:val="yellow"/>
        </w:rPr>
      </w:pPr>
      <w:r w:rsidRPr="00515B1B">
        <w:rPr>
          <w:rFonts w:cs="Arial"/>
          <w:b/>
          <w:szCs w:val="22"/>
          <w:highlight w:val="yellow"/>
        </w:rPr>
        <w:t>Financial Mechanisms</w:t>
      </w:r>
      <w:r w:rsidRPr="00515B1B">
        <w:rPr>
          <w:rFonts w:cs="Arial"/>
          <w:szCs w:val="22"/>
          <w:highlight w:val="yellow"/>
        </w:rPr>
        <w:t>:</w:t>
      </w:r>
    </w:p>
    <w:p w14:paraId="11C5438E" w14:textId="77777777" w:rsidR="00EE4B47" w:rsidRPr="00515B1B" w:rsidRDefault="00EE4B47" w:rsidP="00250EA9">
      <w:pPr>
        <w:spacing w:line="360" w:lineRule="auto"/>
        <w:rPr>
          <w:rFonts w:cs="Arial"/>
          <w:szCs w:val="22"/>
          <w:highlight w:val="yellow"/>
        </w:rPr>
      </w:pPr>
      <w:r w:rsidRPr="00515B1B">
        <w:rPr>
          <w:rFonts w:cs="Arial"/>
          <w:szCs w:val="22"/>
          <w:highlight w:val="yellow"/>
        </w:rPr>
        <w:t>The EPHP essentially two main funding components:</w:t>
      </w:r>
    </w:p>
    <w:p w14:paraId="57BD488B" w14:textId="77777777" w:rsidR="00EE4B47" w:rsidRPr="00515B1B" w:rsidRDefault="00EE4B47" w:rsidP="0055634E">
      <w:pPr>
        <w:pStyle w:val="ListParagraph"/>
        <w:numPr>
          <w:ilvl w:val="0"/>
          <w:numId w:val="30"/>
        </w:numPr>
        <w:ind w:left="720"/>
        <w:rPr>
          <w:rFonts w:cs="Arial"/>
          <w:highlight w:val="yellow"/>
        </w:rPr>
      </w:pPr>
      <w:r w:rsidRPr="00515B1B">
        <w:rPr>
          <w:rFonts w:cs="Arial"/>
          <w:highlight w:val="yellow"/>
        </w:rPr>
        <w:t>Funding for the capital costs of the top structures via a top structure subsidy</w:t>
      </w:r>
    </w:p>
    <w:p w14:paraId="1394F1E9" w14:textId="5EDF64BE" w:rsidR="00EE4B47" w:rsidRPr="00515B1B" w:rsidRDefault="00EE4B47" w:rsidP="0055634E">
      <w:pPr>
        <w:pStyle w:val="ListParagraph"/>
        <w:numPr>
          <w:ilvl w:val="0"/>
          <w:numId w:val="30"/>
        </w:numPr>
        <w:ind w:left="720"/>
        <w:rPr>
          <w:rFonts w:cs="Arial"/>
          <w:highlight w:val="yellow"/>
        </w:rPr>
      </w:pPr>
      <w:r w:rsidRPr="00515B1B">
        <w:rPr>
          <w:rFonts w:cs="Arial"/>
          <w:highlight w:val="yellow"/>
        </w:rPr>
        <w:t>Capacity building - The EPHP provides for funding to be the allocated towards the capacity building component associated with the top structure including processes associated with:</w:t>
      </w:r>
    </w:p>
    <w:p w14:paraId="54114352" w14:textId="77777777" w:rsidR="00EE4B47" w:rsidRPr="00515B1B" w:rsidRDefault="00EE4B47" w:rsidP="0055634E">
      <w:pPr>
        <w:pStyle w:val="ListParagraph"/>
        <w:numPr>
          <w:ilvl w:val="1"/>
          <w:numId w:val="30"/>
        </w:numPr>
        <w:ind w:left="1080"/>
        <w:rPr>
          <w:rFonts w:cs="Arial"/>
          <w:highlight w:val="yellow"/>
        </w:rPr>
      </w:pPr>
      <w:r w:rsidRPr="00515B1B">
        <w:rPr>
          <w:rFonts w:cs="Arial"/>
          <w:highlight w:val="yellow"/>
        </w:rPr>
        <w:t>Individual capacity – such as housing education, house type formulation and selection, training in maintenance, and the management of alterations and improvements to the home.</w:t>
      </w:r>
    </w:p>
    <w:p w14:paraId="35508C2A" w14:textId="3B28A9DC" w:rsidR="00EE4B47" w:rsidRPr="00515B1B" w:rsidRDefault="00EE4B47" w:rsidP="0055634E">
      <w:pPr>
        <w:pStyle w:val="ListParagraph"/>
        <w:numPr>
          <w:ilvl w:val="1"/>
          <w:numId w:val="30"/>
        </w:numPr>
        <w:ind w:left="1080"/>
        <w:rPr>
          <w:rFonts w:cs="Arial"/>
          <w:highlight w:val="yellow"/>
        </w:rPr>
      </w:pPr>
      <w:r w:rsidRPr="00515B1B">
        <w:rPr>
          <w:rFonts w:cs="Arial"/>
          <w:highlight w:val="yellow"/>
        </w:rPr>
        <w:t xml:space="preserve">Community </w:t>
      </w:r>
      <w:r w:rsidR="008B47BF" w:rsidRPr="00515B1B">
        <w:rPr>
          <w:rFonts w:cs="Arial"/>
          <w:highlight w:val="yellow"/>
        </w:rPr>
        <w:t>organization</w:t>
      </w:r>
      <w:r w:rsidRPr="00515B1B">
        <w:rPr>
          <w:rFonts w:cs="Arial"/>
          <w:highlight w:val="yellow"/>
        </w:rPr>
        <w:t xml:space="preserve"> – the establishment and capacitation of groups involved in the housing process, including, mutual help groups, savings clubs and the like.</w:t>
      </w:r>
    </w:p>
    <w:p w14:paraId="6E1DE5E5" w14:textId="52E91AE2" w:rsidR="00EE4B47" w:rsidRPr="00515B1B" w:rsidRDefault="00EE4B47" w:rsidP="0055634E">
      <w:pPr>
        <w:pStyle w:val="ListParagraph"/>
        <w:numPr>
          <w:ilvl w:val="1"/>
          <w:numId w:val="30"/>
        </w:numPr>
        <w:ind w:left="1080"/>
        <w:rPr>
          <w:rFonts w:cs="Arial"/>
          <w:highlight w:val="yellow"/>
        </w:rPr>
      </w:pPr>
      <w:r w:rsidRPr="00515B1B">
        <w:rPr>
          <w:rFonts w:cs="Arial"/>
          <w:highlight w:val="yellow"/>
        </w:rPr>
        <w:t>Construction management capacity</w:t>
      </w:r>
      <w:r w:rsidR="006D2888" w:rsidRPr="00515B1B">
        <w:rPr>
          <w:rFonts w:cs="Arial"/>
          <w:highlight w:val="yellow"/>
        </w:rPr>
        <w:t xml:space="preserve"> - </w:t>
      </w:r>
      <w:r w:rsidRPr="00515B1B">
        <w:rPr>
          <w:rFonts w:cs="Arial"/>
          <w:highlight w:val="yellow"/>
        </w:rPr>
        <w:t xml:space="preserve">the establishment and operation of the infrastructure, systems and personnel needed to implement the home building processes- including, materials management, construction supervision and certification. </w:t>
      </w:r>
    </w:p>
    <w:p w14:paraId="6301B844" w14:textId="62952FB5" w:rsidR="00EE4B47" w:rsidRPr="00A73C25" w:rsidRDefault="00EE4B47" w:rsidP="00250EA9">
      <w:pPr>
        <w:spacing w:line="360" w:lineRule="auto"/>
        <w:rPr>
          <w:rFonts w:cs="Arial"/>
          <w:szCs w:val="22"/>
        </w:rPr>
      </w:pPr>
      <w:r w:rsidRPr="00A73C25">
        <w:rPr>
          <w:rFonts w:cs="Arial"/>
          <w:szCs w:val="22"/>
        </w:rPr>
        <w:t>The funding mechanisms envisag</w:t>
      </w:r>
      <w:r w:rsidR="006D2888">
        <w:rPr>
          <w:rFonts w:cs="Arial"/>
          <w:szCs w:val="22"/>
        </w:rPr>
        <w:t>e</w:t>
      </w:r>
      <w:r>
        <w:rPr>
          <w:rFonts w:cs="Arial"/>
          <w:szCs w:val="22"/>
        </w:rPr>
        <w:t>, that the CRO and or community contribute financially or in kind to the project and t</w:t>
      </w:r>
      <w:r w:rsidRPr="00A73C25">
        <w:rPr>
          <w:rFonts w:cs="Arial"/>
          <w:szCs w:val="22"/>
        </w:rPr>
        <w:t xml:space="preserve">hat the CRO mobilises </w:t>
      </w:r>
      <w:r>
        <w:rPr>
          <w:rFonts w:cs="Arial"/>
          <w:szCs w:val="22"/>
        </w:rPr>
        <w:t>the required bridging finance itself and recovers expenditure from the EPHP on a progress payment basis</w:t>
      </w:r>
      <w:r w:rsidR="00B25FA0">
        <w:rPr>
          <w:rFonts w:cs="Arial"/>
          <w:szCs w:val="22"/>
        </w:rPr>
        <w:t>, such as when house construction meets set milestones such as foundation completion, wallplate completion and roof installation.</w:t>
      </w:r>
    </w:p>
    <w:p w14:paraId="5406EF5B" w14:textId="6863E306" w:rsidR="00EE4B47" w:rsidRPr="006C5E22" w:rsidRDefault="00EE4B47" w:rsidP="00E732E9">
      <w:pPr>
        <w:pStyle w:val="Heading3"/>
      </w:pPr>
      <w:bookmarkStart w:id="245" w:name="_Toc262067859"/>
      <w:bookmarkStart w:id="246" w:name="_Toc262068185"/>
      <w:r w:rsidRPr="006C5E22">
        <w:t xml:space="preserve">Generic work process for </w:t>
      </w:r>
      <w:r>
        <w:t xml:space="preserve">an EPHP </w:t>
      </w:r>
      <w:r w:rsidR="00E01C9B">
        <w:t>subsidized</w:t>
      </w:r>
      <w:r w:rsidRPr="006C5E22">
        <w:t xml:space="preserve"> top structure </w:t>
      </w:r>
      <w:r>
        <w:t>project</w:t>
      </w:r>
      <w:bookmarkEnd w:id="245"/>
      <w:bookmarkEnd w:id="246"/>
      <w:r w:rsidRPr="006C5E22">
        <w:t xml:space="preserve">  </w:t>
      </w:r>
    </w:p>
    <w:p w14:paraId="4A3AC650" w14:textId="1175B496" w:rsidR="00EE4B47" w:rsidRDefault="008A72A2" w:rsidP="00250EA9">
      <w:pPr>
        <w:spacing w:line="360" w:lineRule="auto"/>
        <w:rPr>
          <w:rFonts w:cs="Arial"/>
          <w:szCs w:val="22"/>
        </w:rPr>
      </w:pPr>
      <w:r w:rsidRPr="008A72A2">
        <w:rPr>
          <w:rFonts w:cs="Arial"/>
          <w:szCs w:val="22"/>
        </w:rPr>
        <w:fldChar w:fldCharType="begin"/>
      </w:r>
      <w:r w:rsidRPr="008A72A2">
        <w:rPr>
          <w:rFonts w:cs="Arial"/>
          <w:szCs w:val="22"/>
        </w:rPr>
        <w:instrText xml:space="preserve"> REF _Ref388628189 \h </w:instrText>
      </w:r>
      <w:r>
        <w:rPr>
          <w:rFonts w:cs="Arial"/>
          <w:szCs w:val="22"/>
        </w:rPr>
        <w:instrText xml:space="preserve"> \* MERGEFORMAT </w:instrText>
      </w:r>
      <w:r w:rsidRPr="008A72A2">
        <w:rPr>
          <w:rFonts w:cs="Arial"/>
          <w:szCs w:val="22"/>
        </w:rPr>
      </w:r>
      <w:r w:rsidRPr="008A72A2">
        <w:rPr>
          <w:rFonts w:cs="Arial"/>
          <w:szCs w:val="22"/>
        </w:rPr>
        <w:fldChar w:fldCharType="separate"/>
      </w:r>
      <w:r w:rsidR="00E9048A">
        <w:rPr>
          <w:rFonts w:cs="Arial"/>
          <w:b/>
          <w:szCs w:val="22"/>
        </w:rPr>
        <w:t>Error! Reference source not found.</w:t>
      </w:r>
      <w:r w:rsidRPr="008A72A2">
        <w:rPr>
          <w:rFonts w:cs="Arial"/>
          <w:szCs w:val="22"/>
        </w:rPr>
        <w:fldChar w:fldCharType="end"/>
      </w:r>
      <w:r>
        <w:rPr>
          <w:rFonts w:cs="Arial"/>
          <w:szCs w:val="22"/>
        </w:rPr>
        <w:t xml:space="preserve"> </w:t>
      </w:r>
      <w:r w:rsidR="00EE4B47">
        <w:rPr>
          <w:rFonts w:cs="Arial"/>
          <w:szCs w:val="22"/>
        </w:rPr>
        <w:t>overleaf</w:t>
      </w:r>
      <w:r w:rsidR="00EE4B47" w:rsidRPr="008E0069">
        <w:rPr>
          <w:rFonts w:cs="Arial"/>
          <w:szCs w:val="22"/>
        </w:rPr>
        <w:t xml:space="preserve"> outlines the general work process that could be associated with establishing and implementing a top structure construction project under the EPHP.</w:t>
      </w:r>
      <w:r>
        <w:rPr>
          <w:rFonts w:cs="Arial"/>
          <w:szCs w:val="22"/>
        </w:rPr>
        <w:t xml:space="preserve"> </w:t>
      </w:r>
      <w:r w:rsidR="00EE4B47" w:rsidRPr="008E0069">
        <w:rPr>
          <w:rFonts w:cs="Arial"/>
          <w:szCs w:val="22"/>
        </w:rPr>
        <w:t>The activities that need to be executed by the municipality</w:t>
      </w:r>
      <w:r w:rsidR="00EE4B47">
        <w:rPr>
          <w:rFonts w:cs="Arial"/>
          <w:szCs w:val="22"/>
        </w:rPr>
        <w:t xml:space="preserve"> </w:t>
      </w:r>
      <w:r w:rsidR="00EE4B47" w:rsidRPr="008E0069">
        <w:rPr>
          <w:rFonts w:cs="Arial"/>
          <w:szCs w:val="22"/>
        </w:rPr>
        <w:t>/</w:t>
      </w:r>
      <w:r w:rsidR="00EE4B47">
        <w:rPr>
          <w:rFonts w:cs="Arial"/>
          <w:szCs w:val="22"/>
        </w:rPr>
        <w:t xml:space="preserve"> </w:t>
      </w:r>
      <w:r w:rsidR="00EE4B47" w:rsidRPr="008E0069">
        <w:rPr>
          <w:rFonts w:cs="Arial"/>
          <w:szCs w:val="22"/>
        </w:rPr>
        <w:t>P</w:t>
      </w:r>
      <w:r w:rsidR="00EE4B47">
        <w:rPr>
          <w:rFonts w:cs="Arial"/>
          <w:szCs w:val="22"/>
        </w:rPr>
        <w:t xml:space="preserve">rovincial Department and </w:t>
      </w:r>
      <w:r w:rsidR="00EE4B47" w:rsidRPr="008E0069">
        <w:rPr>
          <w:rFonts w:cs="Arial"/>
          <w:szCs w:val="22"/>
        </w:rPr>
        <w:t>community</w:t>
      </w:r>
      <w:r w:rsidR="00EE4B47">
        <w:rPr>
          <w:rFonts w:cs="Arial"/>
          <w:szCs w:val="22"/>
        </w:rPr>
        <w:t xml:space="preserve"> (or appointed representatives)</w:t>
      </w:r>
      <w:r w:rsidR="00EE4B47" w:rsidRPr="008E0069">
        <w:rPr>
          <w:rFonts w:cs="Arial"/>
          <w:szCs w:val="22"/>
        </w:rPr>
        <w:t xml:space="preserve"> are identified </w:t>
      </w:r>
      <w:r w:rsidR="00EE4B47">
        <w:rPr>
          <w:rFonts w:cs="Arial"/>
          <w:szCs w:val="22"/>
        </w:rPr>
        <w:t>as differently coloured boxes.</w:t>
      </w:r>
      <w:r w:rsidR="00EE4B47" w:rsidRPr="008E0069">
        <w:rPr>
          <w:rFonts w:cs="Arial"/>
          <w:szCs w:val="22"/>
        </w:rPr>
        <w:t xml:space="preserve"> </w:t>
      </w:r>
    </w:p>
    <w:p w14:paraId="4BD6D2FD" w14:textId="77777777" w:rsidR="00EE4B47" w:rsidRPr="008E0069" w:rsidRDefault="00EE4B47" w:rsidP="008A72A2">
      <w:pPr>
        <w:spacing w:line="360" w:lineRule="auto"/>
        <w:ind w:left="488" w:hanging="398"/>
        <w:rPr>
          <w:rFonts w:cs="Arial"/>
          <w:szCs w:val="22"/>
        </w:rPr>
      </w:pPr>
      <w:r>
        <w:rPr>
          <w:noProof/>
          <w:lang w:val="en-US"/>
        </w:rPr>
        <w:lastRenderedPageBreak/>
        <w:drawing>
          <wp:inline distT="0" distB="0" distL="0" distR="0" wp14:anchorId="784DA68E" wp14:editId="0D9F85D3">
            <wp:extent cx="6635750" cy="76295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638118" cy="7632248"/>
                    </a:xfrm>
                    <a:prstGeom prst="rect">
                      <a:avLst/>
                    </a:prstGeom>
                    <a:noFill/>
                    <a:ln>
                      <a:noFill/>
                    </a:ln>
                  </pic:spPr>
                </pic:pic>
              </a:graphicData>
            </a:graphic>
          </wp:inline>
        </w:drawing>
      </w:r>
    </w:p>
    <w:p w14:paraId="0B690B48" w14:textId="3F1A11BE" w:rsidR="00EE4B47" w:rsidRPr="00565B77" w:rsidRDefault="009A6835" w:rsidP="00EE4B47">
      <w:pPr>
        <w:spacing w:line="360" w:lineRule="auto"/>
        <w:rPr>
          <w:b/>
          <w:bCs/>
          <w:szCs w:val="22"/>
        </w:rPr>
      </w:pPr>
      <w:bookmarkStart w:id="247" w:name="_Toc270945522"/>
      <w:bookmarkStart w:id="248" w:name="_Toc262067860"/>
      <w:bookmarkStart w:id="249" w:name="_Toc262068186"/>
      <w:r w:rsidRPr="008C45F2">
        <w:rPr>
          <w:b/>
        </w:rPr>
        <w:t xml:space="preserve">Figure </w:t>
      </w:r>
      <w:r w:rsidRPr="00220C7D">
        <w:rPr>
          <w:b/>
        </w:rPr>
        <w:fldChar w:fldCharType="begin"/>
      </w:r>
      <w:r w:rsidRPr="00220C7D">
        <w:rPr>
          <w:b/>
        </w:rPr>
        <w:instrText xml:space="preserve"> SEQ Figure \* ARABIC </w:instrText>
      </w:r>
      <w:r w:rsidRPr="00220C7D">
        <w:rPr>
          <w:b/>
        </w:rPr>
        <w:fldChar w:fldCharType="separate"/>
      </w:r>
      <w:r w:rsidR="00E9048A">
        <w:rPr>
          <w:b/>
          <w:noProof/>
        </w:rPr>
        <w:t>19</w:t>
      </w:r>
      <w:r w:rsidRPr="00220C7D">
        <w:rPr>
          <w:b/>
        </w:rPr>
        <w:fldChar w:fldCharType="end"/>
      </w:r>
      <w:r w:rsidR="00EE4B47" w:rsidRPr="00565B77">
        <w:rPr>
          <w:b/>
          <w:szCs w:val="22"/>
        </w:rPr>
        <w:t xml:space="preserve">: </w:t>
      </w:r>
      <w:r w:rsidR="00EE4B47" w:rsidRPr="00565B77">
        <w:rPr>
          <w:b/>
          <w:bCs/>
          <w:szCs w:val="22"/>
        </w:rPr>
        <w:t>Enhanced Peoples Housing Process: Implementation Work Process</w:t>
      </w:r>
      <w:bookmarkEnd w:id="247"/>
    </w:p>
    <w:p w14:paraId="25A3723C" w14:textId="77777777" w:rsidR="00EE4B47" w:rsidRPr="00474335" w:rsidRDefault="00EE4B47" w:rsidP="00E732E9">
      <w:pPr>
        <w:pStyle w:val="Heading3"/>
        <w:rPr>
          <w:highlight w:val="yellow"/>
        </w:rPr>
      </w:pPr>
      <w:r w:rsidRPr="00474335">
        <w:rPr>
          <w:highlight w:val="yellow"/>
        </w:rPr>
        <w:lastRenderedPageBreak/>
        <w:t>Assessment of the suitability of the EPHP to housing consolidation</w:t>
      </w:r>
      <w:bookmarkEnd w:id="248"/>
      <w:bookmarkEnd w:id="249"/>
      <w:r w:rsidRPr="00474335">
        <w:rPr>
          <w:highlight w:val="yellow"/>
        </w:rPr>
        <w:t xml:space="preserve"> in in-situ upgrades</w:t>
      </w:r>
    </w:p>
    <w:p w14:paraId="0A6229AA" w14:textId="77777777" w:rsidR="00EE4B47" w:rsidRPr="00474335" w:rsidRDefault="00EE4B47" w:rsidP="0055634E">
      <w:pPr>
        <w:pStyle w:val="ListParagraph"/>
        <w:numPr>
          <w:ilvl w:val="0"/>
          <w:numId w:val="31"/>
        </w:numPr>
        <w:ind w:left="630" w:hanging="270"/>
        <w:rPr>
          <w:rFonts w:cs="Arial"/>
          <w:highlight w:val="yellow"/>
        </w:rPr>
      </w:pPr>
      <w:r w:rsidRPr="00474335">
        <w:rPr>
          <w:rFonts w:cs="Arial"/>
          <w:b/>
          <w:highlight w:val="yellow"/>
        </w:rPr>
        <w:t xml:space="preserve">Programme Fit: </w:t>
      </w:r>
    </w:p>
    <w:p w14:paraId="72E50545" w14:textId="77777777" w:rsidR="00EE4B47" w:rsidRPr="00474335" w:rsidRDefault="00EE4B47" w:rsidP="0055634E">
      <w:pPr>
        <w:pStyle w:val="ListParagraph"/>
        <w:numPr>
          <w:ilvl w:val="0"/>
          <w:numId w:val="44"/>
        </w:numPr>
        <w:tabs>
          <w:tab w:val="left" w:pos="1080"/>
        </w:tabs>
        <w:ind w:left="1080"/>
        <w:rPr>
          <w:rFonts w:cs="Arial"/>
          <w:i/>
          <w:highlight w:val="yellow"/>
        </w:rPr>
      </w:pPr>
      <w:r w:rsidRPr="00474335">
        <w:rPr>
          <w:rFonts w:cs="Arial"/>
          <w:highlight w:val="yellow"/>
        </w:rPr>
        <w:t>In the hands of a capable and committed CRO the EPHP funding instrument allows a high degree of flexibility in designing and implementing top structure solutions suited to particular settlement conditions. This coupled with the capacity building allowance means that higher density solutions that require cooperation between neighbours (such as party walls) are more likely to be feasible.</w:t>
      </w:r>
    </w:p>
    <w:p w14:paraId="57080FD7" w14:textId="70219740" w:rsidR="00EE4B47" w:rsidRPr="00474335" w:rsidRDefault="00EE4B47" w:rsidP="0055634E">
      <w:pPr>
        <w:pStyle w:val="ListParagraph"/>
        <w:numPr>
          <w:ilvl w:val="0"/>
          <w:numId w:val="44"/>
        </w:numPr>
        <w:tabs>
          <w:tab w:val="left" w:pos="1080"/>
        </w:tabs>
        <w:ind w:left="1080"/>
        <w:rPr>
          <w:rFonts w:cs="Arial"/>
          <w:highlight w:val="yellow"/>
        </w:rPr>
      </w:pPr>
      <w:r w:rsidRPr="00474335">
        <w:rPr>
          <w:rFonts w:cs="Arial"/>
          <w:highlight w:val="yellow"/>
        </w:rPr>
        <w:t>In addition</w:t>
      </w:r>
      <w:r w:rsidR="008A72A2" w:rsidRPr="00474335">
        <w:rPr>
          <w:rFonts w:cs="Arial"/>
          <w:highlight w:val="yellow"/>
        </w:rPr>
        <w:t>,</w:t>
      </w:r>
      <w:r w:rsidRPr="00474335">
        <w:rPr>
          <w:rFonts w:cs="Arial"/>
          <w:highlight w:val="yellow"/>
        </w:rPr>
        <w:t xml:space="preserve"> the provision for local institutional design and construction capacity makes it more feasible to allow for a broader range of choice and provision of design variants that cater for different household needs and priorities.</w:t>
      </w:r>
    </w:p>
    <w:p w14:paraId="6B549AF9" w14:textId="77777777" w:rsidR="00EE4B47" w:rsidRPr="00534A7D" w:rsidRDefault="00EE4B47" w:rsidP="0055634E">
      <w:pPr>
        <w:pStyle w:val="ListParagraph"/>
        <w:numPr>
          <w:ilvl w:val="0"/>
          <w:numId w:val="31"/>
        </w:numPr>
        <w:ind w:left="720"/>
        <w:rPr>
          <w:rFonts w:cs="Arial"/>
        </w:rPr>
      </w:pPr>
      <w:r w:rsidRPr="003526D2">
        <w:rPr>
          <w:rFonts w:cs="Arial"/>
          <w:b/>
        </w:rPr>
        <w:t>Institutional Requirements</w:t>
      </w:r>
      <w:r w:rsidRPr="007512C4">
        <w:rPr>
          <w:rFonts w:cs="Arial"/>
          <w:b/>
        </w:rPr>
        <w:t xml:space="preserve">: </w:t>
      </w:r>
    </w:p>
    <w:p w14:paraId="27CA2391" w14:textId="323AFE70" w:rsidR="00EE4B47" w:rsidRDefault="00EE4B47" w:rsidP="0055634E">
      <w:pPr>
        <w:pStyle w:val="ListParagraph"/>
        <w:numPr>
          <w:ilvl w:val="0"/>
          <w:numId w:val="45"/>
        </w:numPr>
        <w:ind w:left="1080"/>
        <w:rPr>
          <w:rFonts w:cs="Arial"/>
        </w:rPr>
      </w:pPr>
      <w:r w:rsidRPr="00FA1AA8">
        <w:rPr>
          <w:rFonts w:cs="Arial"/>
        </w:rPr>
        <w:t xml:space="preserve">The fundamental requirement is the existence of </w:t>
      </w:r>
      <w:r>
        <w:rPr>
          <w:rFonts w:cs="Arial"/>
        </w:rPr>
        <w:t xml:space="preserve">accredited </w:t>
      </w:r>
      <w:r w:rsidRPr="00FA1AA8">
        <w:rPr>
          <w:rFonts w:cs="Arial"/>
        </w:rPr>
        <w:t>CRO’s with the willingness to engage in EPHP projects and with a mix of (i) hard housing project management skills, (ii) strong community facilitation skills, (iii) access to bridging finance</w:t>
      </w:r>
      <w:r w:rsidR="003821AE">
        <w:rPr>
          <w:rFonts w:cs="Arial"/>
        </w:rPr>
        <w:t xml:space="preserve"> </w:t>
      </w:r>
      <w:r w:rsidRPr="00FA1AA8">
        <w:rPr>
          <w:rFonts w:cs="Arial"/>
        </w:rPr>
        <w:t>/</w:t>
      </w:r>
      <w:r w:rsidR="003821AE">
        <w:rPr>
          <w:rFonts w:cs="Arial"/>
        </w:rPr>
        <w:t xml:space="preserve"> </w:t>
      </w:r>
      <w:r w:rsidRPr="00FA1AA8">
        <w:rPr>
          <w:rFonts w:cs="Arial"/>
        </w:rPr>
        <w:t xml:space="preserve">working capital. </w:t>
      </w:r>
      <w:r>
        <w:rPr>
          <w:rFonts w:cs="Arial"/>
        </w:rPr>
        <w:t>On a sectorial level, it m</w:t>
      </w:r>
      <w:r w:rsidRPr="008E0069">
        <w:rPr>
          <w:rFonts w:cs="Arial"/>
        </w:rPr>
        <w:t xml:space="preserve">ay be </w:t>
      </w:r>
      <w:r>
        <w:rPr>
          <w:rFonts w:cs="Arial"/>
        </w:rPr>
        <w:t>prudent</w:t>
      </w:r>
      <w:r w:rsidRPr="008E0069">
        <w:rPr>
          <w:rFonts w:cs="Arial"/>
        </w:rPr>
        <w:t xml:space="preserve"> to focus limited CRO capacity on settlements or areas where combined </w:t>
      </w:r>
      <w:r>
        <w:rPr>
          <w:rFonts w:cs="Arial"/>
        </w:rPr>
        <w:t xml:space="preserve">or </w:t>
      </w:r>
      <w:r w:rsidRPr="008E0069">
        <w:rPr>
          <w:rFonts w:cs="Arial"/>
        </w:rPr>
        <w:t>group coordinated action is necessary in order to implement the housing solution</w:t>
      </w:r>
      <w:r>
        <w:rPr>
          <w:rFonts w:cs="Arial"/>
        </w:rPr>
        <w:t>s required (</w:t>
      </w:r>
      <w:r w:rsidRPr="008E0069">
        <w:rPr>
          <w:rFonts w:cs="Arial"/>
        </w:rPr>
        <w:t>e</w:t>
      </w:r>
      <w:r>
        <w:rPr>
          <w:rFonts w:cs="Arial"/>
        </w:rPr>
        <w:t>.</w:t>
      </w:r>
      <w:r w:rsidRPr="008E0069">
        <w:rPr>
          <w:rFonts w:cs="Arial"/>
        </w:rPr>
        <w:t>g</w:t>
      </w:r>
      <w:r>
        <w:rPr>
          <w:rFonts w:cs="Arial"/>
        </w:rPr>
        <w:t>.</w:t>
      </w:r>
      <w:r w:rsidRPr="008E0069">
        <w:rPr>
          <w:rFonts w:cs="Arial"/>
        </w:rPr>
        <w:t xml:space="preserve"> high density situations, party wall assembly, and complex processes of movement, temporary accommodation site clearance and reoccupation</w:t>
      </w:r>
      <w:r>
        <w:rPr>
          <w:rFonts w:cs="Arial"/>
        </w:rPr>
        <w:t xml:space="preserve">. </w:t>
      </w:r>
    </w:p>
    <w:p w14:paraId="10C334BD" w14:textId="009E7CAE" w:rsidR="00EE4B47" w:rsidRDefault="00EE4B47" w:rsidP="0055634E">
      <w:pPr>
        <w:pStyle w:val="ListParagraph"/>
        <w:numPr>
          <w:ilvl w:val="0"/>
          <w:numId w:val="45"/>
        </w:numPr>
        <w:ind w:left="1080"/>
        <w:rPr>
          <w:rFonts w:cs="Arial"/>
        </w:rPr>
      </w:pPr>
      <w:r>
        <w:rPr>
          <w:rFonts w:cs="Arial"/>
        </w:rPr>
        <w:t>EPHP does r</w:t>
      </w:r>
      <w:r w:rsidRPr="007512C4">
        <w:rPr>
          <w:rFonts w:cs="Arial"/>
        </w:rPr>
        <w:t>equire an element of social consensus /cohesion in the settlement and settlement</w:t>
      </w:r>
      <w:r w:rsidR="008A72A2">
        <w:rPr>
          <w:rFonts w:cs="Arial"/>
        </w:rPr>
        <w:t>-</w:t>
      </w:r>
      <w:r w:rsidRPr="007512C4">
        <w:rPr>
          <w:rFonts w:cs="Arial"/>
        </w:rPr>
        <w:t>wide agreement that the EPHP mode is the preferred system and</w:t>
      </w:r>
      <w:r w:rsidR="008A72A2">
        <w:rPr>
          <w:rFonts w:cs="Arial"/>
        </w:rPr>
        <w:t xml:space="preserve"> on</w:t>
      </w:r>
      <w:r w:rsidRPr="007512C4">
        <w:rPr>
          <w:rFonts w:cs="Arial"/>
        </w:rPr>
        <w:t xml:space="preserve"> which specific CRO is preferred. This may be difficult to achieve in certain settlements </w:t>
      </w:r>
      <w:r w:rsidRPr="00583FB7">
        <w:rPr>
          <w:rFonts w:cs="Arial"/>
        </w:rPr>
        <w:t>due to internal divisions.</w:t>
      </w:r>
      <w:r>
        <w:rPr>
          <w:rFonts w:cs="Arial"/>
        </w:rPr>
        <w:t xml:space="preserve">  </w:t>
      </w:r>
    </w:p>
    <w:p w14:paraId="2BCAFFF1" w14:textId="17E40FB0" w:rsidR="00EE4B47" w:rsidRPr="00A43E70" w:rsidRDefault="008A72A2" w:rsidP="0055634E">
      <w:pPr>
        <w:pStyle w:val="ListParagraph"/>
        <w:numPr>
          <w:ilvl w:val="0"/>
          <w:numId w:val="31"/>
        </w:numPr>
        <w:ind w:left="720"/>
        <w:rPr>
          <w:rFonts w:cs="Arial"/>
          <w:b/>
        </w:rPr>
      </w:pPr>
      <w:r>
        <w:rPr>
          <w:rFonts w:cs="Arial"/>
          <w:b/>
        </w:rPr>
        <w:t>Utilization</w:t>
      </w:r>
      <w:r w:rsidR="00EE4B47">
        <w:rPr>
          <w:rFonts w:cs="Arial"/>
          <w:b/>
        </w:rPr>
        <w:t xml:space="preserve"> of prior private housing i</w:t>
      </w:r>
      <w:r w:rsidR="00EE4B47" w:rsidRPr="00D647F4">
        <w:rPr>
          <w:rFonts w:cs="Arial"/>
          <w:b/>
        </w:rPr>
        <w:t>nvestment</w:t>
      </w:r>
      <w:r w:rsidR="00EE4B47">
        <w:rPr>
          <w:rFonts w:cs="Arial"/>
        </w:rPr>
        <w:t xml:space="preserve"> </w:t>
      </w:r>
      <w:r w:rsidR="00EE4B47" w:rsidRPr="00A43E70">
        <w:rPr>
          <w:rFonts w:cs="Arial"/>
          <w:b/>
        </w:rPr>
        <w:t xml:space="preserve">and </w:t>
      </w:r>
      <w:r w:rsidR="00EE4B47">
        <w:rPr>
          <w:rFonts w:cs="Arial"/>
          <w:b/>
        </w:rPr>
        <w:t xml:space="preserve">the </w:t>
      </w:r>
      <w:r w:rsidR="00EE4B47" w:rsidRPr="00A43E70">
        <w:rPr>
          <w:rFonts w:cs="Arial"/>
          <w:b/>
        </w:rPr>
        <w:t>incorporat</w:t>
      </w:r>
      <w:r w:rsidR="00EE4B47">
        <w:rPr>
          <w:rFonts w:cs="Arial"/>
          <w:b/>
        </w:rPr>
        <w:t xml:space="preserve">ion of private </w:t>
      </w:r>
      <w:r w:rsidR="00EE4B47" w:rsidRPr="00A43E70">
        <w:rPr>
          <w:rFonts w:cs="Arial"/>
          <w:b/>
        </w:rPr>
        <w:t xml:space="preserve">sources of funding into the dwelling </w:t>
      </w:r>
    </w:p>
    <w:p w14:paraId="25C98CC1" w14:textId="77777777" w:rsidR="00EE4B47" w:rsidRDefault="00EE4B47" w:rsidP="0055634E">
      <w:pPr>
        <w:pStyle w:val="ListParagraph"/>
        <w:numPr>
          <w:ilvl w:val="0"/>
          <w:numId w:val="46"/>
        </w:numPr>
        <w:ind w:left="1080"/>
        <w:rPr>
          <w:rFonts w:cs="Arial"/>
        </w:rPr>
      </w:pPr>
      <w:r>
        <w:rPr>
          <w:rFonts w:cs="Arial"/>
        </w:rPr>
        <w:t>The allowance made for the establishment of local design and construction management capacity can allow greater flexibility in house design and house construction modalities. This will better allow for design and construction solutions that accommodate prior (unsubsidized) top structure investment or the use of recovered materials in the new structure.</w:t>
      </w:r>
    </w:p>
    <w:p w14:paraId="4029978A" w14:textId="77777777" w:rsidR="00EE4B47" w:rsidRDefault="00EE4B47" w:rsidP="0055634E">
      <w:pPr>
        <w:pStyle w:val="ListParagraph"/>
        <w:numPr>
          <w:ilvl w:val="0"/>
          <w:numId w:val="46"/>
        </w:numPr>
        <w:ind w:left="990" w:hanging="270"/>
        <w:rPr>
          <w:rFonts w:cs="Arial"/>
        </w:rPr>
      </w:pPr>
      <w:r w:rsidRPr="002B5DF5">
        <w:rPr>
          <w:rFonts w:cs="Arial"/>
        </w:rPr>
        <w:t xml:space="preserve">In situ construction management capacity and social facilitation capacity established under the CRO/EPHP offers potential to accommodate a more diverse range of </w:t>
      </w:r>
      <w:r w:rsidRPr="002B5DF5">
        <w:rPr>
          <w:rFonts w:cs="Arial"/>
        </w:rPr>
        <w:lastRenderedPageBreak/>
        <w:t xml:space="preserve">housing solutions, and can therefore potentially incorporate </w:t>
      </w:r>
      <w:r>
        <w:rPr>
          <w:rFonts w:cs="Arial"/>
        </w:rPr>
        <w:t xml:space="preserve">private finance </w:t>
      </w:r>
      <w:r w:rsidRPr="002B5DF5">
        <w:rPr>
          <w:rFonts w:cs="Arial"/>
        </w:rPr>
        <w:t>into the house construction process</w:t>
      </w:r>
      <w:r>
        <w:rPr>
          <w:rFonts w:cs="Arial"/>
        </w:rPr>
        <w:t>.</w:t>
      </w:r>
    </w:p>
    <w:p w14:paraId="16A7514B" w14:textId="5C2A1323" w:rsidR="00EE4B47" w:rsidRPr="00791942" w:rsidRDefault="00EE4B47" w:rsidP="0055634E">
      <w:pPr>
        <w:pStyle w:val="ListParagraph"/>
        <w:numPr>
          <w:ilvl w:val="0"/>
          <w:numId w:val="46"/>
        </w:numPr>
        <w:ind w:left="990" w:hanging="270"/>
        <w:rPr>
          <w:rFonts w:cs="Arial"/>
        </w:rPr>
      </w:pPr>
      <w:r w:rsidRPr="00791942">
        <w:rPr>
          <w:rFonts w:cs="Arial"/>
        </w:rPr>
        <w:t xml:space="preserve">The EPHP requires that there are contributions to the project from the target beneficiary community. Such contributions can come from a number of sources including participating in the project decision making and institutional structures, savings, contributing skills, labour, building materials, </w:t>
      </w:r>
      <w:r w:rsidR="008A72A2">
        <w:rPr>
          <w:rFonts w:cs="Arial"/>
        </w:rPr>
        <w:t xml:space="preserve">and </w:t>
      </w:r>
      <w:r w:rsidRPr="00791942">
        <w:rPr>
          <w:rFonts w:cs="Arial"/>
        </w:rPr>
        <w:t>special projects</w:t>
      </w:r>
      <w:r w:rsidR="008A72A2">
        <w:rPr>
          <w:rFonts w:cs="Arial"/>
        </w:rPr>
        <w:t xml:space="preserve"> such </w:t>
      </w:r>
      <w:r w:rsidR="003C79E6">
        <w:rPr>
          <w:rFonts w:cs="Arial"/>
        </w:rPr>
        <w:t>as the development of shared communal facilities</w:t>
      </w:r>
      <w:r w:rsidRPr="00791942">
        <w:rPr>
          <w:rFonts w:cs="Arial"/>
        </w:rPr>
        <w:t xml:space="preserve">. </w:t>
      </w:r>
    </w:p>
    <w:p w14:paraId="2BE65AA7" w14:textId="53B9C4CB" w:rsidR="00EE4B47" w:rsidRPr="00747175" w:rsidRDefault="00EE4B47" w:rsidP="0055634E">
      <w:pPr>
        <w:pStyle w:val="ListParagraph"/>
        <w:numPr>
          <w:ilvl w:val="0"/>
          <w:numId w:val="46"/>
        </w:numPr>
        <w:ind w:left="990" w:hanging="270"/>
        <w:rPr>
          <w:rFonts w:cs="Arial"/>
        </w:rPr>
      </w:pPr>
      <w:r w:rsidRPr="00747175">
        <w:rPr>
          <w:rFonts w:cs="Arial"/>
        </w:rPr>
        <w:t xml:space="preserve">The EPHP funding </w:t>
      </w:r>
      <w:r>
        <w:rPr>
          <w:rFonts w:cs="Arial"/>
        </w:rPr>
        <w:t xml:space="preserve">potentially allows for </w:t>
      </w:r>
      <w:r w:rsidRPr="00747175">
        <w:rPr>
          <w:rFonts w:cs="Arial"/>
        </w:rPr>
        <w:t xml:space="preserve">the facilitation and </w:t>
      </w:r>
      <w:r w:rsidR="008B47BF">
        <w:rPr>
          <w:rFonts w:cs="Arial"/>
        </w:rPr>
        <w:t>organization</w:t>
      </w:r>
      <w:r w:rsidRPr="00747175">
        <w:rPr>
          <w:rFonts w:cs="Arial"/>
        </w:rPr>
        <w:t xml:space="preserve"> support </w:t>
      </w:r>
      <w:r>
        <w:rPr>
          <w:rFonts w:cs="Arial"/>
        </w:rPr>
        <w:t xml:space="preserve">needed </w:t>
      </w:r>
      <w:r w:rsidRPr="00747175">
        <w:rPr>
          <w:rFonts w:cs="Arial"/>
        </w:rPr>
        <w:t>to introduce and form groups relating to savings and credit.</w:t>
      </w:r>
    </w:p>
    <w:p w14:paraId="3F30792E" w14:textId="77777777" w:rsidR="00EE4B47" w:rsidRPr="005C3AE4" w:rsidRDefault="00EE4B47" w:rsidP="0055634E">
      <w:pPr>
        <w:pStyle w:val="ListParagraph"/>
        <w:numPr>
          <w:ilvl w:val="0"/>
          <w:numId w:val="31"/>
        </w:numPr>
        <w:ind w:left="720"/>
        <w:rPr>
          <w:rFonts w:cs="Arial"/>
        </w:rPr>
      </w:pPr>
      <w:r>
        <w:rPr>
          <w:rFonts w:cs="Arial"/>
          <w:b/>
        </w:rPr>
        <w:t xml:space="preserve">Synergies with the </w:t>
      </w:r>
      <w:r w:rsidRPr="0031267D">
        <w:rPr>
          <w:rFonts w:cs="Arial"/>
          <w:b/>
        </w:rPr>
        <w:t xml:space="preserve">house </w:t>
      </w:r>
      <w:r>
        <w:rPr>
          <w:rFonts w:cs="Arial"/>
          <w:b/>
        </w:rPr>
        <w:t xml:space="preserve">consolidation activities of </w:t>
      </w:r>
      <w:r w:rsidRPr="0031267D">
        <w:rPr>
          <w:rFonts w:cs="Arial"/>
          <w:b/>
        </w:rPr>
        <w:t>non-subsidy qualifying household</w:t>
      </w:r>
      <w:r>
        <w:rPr>
          <w:rFonts w:cs="Arial"/>
          <w:b/>
        </w:rPr>
        <w:t xml:space="preserve"> within the settlement</w:t>
      </w:r>
    </w:p>
    <w:p w14:paraId="41A5C29C" w14:textId="1BE11EEB" w:rsidR="00EE4B47" w:rsidRPr="001526B3" w:rsidRDefault="00EE4B47" w:rsidP="0055634E">
      <w:pPr>
        <w:pStyle w:val="ListParagraph"/>
        <w:numPr>
          <w:ilvl w:val="0"/>
          <w:numId w:val="47"/>
        </w:numPr>
        <w:ind w:left="990" w:hanging="270"/>
        <w:rPr>
          <w:rFonts w:cs="Arial"/>
          <w:b/>
        </w:rPr>
      </w:pPr>
      <w:r w:rsidRPr="001526B3">
        <w:rPr>
          <w:rFonts w:cs="Arial"/>
        </w:rPr>
        <w:t xml:space="preserve">EPHP processes can </w:t>
      </w:r>
      <w:r w:rsidR="00606744">
        <w:rPr>
          <w:rFonts w:cs="Arial"/>
        </w:rPr>
        <w:t xml:space="preserve">potentially </w:t>
      </w:r>
      <w:r w:rsidRPr="001526B3">
        <w:rPr>
          <w:rFonts w:cs="Arial"/>
        </w:rPr>
        <w:t xml:space="preserve">be designed to provide housing support services to households who do not </w:t>
      </w:r>
      <w:r w:rsidR="00606744">
        <w:rPr>
          <w:rFonts w:cs="Arial"/>
        </w:rPr>
        <w:t xml:space="preserve">qualify for the subsidy, but the current design of the programme provides funding only for </w:t>
      </w:r>
      <w:r w:rsidR="00EF2B43">
        <w:rPr>
          <w:rFonts w:cs="Arial"/>
        </w:rPr>
        <w:t xml:space="preserve">the services associated with the subsidised unit. Alternative funding mechanisms would therefore be needed to service the unsubsidized market. </w:t>
      </w:r>
      <w:r w:rsidRPr="001526B3">
        <w:rPr>
          <w:rFonts w:cs="Arial"/>
        </w:rPr>
        <w:t xml:space="preserve"> </w:t>
      </w:r>
    </w:p>
    <w:p w14:paraId="0F27BFE7" w14:textId="186E54BC" w:rsidR="00EE4B47" w:rsidRDefault="00EE4B47" w:rsidP="0055634E">
      <w:pPr>
        <w:pStyle w:val="ListParagraph"/>
        <w:numPr>
          <w:ilvl w:val="0"/>
          <w:numId w:val="31"/>
        </w:numPr>
        <w:ind w:left="720"/>
        <w:rPr>
          <w:rFonts w:cs="Arial"/>
        </w:rPr>
      </w:pPr>
      <w:r>
        <w:rPr>
          <w:rFonts w:cs="Arial"/>
          <w:b/>
        </w:rPr>
        <w:t>Building a s</w:t>
      </w:r>
      <w:r w:rsidRPr="001F4739">
        <w:rPr>
          <w:rFonts w:cs="Arial"/>
          <w:b/>
        </w:rPr>
        <w:t xml:space="preserve">ustainable </w:t>
      </w:r>
      <w:r>
        <w:rPr>
          <w:rFonts w:cs="Arial"/>
          <w:b/>
        </w:rPr>
        <w:t xml:space="preserve">local construction capacity: </w:t>
      </w:r>
      <w:r w:rsidRPr="007D653E">
        <w:rPr>
          <w:rFonts w:cs="Arial"/>
          <w:b/>
        </w:rPr>
        <w:t>Sustainable Housing Market</w:t>
      </w:r>
      <w:r w:rsidRPr="007D653E">
        <w:rPr>
          <w:rFonts w:cs="Arial"/>
        </w:rPr>
        <w:t>:</w:t>
      </w:r>
    </w:p>
    <w:p w14:paraId="02F9C39C" w14:textId="552D0672" w:rsidR="00EE4B47" w:rsidRDefault="00EE4B47" w:rsidP="0055634E">
      <w:pPr>
        <w:pStyle w:val="ListParagraph"/>
        <w:numPr>
          <w:ilvl w:val="0"/>
          <w:numId w:val="22"/>
        </w:numPr>
        <w:ind w:left="990" w:hanging="270"/>
        <w:rPr>
          <w:rFonts w:cs="Arial"/>
        </w:rPr>
      </w:pPr>
      <w:r>
        <w:rPr>
          <w:rFonts w:cs="Arial"/>
        </w:rPr>
        <w:t xml:space="preserve">The establishment of local materials management and construction management systems within the project area </w:t>
      </w:r>
      <w:r w:rsidR="008A72A2">
        <w:rPr>
          <w:rFonts w:cs="Arial"/>
        </w:rPr>
        <w:t xml:space="preserve">could </w:t>
      </w:r>
      <w:r w:rsidRPr="00250EA9">
        <w:rPr>
          <w:rFonts w:cs="Arial"/>
        </w:rPr>
        <w:t>potentially</w:t>
      </w:r>
      <w:r>
        <w:rPr>
          <w:rFonts w:cs="Arial"/>
        </w:rPr>
        <w:t xml:space="preserve"> contribute to the development of a sustainable (post subsidy) local construction industry but this needs to be consciously built into the design of the EPHP projects </w:t>
      </w:r>
      <w:r w:rsidR="008A72A2">
        <w:rPr>
          <w:rFonts w:cs="Arial"/>
        </w:rPr>
        <w:t xml:space="preserve">and </w:t>
      </w:r>
      <w:r>
        <w:rPr>
          <w:rFonts w:cs="Arial"/>
        </w:rPr>
        <w:t>management systems. In particular consideration must be given to:</w:t>
      </w:r>
    </w:p>
    <w:p w14:paraId="42D1DE1C" w14:textId="1A2E73A4" w:rsidR="00EE4B47" w:rsidRDefault="00EE4B47" w:rsidP="0055634E">
      <w:pPr>
        <w:pStyle w:val="ListParagraph"/>
        <w:numPr>
          <w:ilvl w:val="1"/>
          <w:numId w:val="50"/>
        </w:numPr>
        <w:ind w:left="1350"/>
        <w:rPr>
          <w:rFonts w:cs="Arial"/>
        </w:rPr>
      </w:pPr>
      <w:r>
        <w:rPr>
          <w:rFonts w:cs="Arial"/>
        </w:rPr>
        <w:t>H</w:t>
      </w:r>
      <w:r w:rsidRPr="00ED30C6">
        <w:rPr>
          <w:rFonts w:cs="Arial"/>
        </w:rPr>
        <w:t>ow</w:t>
      </w:r>
      <w:r w:rsidRPr="00FA1AA8">
        <w:rPr>
          <w:rFonts w:cs="Arial"/>
        </w:rPr>
        <w:t xml:space="preserve"> to institutionalise </w:t>
      </w:r>
      <w:r>
        <w:rPr>
          <w:rFonts w:cs="Arial"/>
        </w:rPr>
        <w:t>the</w:t>
      </w:r>
      <w:r w:rsidRPr="00FA1AA8">
        <w:rPr>
          <w:rFonts w:cs="Arial"/>
        </w:rPr>
        <w:t xml:space="preserve"> building design</w:t>
      </w:r>
      <w:r>
        <w:rPr>
          <w:rFonts w:cs="Arial"/>
        </w:rPr>
        <w:t xml:space="preserve"> oversight </w:t>
      </w:r>
      <w:r w:rsidRPr="00FA1AA8">
        <w:rPr>
          <w:rFonts w:cs="Arial"/>
        </w:rPr>
        <w:t xml:space="preserve">and construction supervision </w:t>
      </w:r>
      <w:r>
        <w:rPr>
          <w:rFonts w:cs="Arial"/>
        </w:rPr>
        <w:t xml:space="preserve">activities </w:t>
      </w:r>
      <w:r w:rsidRPr="00FA1AA8">
        <w:rPr>
          <w:rFonts w:cs="Arial"/>
        </w:rPr>
        <w:t xml:space="preserve">within municipal </w:t>
      </w:r>
      <w:r>
        <w:rPr>
          <w:rFonts w:cs="Arial"/>
        </w:rPr>
        <w:t xml:space="preserve">planning and </w:t>
      </w:r>
      <w:r w:rsidRPr="00FA1AA8">
        <w:rPr>
          <w:rFonts w:cs="Arial"/>
        </w:rPr>
        <w:t>building control systems</w:t>
      </w:r>
      <w:r>
        <w:rPr>
          <w:rFonts w:cs="Arial"/>
        </w:rPr>
        <w:t xml:space="preserve"> after subsidy delivery.</w:t>
      </w:r>
    </w:p>
    <w:p w14:paraId="0842B8FC" w14:textId="77777777" w:rsidR="00EE4B47" w:rsidRDefault="00EE4B47" w:rsidP="0055634E">
      <w:pPr>
        <w:pStyle w:val="ListParagraph"/>
        <w:numPr>
          <w:ilvl w:val="1"/>
          <w:numId w:val="50"/>
        </w:numPr>
        <w:ind w:left="1350"/>
        <w:rPr>
          <w:rFonts w:cs="Arial"/>
        </w:rPr>
      </w:pPr>
      <w:r>
        <w:rPr>
          <w:rFonts w:cs="Arial"/>
        </w:rPr>
        <w:t>How to establish the materials systems as viable enterprises post  subsidy delivery</w:t>
      </w:r>
    </w:p>
    <w:p w14:paraId="02BF59BE" w14:textId="77777777" w:rsidR="00EE4B47" w:rsidRDefault="00EE4B47" w:rsidP="0055634E">
      <w:pPr>
        <w:pStyle w:val="ListParagraph"/>
        <w:numPr>
          <w:ilvl w:val="1"/>
          <w:numId w:val="50"/>
        </w:numPr>
        <w:ind w:left="1350"/>
        <w:rPr>
          <w:rFonts w:cs="Arial"/>
        </w:rPr>
      </w:pPr>
      <w:r>
        <w:rPr>
          <w:rFonts w:cs="Arial"/>
        </w:rPr>
        <w:t>M</w:t>
      </w:r>
      <w:r w:rsidRPr="00ED30C6">
        <w:rPr>
          <w:rFonts w:cs="Arial"/>
        </w:rPr>
        <w:t>oving some facilitation functions from the local (project) to the sub regional level after the initial construction phase in order to achieve the scale economies</w:t>
      </w:r>
      <w:r>
        <w:rPr>
          <w:rFonts w:cs="Arial"/>
        </w:rPr>
        <w:t xml:space="preserve"> needed. </w:t>
      </w:r>
    </w:p>
    <w:p w14:paraId="7A63FE28" w14:textId="77777777" w:rsidR="00CF3F6C" w:rsidRDefault="00CF3F6C" w:rsidP="0055634E">
      <w:pPr>
        <w:pStyle w:val="ListParagraph"/>
        <w:numPr>
          <w:ilvl w:val="1"/>
          <w:numId w:val="50"/>
        </w:numPr>
        <w:ind w:left="1350"/>
        <w:rPr>
          <w:rFonts w:cs="Arial"/>
        </w:rPr>
      </w:pPr>
    </w:p>
    <w:p w14:paraId="01E2785D" w14:textId="77777777" w:rsidR="00EE4B47" w:rsidRPr="00A43E70" w:rsidRDefault="00EE4B47" w:rsidP="00540DD7">
      <w:pPr>
        <w:pStyle w:val="Heading2"/>
      </w:pPr>
      <w:bookmarkStart w:id="250" w:name="_Toc387655141"/>
      <w:bookmarkStart w:id="251" w:name="_Toc262067861"/>
      <w:bookmarkStart w:id="252" w:name="_Toc270946042"/>
      <w:r w:rsidRPr="00A43E70">
        <w:lastRenderedPageBreak/>
        <w:t>Consolidation Subsidies</w:t>
      </w:r>
      <w:bookmarkEnd w:id="250"/>
      <w:bookmarkEnd w:id="251"/>
      <w:bookmarkEnd w:id="252"/>
      <w:r w:rsidRPr="00A43E70">
        <w:t xml:space="preserve"> </w:t>
      </w:r>
    </w:p>
    <w:p w14:paraId="107198A2" w14:textId="77777777" w:rsidR="00727F0B" w:rsidRDefault="00727F0B" w:rsidP="00250EA9">
      <w:pPr>
        <w:spacing w:after="0"/>
        <w:ind w:left="490"/>
        <w:rPr>
          <w:rFonts w:cs="Arial"/>
          <w:szCs w:val="22"/>
        </w:rPr>
      </w:pPr>
    </w:p>
    <w:p w14:paraId="68302CF3" w14:textId="3B5D305C" w:rsidR="00EE4B47" w:rsidRDefault="00EE4B47" w:rsidP="00CD50F6">
      <w:pPr>
        <w:spacing w:line="360" w:lineRule="auto"/>
        <w:rPr>
          <w:rFonts w:cs="Arial"/>
          <w:szCs w:val="22"/>
        </w:rPr>
      </w:pPr>
      <w:r w:rsidRPr="00565B32">
        <w:rPr>
          <w:rFonts w:cs="Arial"/>
          <w:szCs w:val="22"/>
        </w:rPr>
        <w:t>Consolidation subsidies were introduced to cater for the delivery of houses to recipients of serviced sites under the pre-1994 Independent Development Trust serviced site delivery programme. Beneficiaries of post</w:t>
      </w:r>
      <w:r>
        <w:rPr>
          <w:rFonts w:cs="Arial"/>
          <w:szCs w:val="22"/>
        </w:rPr>
        <w:t>-</w:t>
      </w:r>
      <w:r w:rsidRPr="00565B32">
        <w:rPr>
          <w:rFonts w:cs="Arial"/>
          <w:szCs w:val="22"/>
        </w:rPr>
        <w:t>IDT housing programmes receiv</w:t>
      </w:r>
      <w:r w:rsidR="00727F0B">
        <w:rPr>
          <w:rFonts w:cs="Arial"/>
          <w:szCs w:val="22"/>
        </w:rPr>
        <w:t>ed</w:t>
      </w:r>
      <w:r w:rsidRPr="00565B32">
        <w:rPr>
          <w:rFonts w:cs="Arial"/>
          <w:szCs w:val="22"/>
        </w:rPr>
        <w:t xml:space="preserve"> full housing products through the RDP programme, hence the need to provide an equitable level of subsidy to these households. </w:t>
      </w:r>
      <w:r>
        <w:rPr>
          <w:rFonts w:cs="Arial"/>
          <w:szCs w:val="22"/>
        </w:rPr>
        <w:t>According to the NDHS</w:t>
      </w:r>
      <w:r>
        <w:rPr>
          <w:rStyle w:val="FootnoteReference"/>
          <w:rFonts w:eastAsia="Calibri"/>
          <w:szCs w:val="22"/>
        </w:rPr>
        <w:footnoteReference w:id="12"/>
      </w:r>
      <w:r>
        <w:rPr>
          <w:rFonts w:cs="Arial"/>
          <w:szCs w:val="22"/>
        </w:rPr>
        <w:t>,</w:t>
      </w:r>
      <w:r w:rsidR="00727F0B">
        <w:rPr>
          <w:rFonts w:cs="Arial"/>
          <w:szCs w:val="22"/>
        </w:rPr>
        <w:t xml:space="preserve"> this</w:t>
      </w:r>
      <w:r>
        <w:rPr>
          <w:rFonts w:cs="Arial"/>
          <w:szCs w:val="22"/>
        </w:rPr>
        <w:t xml:space="preserve"> programme is no longer functional, given that most of the previous IDT projects have completed the consolidation phase</w:t>
      </w:r>
      <w:r>
        <w:rPr>
          <w:rStyle w:val="FootnoteReference"/>
          <w:rFonts w:eastAsia="Calibri"/>
          <w:szCs w:val="22"/>
        </w:rPr>
        <w:footnoteReference w:id="13"/>
      </w:r>
      <w:r>
        <w:rPr>
          <w:rFonts w:cs="Arial"/>
          <w:szCs w:val="22"/>
        </w:rPr>
        <w:t xml:space="preserve">. However, this subsidy instrument has useful lessons for future application of top structure consolidation processes for the UISP, and </w:t>
      </w:r>
      <w:r w:rsidR="00727F0B">
        <w:rPr>
          <w:rFonts w:cs="Arial"/>
          <w:szCs w:val="22"/>
        </w:rPr>
        <w:t xml:space="preserve">considering that it still appears in the National Housing Code </w:t>
      </w:r>
      <w:r>
        <w:rPr>
          <w:rFonts w:cs="Arial"/>
          <w:szCs w:val="22"/>
        </w:rPr>
        <w:t>could potentially be reinstated in an adapted form.</w:t>
      </w:r>
      <w:r w:rsidR="003C79E6">
        <w:rPr>
          <w:rFonts w:cs="Arial"/>
          <w:szCs w:val="22"/>
        </w:rPr>
        <w:t xml:space="preserve"> </w:t>
      </w:r>
    </w:p>
    <w:p w14:paraId="01151750" w14:textId="132392EC" w:rsidR="003C79E6" w:rsidRPr="00565B32" w:rsidRDefault="003C79E6" w:rsidP="00CD50F6">
      <w:pPr>
        <w:spacing w:line="360" w:lineRule="auto"/>
        <w:rPr>
          <w:rFonts w:cs="Arial"/>
          <w:szCs w:val="22"/>
        </w:rPr>
      </w:pPr>
      <w:r>
        <w:rPr>
          <w:rFonts w:cs="Arial"/>
          <w:szCs w:val="22"/>
        </w:rPr>
        <w:t xml:space="preserve">Key benefits of this programme are that it related to contexts where serviced sites had already been settled, so the house consolidation process necessarily occurred around existing investments by households in houses, rather than requiring eradication of existing structures as envisaged in the UISP.  Secondly, this then ensured a more nuanced implementation approach that better met specific households’ needs. For one, the priority may be basic shelter, for others, better wet services.  Thirdly, the process acknowledged the house consolidation time frame as being longer than simply the implementation of subsidised services.  </w:t>
      </w:r>
    </w:p>
    <w:p w14:paraId="1B395AB7" w14:textId="58133B29" w:rsidR="00EE4B47" w:rsidRDefault="00EE4B47" w:rsidP="00540DD7">
      <w:pPr>
        <w:pStyle w:val="Heading2"/>
      </w:pPr>
      <w:bookmarkStart w:id="253" w:name="_Toc387655143"/>
      <w:bookmarkStart w:id="254" w:name="_Toc262067865"/>
      <w:bookmarkStart w:id="255" w:name="_Toc270946043"/>
      <w:r>
        <w:t xml:space="preserve">Ownership - Possible Future Voucher Programme – Based on Adapting the </w:t>
      </w:r>
      <w:r w:rsidRPr="003526D2">
        <w:t xml:space="preserve">Individual </w:t>
      </w:r>
      <w:r>
        <w:t xml:space="preserve">Rural Housing </w:t>
      </w:r>
      <w:r w:rsidRPr="003526D2">
        <w:t xml:space="preserve">Subsidy Voucher </w:t>
      </w:r>
      <w:r>
        <w:t xml:space="preserve">System </w:t>
      </w:r>
      <w:r w:rsidR="00DE1AF8">
        <w:t>/ o</w:t>
      </w:r>
      <w:r w:rsidRPr="003526D2">
        <w:t>wner</w:t>
      </w:r>
      <w:r>
        <w:t>-builder L</w:t>
      </w:r>
      <w:r w:rsidRPr="003526D2">
        <w:t xml:space="preserve">ed </w:t>
      </w:r>
      <w:r>
        <w:t>A</w:t>
      </w:r>
      <w:r w:rsidRPr="003526D2">
        <w:t>pproaches</w:t>
      </w:r>
      <w:bookmarkEnd w:id="253"/>
      <w:bookmarkEnd w:id="254"/>
      <w:bookmarkEnd w:id="255"/>
      <w:r w:rsidRPr="003526D2">
        <w:t xml:space="preserve"> </w:t>
      </w:r>
    </w:p>
    <w:p w14:paraId="2678E72A" w14:textId="77777777" w:rsidR="00727F0B" w:rsidRDefault="00727F0B" w:rsidP="00250EA9">
      <w:pPr>
        <w:spacing w:after="0"/>
        <w:ind w:left="490"/>
        <w:rPr>
          <w:rFonts w:cs="Arial"/>
          <w:szCs w:val="22"/>
        </w:rPr>
      </w:pPr>
    </w:p>
    <w:p w14:paraId="0259D4A8" w14:textId="250C0D33" w:rsidR="00EE4B47" w:rsidRDefault="00DE1AF8" w:rsidP="00CD50F6">
      <w:pPr>
        <w:spacing w:line="360" w:lineRule="auto"/>
        <w:rPr>
          <w:rFonts w:cs="Arial"/>
          <w:szCs w:val="22"/>
        </w:rPr>
      </w:pPr>
      <w:r>
        <w:rPr>
          <w:rFonts w:cs="Arial"/>
          <w:szCs w:val="22"/>
        </w:rPr>
        <w:t>The v</w:t>
      </w:r>
      <w:r w:rsidR="00EE4B47" w:rsidRPr="002F509F">
        <w:rPr>
          <w:rFonts w:cs="Arial"/>
          <w:szCs w:val="22"/>
        </w:rPr>
        <w:t xml:space="preserve">oucher based </w:t>
      </w:r>
      <w:r w:rsidR="00EE4B47">
        <w:rPr>
          <w:rFonts w:cs="Arial"/>
          <w:szCs w:val="22"/>
        </w:rPr>
        <w:t xml:space="preserve">subsidy </w:t>
      </w:r>
      <w:r w:rsidR="00EE4B47" w:rsidRPr="002F509F">
        <w:rPr>
          <w:rFonts w:cs="Arial"/>
          <w:szCs w:val="22"/>
        </w:rPr>
        <w:t xml:space="preserve">systems place the housing beneficiary as the </w:t>
      </w:r>
      <w:r w:rsidR="00EE4B47">
        <w:rPr>
          <w:rFonts w:cs="Arial"/>
          <w:szCs w:val="22"/>
        </w:rPr>
        <w:t xml:space="preserve">lead </w:t>
      </w:r>
      <w:r w:rsidR="00EE4B47" w:rsidRPr="002F509F">
        <w:rPr>
          <w:rFonts w:cs="Arial"/>
          <w:szCs w:val="22"/>
        </w:rPr>
        <w:t xml:space="preserve">implementing actor in the top structure building process and cater for </w:t>
      </w:r>
      <w:r>
        <w:rPr>
          <w:rFonts w:cs="Arial"/>
          <w:szCs w:val="22"/>
        </w:rPr>
        <w:t xml:space="preserve">an </w:t>
      </w:r>
      <w:r w:rsidR="00EE4B47" w:rsidRPr="002F509F">
        <w:rPr>
          <w:rFonts w:cs="Arial"/>
          <w:szCs w:val="22"/>
        </w:rPr>
        <w:t>owner builder mode of house assembly</w:t>
      </w:r>
      <w:r w:rsidR="00EE4B47">
        <w:rPr>
          <w:rFonts w:cs="Arial"/>
          <w:szCs w:val="22"/>
        </w:rPr>
        <w:t>.</w:t>
      </w:r>
      <w:r w:rsidR="00EE4B47" w:rsidRPr="002F509F">
        <w:rPr>
          <w:rFonts w:cs="Arial"/>
          <w:szCs w:val="22"/>
        </w:rPr>
        <w:t xml:space="preserve"> </w:t>
      </w:r>
      <w:r w:rsidR="00EE4B47">
        <w:rPr>
          <w:rFonts w:cs="Arial"/>
          <w:szCs w:val="22"/>
        </w:rPr>
        <w:t xml:space="preserve"> </w:t>
      </w:r>
    </w:p>
    <w:p w14:paraId="4B3FF105" w14:textId="5FA283DD" w:rsidR="00EE4B47" w:rsidRDefault="00EE4B47" w:rsidP="00CD50F6">
      <w:pPr>
        <w:spacing w:line="360" w:lineRule="auto"/>
        <w:rPr>
          <w:rFonts w:cs="Arial"/>
          <w:szCs w:val="22"/>
        </w:rPr>
      </w:pPr>
      <w:r>
        <w:rPr>
          <w:rFonts w:cs="Arial"/>
          <w:szCs w:val="22"/>
        </w:rPr>
        <w:t xml:space="preserve">The use of vouchers in </w:t>
      </w:r>
      <w:r w:rsidR="00E01C9B">
        <w:rPr>
          <w:rFonts w:cs="Arial"/>
          <w:szCs w:val="22"/>
        </w:rPr>
        <w:t>subsidized</w:t>
      </w:r>
      <w:r>
        <w:rPr>
          <w:rFonts w:cs="Arial"/>
          <w:szCs w:val="22"/>
        </w:rPr>
        <w:t xml:space="preserve"> top structure construction was pioneered in the Southern Pinetown region in the late 1990’s using Consolidation </w:t>
      </w:r>
      <w:r w:rsidR="00DE1AF8">
        <w:rPr>
          <w:rFonts w:cs="Arial"/>
          <w:szCs w:val="22"/>
        </w:rPr>
        <w:t xml:space="preserve">Subsidies </w:t>
      </w:r>
      <w:r>
        <w:rPr>
          <w:rFonts w:cs="Arial"/>
          <w:szCs w:val="22"/>
        </w:rPr>
        <w:t xml:space="preserve">and was subsequently applied </w:t>
      </w:r>
      <w:r w:rsidR="00DE1AF8">
        <w:rPr>
          <w:rFonts w:cs="Arial"/>
          <w:szCs w:val="22"/>
        </w:rPr>
        <w:t xml:space="preserve">to </w:t>
      </w:r>
      <w:r w:rsidR="00B0299D">
        <w:rPr>
          <w:rFonts w:cs="Arial"/>
          <w:szCs w:val="22"/>
        </w:rPr>
        <w:t xml:space="preserve">a number of other projects, </w:t>
      </w:r>
      <w:r>
        <w:rPr>
          <w:rFonts w:cs="Arial"/>
          <w:szCs w:val="22"/>
        </w:rPr>
        <w:t>for example Wiggins Cato Manor</w:t>
      </w:r>
      <w:r w:rsidR="00B0299D">
        <w:rPr>
          <w:rFonts w:cs="Arial"/>
          <w:szCs w:val="22"/>
        </w:rPr>
        <w:t xml:space="preserve"> </w:t>
      </w:r>
      <w:r>
        <w:rPr>
          <w:rFonts w:cs="Arial"/>
          <w:szCs w:val="22"/>
        </w:rPr>
        <w:t>(See Box</w:t>
      </w:r>
      <w:r w:rsidR="00CD50F6">
        <w:rPr>
          <w:rFonts w:cs="Arial"/>
          <w:szCs w:val="22"/>
        </w:rPr>
        <w:t xml:space="preserve"> </w:t>
      </w:r>
      <w:r w:rsidR="0047610A">
        <w:rPr>
          <w:rFonts w:cs="Arial"/>
          <w:szCs w:val="22"/>
        </w:rPr>
        <w:t xml:space="preserve">1 </w:t>
      </w:r>
      <w:r w:rsidR="00CD50F6">
        <w:rPr>
          <w:rFonts w:cs="Arial"/>
          <w:szCs w:val="22"/>
        </w:rPr>
        <w:t>below</w:t>
      </w:r>
      <w:r>
        <w:rPr>
          <w:rFonts w:cs="Arial"/>
          <w:szCs w:val="22"/>
        </w:rPr>
        <w:t>)</w:t>
      </w:r>
      <w:r w:rsidR="00B0299D">
        <w:rPr>
          <w:rFonts w:cs="Arial"/>
          <w:szCs w:val="22"/>
        </w:rPr>
        <w:t>.</w:t>
      </w:r>
    </w:p>
    <w:tbl>
      <w:tblPr>
        <w:tblStyle w:val="TableGrid"/>
        <w:tblW w:w="9088" w:type="dxa"/>
        <w:tblInd w:w="488" w:type="dxa"/>
        <w:tblLook w:val="04A0" w:firstRow="1" w:lastRow="0" w:firstColumn="1" w:lastColumn="0" w:noHBand="0" w:noVBand="1"/>
      </w:tblPr>
      <w:tblGrid>
        <w:gridCol w:w="9088"/>
      </w:tblGrid>
      <w:tr w:rsidR="00EE4B47" w14:paraId="7EFBE937" w14:textId="77777777" w:rsidTr="0047631F">
        <w:tc>
          <w:tcPr>
            <w:tcW w:w="9088" w:type="dxa"/>
          </w:tcPr>
          <w:p w14:paraId="6F0E2B4D" w14:textId="2757A588" w:rsidR="00EE4B47" w:rsidRPr="003C7C54" w:rsidRDefault="0047610A" w:rsidP="0047631F">
            <w:pPr>
              <w:spacing w:line="360" w:lineRule="auto"/>
              <w:ind w:left="33"/>
              <w:jc w:val="center"/>
              <w:rPr>
                <w:rFonts w:cs="Arial"/>
                <w:b/>
                <w:szCs w:val="22"/>
              </w:rPr>
            </w:pPr>
            <w:r>
              <w:rPr>
                <w:rFonts w:cs="Arial"/>
                <w:b/>
                <w:szCs w:val="22"/>
              </w:rPr>
              <w:lastRenderedPageBreak/>
              <w:t>Box 1:</w:t>
            </w:r>
            <w:r w:rsidR="00EE4B47" w:rsidRPr="003C7C54">
              <w:rPr>
                <w:rFonts w:cs="Arial"/>
                <w:b/>
                <w:szCs w:val="22"/>
              </w:rPr>
              <w:t>Previous Housing Voucher System(s) in South Africa</w:t>
            </w:r>
          </w:p>
          <w:p w14:paraId="0DA01BB1" w14:textId="30977930" w:rsidR="00EE4B47" w:rsidRPr="003C7C54" w:rsidRDefault="00EE4B47" w:rsidP="0047631F">
            <w:pPr>
              <w:ind w:left="34"/>
              <w:rPr>
                <w:rFonts w:cs="Arial"/>
                <w:szCs w:val="22"/>
              </w:rPr>
            </w:pPr>
            <w:r w:rsidRPr="003C7C54">
              <w:rPr>
                <w:rFonts w:cs="Arial"/>
                <w:szCs w:val="22"/>
              </w:rPr>
              <w:t xml:space="preserve">Owner-builder voucher led approaches to top structure construction have, on occasion, been implemented in South African housing subsidy projects since the mid </w:t>
            </w:r>
            <w:r w:rsidR="00DE1AF8">
              <w:rPr>
                <w:rFonts w:cs="Arial"/>
                <w:szCs w:val="22"/>
              </w:rPr>
              <w:t>19</w:t>
            </w:r>
            <w:r w:rsidRPr="003C7C54">
              <w:rPr>
                <w:rFonts w:cs="Arial"/>
                <w:szCs w:val="22"/>
              </w:rPr>
              <w:t xml:space="preserve">90’s. One such example was a housing consolidation project implemented in the Southern Pinetown area of Durban between 1996 and 1998 within the overall parameters of the Consolidation Subsidy. </w:t>
            </w:r>
          </w:p>
          <w:p w14:paraId="52530C5F" w14:textId="37B1AC6A" w:rsidR="00EE4B47" w:rsidRPr="003C7C54" w:rsidRDefault="00EE4B47" w:rsidP="0047631F">
            <w:pPr>
              <w:ind w:left="34"/>
              <w:rPr>
                <w:rFonts w:cs="Arial"/>
                <w:szCs w:val="22"/>
              </w:rPr>
            </w:pPr>
            <w:r w:rsidRPr="003C7C54">
              <w:rPr>
                <w:rFonts w:cs="Arial"/>
                <w:szCs w:val="22"/>
              </w:rPr>
              <w:t xml:space="preserve">Smit (2009, px) notes that under the scheme the representative CBO’s formed the entity, named the SJV to be in overall control of the project. BESG (an NGO) was appointed as the project manager and the local authority, the Inner West Council, was appointed as the financial administrator of the subsidy money. Four housing advisors, based at housing advice offices in Luganda and Zilweleni, were employed to provide advice to beneficiaries on how to spend their subsidies. </w:t>
            </w:r>
          </w:p>
          <w:p w14:paraId="570E85C2" w14:textId="77777777" w:rsidR="00EE4B47" w:rsidRPr="003C7C54" w:rsidRDefault="00EE4B47" w:rsidP="0047631F">
            <w:pPr>
              <w:ind w:left="34"/>
              <w:rPr>
                <w:rFonts w:cs="Arial"/>
                <w:szCs w:val="22"/>
              </w:rPr>
            </w:pPr>
            <w:r w:rsidRPr="003C7C54">
              <w:rPr>
                <w:rFonts w:cs="Arial"/>
                <w:szCs w:val="22"/>
              </w:rPr>
              <w:t>Beneficiaries had complete freedom of choice as to building materials, which builder to hire and house design. Beneficiaries used order forms showing the amount of their subsidy to order materials from the four building materials suppliers accredited to the project and to hire accredited small builders. The local authority housing advisor certified completion of the structures, enabling payment to be made to the suppliers and builders.</w:t>
            </w:r>
          </w:p>
          <w:p w14:paraId="632E36DF" w14:textId="60CBE0D8" w:rsidR="00EE4B47" w:rsidRPr="003C7C54" w:rsidRDefault="00EE4B47" w:rsidP="00DE1AF8">
            <w:pPr>
              <w:ind w:left="34"/>
              <w:rPr>
                <w:rFonts w:cs="Arial"/>
                <w:szCs w:val="22"/>
              </w:rPr>
            </w:pPr>
            <w:r w:rsidRPr="003C7C54">
              <w:rPr>
                <w:rFonts w:cs="Arial"/>
                <w:szCs w:val="22"/>
              </w:rPr>
              <w:t>An evaluation of the S</w:t>
            </w:r>
            <w:r w:rsidR="00DE1AF8">
              <w:rPr>
                <w:rFonts w:cs="Arial"/>
                <w:szCs w:val="22"/>
              </w:rPr>
              <w:t>outhern</w:t>
            </w:r>
            <w:r w:rsidRPr="003C7C54">
              <w:rPr>
                <w:rFonts w:cs="Arial"/>
                <w:szCs w:val="22"/>
              </w:rPr>
              <w:t xml:space="preserve"> Pinetown projects conducted in 2009 found the voucher system to have been a great success. While this programme is no longer in operation, it certainly fits the upgrading philosophy of the UISP, albeit via a non-operational subsidy mechanism.</w:t>
            </w:r>
          </w:p>
        </w:tc>
      </w:tr>
    </w:tbl>
    <w:p w14:paraId="5BB55CBA" w14:textId="77777777" w:rsidR="00E732E9" w:rsidRDefault="00E732E9" w:rsidP="00CD50F6">
      <w:pPr>
        <w:spacing w:line="360" w:lineRule="auto"/>
        <w:rPr>
          <w:rFonts w:cs="Arial"/>
          <w:szCs w:val="22"/>
        </w:rPr>
      </w:pPr>
    </w:p>
    <w:p w14:paraId="201BC4D2" w14:textId="4E02DB1C" w:rsidR="00EE4B47" w:rsidRPr="006222A4" w:rsidRDefault="00EE4B47" w:rsidP="00CD50F6">
      <w:pPr>
        <w:spacing w:line="360" w:lineRule="auto"/>
        <w:rPr>
          <w:rFonts w:cs="Arial"/>
          <w:szCs w:val="22"/>
          <w:highlight w:val="yellow"/>
        </w:rPr>
      </w:pPr>
      <w:r w:rsidRPr="006222A4">
        <w:rPr>
          <w:rFonts w:cs="Arial"/>
          <w:szCs w:val="22"/>
          <w:highlight w:val="yellow"/>
        </w:rPr>
        <w:t>More recently (2009), the Individual Rural Housing Subsidy Voucher Programme (IRHVP) was included in the Housing Code on 21 August 2009. Although specifically designed for rural areas the IRHVP provides an indication of the form that a new urban based Subsidy Voucher programme could take.</w:t>
      </w:r>
    </w:p>
    <w:p w14:paraId="645A7AF6" w14:textId="3161E4DA" w:rsidR="00EE4B47" w:rsidRDefault="00EE4B47" w:rsidP="00CD50F6">
      <w:pPr>
        <w:spacing w:line="360" w:lineRule="auto"/>
        <w:rPr>
          <w:rFonts w:cs="Arial"/>
          <w:szCs w:val="22"/>
        </w:rPr>
      </w:pPr>
      <w:r w:rsidRPr="006222A4">
        <w:rPr>
          <w:rFonts w:cs="Arial"/>
          <w:szCs w:val="22"/>
          <w:highlight w:val="yellow"/>
        </w:rPr>
        <w:t xml:space="preserve">The IRHVP </w:t>
      </w:r>
      <w:r w:rsidR="00DE1AF8" w:rsidRPr="006222A4">
        <w:rPr>
          <w:rFonts w:cs="Arial"/>
          <w:szCs w:val="22"/>
          <w:highlight w:val="yellow"/>
        </w:rPr>
        <w:t>‘</w:t>
      </w:r>
      <w:r w:rsidRPr="006222A4">
        <w:rPr>
          <w:rFonts w:cs="Arial"/>
          <w:i/>
          <w:szCs w:val="22"/>
          <w:highlight w:val="yellow"/>
        </w:rPr>
        <w:t>is based on the principles of owner-builders who take the building of their own homes into their own hands</w:t>
      </w:r>
      <w:r w:rsidR="00DE1AF8" w:rsidRPr="006222A4">
        <w:rPr>
          <w:rFonts w:cs="Arial"/>
          <w:i/>
          <w:szCs w:val="22"/>
          <w:highlight w:val="yellow"/>
        </w:rPr>
        <w:t>’</w:t>
      </w:r>
      <w:r w:rsidRPr="006222A4">
        <w:rPr>
          <w:rFonts w:cs="Arial"/>
          <w:szCs w:val="22"/>
          <w:highlight w:val="yellow"/>
        </w:rPr>
        <w:t xml:space="preserve">. It provides </w:t>
      </w:r>
      <w:r w:rsidR="00DE1AF8" w:rsidRPr="006222A4">
        <w:rPr>
          <w:rFonts w:cs="Arial"/>
          <w:szCs w:val="22"/>
          <w:highlight w:val="yellow"/>
        </w:rPr>
        <w:t>individuals with ‘</w:t>
      </w:r>
      <w:r w:rsidRPr="006222A4">
        <w:rPr>
          <w:rFonts w:cs="Arial"/>
          <w:szCs w:val="22"/>
          <w:highlight w:val="yellow"/>
        </w:rPr>
        <w:t>the option to claim their housing subsidies on an individual basis in the form of an Individual Rural Housing Voucher (“Individual Rural Subsidies”) that can be used to acquire pre-approved quality building materials, utility systems and related equipment</w:t>
      </w:r>
      <w:r w:rsidR="00DE1AF8" w:rsidRPr="006222A4">
        <w:rPr>
          <w:rFonts w:cs="Arial"/>
          <w:szCs w:val="22"/>
          <w:highlight w:val="yellow"/>
        </w:rPr>
        <w:t>’</w:t>
      </w:r>
      <w:r w:rsidRPr="006222A4">
        <w:rPr>
          <w:rFonts w:cs="Arial"/>
          <w:szCs w:val="22"/>
          <w:highlight w:val="yellow"/>
        </w:rPr>
        <w:t xml:space="preserve"> The IRHSVP Code records that:  </w:t>
      </w:r>
      <w:r w:rsidR="00DE1AF8" w:rsidRPr="006222A4">
        <w:rPr>
          <w:rFonts w:cs="Arial"/>
          <w:i/>
          <w:szCs w:val="22"/>
          <w:highlight w:val="yellow"/>
        </w:rPr>
        <w:t>‘</w:t>
      </w:r>
      <w:r w:rsidRPr="006222A4">
        <w:rPr>
          <w:rFonts w:cs="Arial"/>
          <w:i/>
          <w:szCs w:val="22"/>
          <w:highlight w:val="yellow"/>
        </w:rPr>
        <w:t>The main benefit of the Programme is the empowerment of rural households through their participation in the construction of their own houses. Owner builders could also employ local skilled artisans to assist them in the fit-out of specialised services such as plumbing, electricity, roof trusses, etc. The creation of community construction and manufacturing co-operatives could also be promoted through this Programme.</w:t>
      </w:r>
      <w:r w:rsidR="00DE1AF8" w:rsidRPr="006222A4">
        <w:rPr>
          <w:rFonts w:cs="Arial"/>
          <w:szCs w:val="22"/>
          <w:highlight w:val="yellow"/>
        </w:rPr>
        <w:t>’</w:t>
      </w:r>
      <w:r>
        <w:rPr>
          <w:rFonts w:cs="Arial"/>
          <w:szCs w:val="22"/>
        </w:rPr>
        <w:t xml:space="preserve"> </w:t>
      </w:r>
    </w:p>
    <w:p w14:paraId="13955E35" w14:textId="77777777" w:rsidR="00B0299D" w:rsidRPr="009969FD" w:rsidRDefault="00B0299D" w:rsidP="00CD50F6">
      <w:pPr>
        <w:spacing w:line="360" w:lineRule="auto"/>
        <w:rPr>
          <w:rFonts w:cs="Arial"/>
          <w:szCs w:val="22"/>
        </w:rPr>
      </w:pPr>
    </w:p>
    <w:p w14:paraId="7E919812" w14:textId="77777777" w:rsidR="00EE4B47" w:rsidRPr="00494CB8" w:rsidRDefault="00EE4B47" w:rsidP="00E732E9">
      <w:pPr>
        <w:pStyle w:val="Heading3"/>
      </w:pPr>
      <w:bookmarkStart w:id="256" w:name="_Toc262067866"/>
      <w:bookmarkStart w:id="257" w:name="_Toc262068192"/>
      <w:r w:rsidRPr="00494CB8">
        <w:lastRenderedPageBreak/>
        <w:t>Basic Features of the Instrument</w:t>
      </w:r>
      <w:bookmarkEnd w:id="256"/>
      <w:bookmarkEnd w:id="257"/>
      <w:r w:rsidRPr="00494CB8">
        <w:t xml:space="preserve">  </w:t>
      </w:r>
    </w:p>
    <w:p w14:paraId="3283F409" w14:textId="77777777" w:rsidR="00EE4B47" w:rsidRDefault="00EE4B47" w:rsidP="00A00A0A">
      <w:pPr>
        <w:spacing w:line="360" w:lineRule="auto"/>
        <w:rPr>
          <w:rFonts w:cs="Arial"/>
          <w:szCs w:val="22"/>
        </w:rPr>
      </w:pPr>
      <w:r w:rsidRPr="002F509F">
        <w:rPr>
          <w:rFonts w:cs="Arial"/>
          <w:b/>
          <w:szCs w:val="22"/>
        </w:rPr>
        <w:t>Implementation Arrangements</w:t>
      </w:r>
      <w:r>
        <w:rPr>
          <w:rFonts w:cs="Arial"/>
          <w:szCs w:val="22"/>
        </w:rPr>
        <w:t xml:space="preserve">: </w:t>
      </w:r>
    </w:p>
    <w:p w14:paraId="0B35BCBD" w14:textId="794322D8" w:rsidR="00EE4B47" w:rsidRDefault="00EE4B47" w:rsidP="00CD50F6">
      <w:pPr>
        <w:spacing w:line="360" w:lineRule="auto"/>
        <w:rPr>
          <w:rFonts w:cs="Arial"/>
          <w:szCs w:val="22"/>
        </w:rPr>
      </w:pPr>
      <w:r w:rsidRPr="009969FD">
        <w:rPr>
          <w:rFonts w:cs="Arial"/>
          <w:szCs w:val="22"/>
        </w:rPr>
        <w:t xml:space="preserve">The IRHVP subsidies are allocated by the relevant </w:t>
      </w:r>
      <w:r w:rsidR="00CD50F6">
        <w:rPr>
          <w:rFonts w:cs="Arial"/>
          <w:szCs w:val="22"/>
        </w:rPr>
        <w:t>provincial departments</w:t>
      </w:r>
      <w:r>
        <w:rPr>
          <w:rFonts w:cs="Arial"/>
          <w:szCs w:val="22"/>
        </w:rPr>
        <w:t>.</w:t>
      </w:r>
      <w:r w:rsidR="002C464F">
        <w:rPr>
          <w:rFonts w:cs="Arial"/>
          <w:szCs w:val="22"/>
        </w:rPr>
        <w:t xml:space="preserve"> </w:t>
      </w:r>
      <w:r>
        <w:rPr>
          <w:rFonts w:cs="Arial"/>
          <w:szCs w:val="22"/>
        </w:rPr>
        <w:t>The subsidies are thereafter paid to</w:t>
      </w:r>
      <w:r w:rsidR="00CD50F6">
        <w:rPr>
          <w:rFonts w:cs="Arial"/>
          <w:szCs w:val="22"/>
        </w:rPr>
        <w:t xml:space="preserve"> an</w:t>
      </w:r>
      <w:r>
        <w:rPr>
          <w:rFonts w:cs="Arial"/>
          <w:szCs w:val="22"/>
        </w:rPr>
        <w:t xml:space="preserve"> accredited government subsidy administrator appointed to implement the programme. Hence the Subsidy Administrator is appointed to implement the scheme on behalf of the P</w:t>
      </w:r>
      <w:r w:rsidR="005A1343">
        <w:rPr>
          <w:rFonts w:cs="Arial"/>
          <w:szCs w:val="22"/>
        </w:rPr>
        <w:t>rovincial Department</w:t>
      </w:r>
      <w:r>
        <w:rPr>
          <w:rFonts w:cs="Arial"/>
          <w:szCs w:val="22"/>
        </w:rPr>
        <w:t>.</w:t>
      </w:r>
    </w:p>
    <w:p w14:paraId="4BFC8458" w14:textId="72583590" w:rsidR="00EE4B47" w:rsidRDefault="00EE4B47" w:rsidP="00CD50F6">
      <w:pPr>
        <w:spacing w:line="360" w:lineRule="auto"/>
        <w:rPr>
          <w:rFonts w:cs="Arial"/>
          <w:szCs w:val="22"/>
        </w:rPr>
      </w:pPr>
      <w:r>
        <w:rPr>
          <w:rFonts w:cs="Arial"/>
          <w:szCs w:val="22"/>
        </w:rPr>
        <w:t xml:space="preserve">The Subsidy Administrator appoints a </w:t>
      </w:r>
      <w:r w:rsidRPr="00900230">
        <w:rPr>
          <w:rFonts w:cs="Arial"/>
          <w:szCs w:val="22"/>
        </w:rPr>
        <w:t>Subsidy Voucher Intermediary</w:t>
      </w:r>
      <w:r>
        <w:rPr>
          <w:rFonts w:cs="Arial"/>
          <w:szCs w:val="22"/>
        </w:rPr>
        <w:t xml:space="preserve"> (SVI)</w:t>
      </w:r>
      <w:r w:rsidRPr="00900230">
        <w:rPr>
          <w:rFonts w:cs="Arial"/>
          <w:szCs w:val="22"/>
        </w:rPr>
        <w:t xml:space="preserve"> who </w:t>
      </w:r>
      <w:r>
        <w:rPr>
          <w:rFonts w:cs="Arial"/>
          <w:szCs w:val="22"/>
        </w:rPr>
        <w:t xml:space="preserve">is </w:t>
      </w:r>
      <w:r w:rsidRPr="00900230">
        <w:rPr>
          <w:rFonts w:cs="Arial"/>
          <w:szCs w:val="22"/>
        </w:rPr>
        <w:t>responsible for financial administration of the subsidies. As a Financial Agent, it will be entitled to receive, in respect of each beneficiary</w:t>
      </w:r>
      <w:r>
        <w:rPr>
          <w:rFonts w:cs="Arial"/>
          <w:szCs w:val="22"/>
        </w:rPr>
        <w:t>,</w:t>
      </w:r>
      <w:r w:rsidRPr="00900230">
        <w:rPr>
          <w:rFonts w:cs="Arial"/>
          <w:szCs w:val="22"/>
        </w:rPr>
        <w:t xml:space="preserve"> a fee equivalent to 2.5% of the subsidy amount. The Provincial Housing Departments will pay the </w:t>
      </w:r>
      <w:r>
        <w:rPr>
          <w:rFonts w:cs="Arial"/>
          <w:szCs w:val="22"/>
        </w:rPr>
        <w:t>Subsidy Administrator f</w:t>
      </w:r>
      <w:r w:rsidRPr="00900230">
        <w:rPr>
          <w:rFonts w:cs="Arial"/>
          <w:szCs w:val="22"/>
        </w:rPr>
        <w:t>rom its annual housing allocation</w:t>
      </w:r>
      <w:r>
        <w:rPr>
          <w:rFonts w:cs="Arial"/>
          <w:szCs w:val="22"/>
        </w:rPr>
        <w:t xml:space="preserve">. </w:t>
      </w:r>
      <w:r w:rsidRPr="00900230">
        <w:rPr>
          <w:rFonts w:cs="Arial"/>
          <w:szCs w:val="22"/>
        </w:rPr>
        <w:t xml:space="preserve">It will </w:t>
      </w:r>
      <w:r>
        <w:rPr>
          <w:rFonts w:cs="Arial"/>
          <w:szCs w:val="22"/>
        </w:rPr>
        <w:t xml:space="preserve">therefore </w:t>
      </w:r>
      <w:r w:rsidRPr="00900230">
        <w:rPr>
          <w:rFonts w:cs="Arial"/>
          <w:szCs w:val="22"/>
        </w:rPr>
        <w:t>not be deducted from the Individual Rural Subsidy amount.</w:t>
      </w:r>
    </w:p>
    <w:p w14:paraId="316E07C6" w14:textId="77777777" w:rsidR="00EE4B47" w:rsidRDefault="00EE4B47" w:rsidP="00250EA9">
      <w:pPr>
        <w:spacing w:line="360" w:lineRule="auto"/>
        <w:rPr>
          <w:rFonts w:cs="Arial"/>
          <w:szCs w:val="22"/>
        </w:rPr>
      </w:pPr>
      <w:r w:rsidRPr="002F509F">
        <w:rPr>
          <w:rFonts w:cs="Arial"/>
          <w:b/>
          <w:szCs w:val="22"/>
        </w:rPr>
        <w:t>Measures and Controls</w:t>
      </w:r>
      <w:r>
        <w:rPr>
          <w:rFonts w:cs="Arial"/>
          <w:szCs w:val="22"/>
        </w:rPr>
        <w:t xml:space="preserve">: </w:t>
      </w:r>
    </w:p>
    <w:p w14:paraId="0C98AADD" w14:textId="3D0BB7D8" w:rsidR="00EE4B47" w:rsidRPr="002F509F" w:rsidRDefault="00EE4B47" w:rsidP="00250EA9">
      <w:pPr>
        <w:spacing w:line="360" w:lineRule="auto"/>
        <w:rPr>
          <w:rFonts w:cs="Arial"/>
          <w:szCs w:val="22"/>
        </w:rPr>
      </w:pPr>
      <w:r w:rsidRPr="00900230">
        <w:rPr>
          <w:rFonts w:cs="Arial"/>
          <w:szCs w:val="22"/>
        </w:rPr>
        <w:t>Owner-builders who are participating under this Programme are not obliged to register with the NHBRC and their homes need not be enrolled. In terms of the Housing Consumers Protection Measures Act, 1998 (Act No. 95 of 1998)</w:t>
      </w:r>
      <w:r>
        <w:rPr>
          <w:rStyle w:val="FootnoteReference"/>
          <w:rFonts w:eastAsia="Calibri"/>
          <w:szCs w:val="22"/>
        </w:rPr>
        <w:footnoteReference w:id="14"/>
      </w:r>
      <w:r w:rsidRPr="00900230">
        <w:rPr>
          <w:rFonts w:cs="Arial"/>
          <w:szCs w:val="22"/>
        </w:rPr>
        <w:t>, a</w:t>
      </w:r>
      <w:r>
        <w:rPr>
          <w:rFonts w:cs="Arial"/>
          <w:szCs w:val="22"/>
        </w:rPr>
        <w:t>n</w:t>
      </w:r>
      <w:r w:rsidRPr="00900230">
        <w:rPr>
          <w:rFonts w:cs="Arial"/>
          <w:szCs w:val="22"/>
        </w:rPr>
        <w:t xml:space="preserve"> owner-builder is:</w:t>
      </w:r>
      <w:r w:rsidR="00DE20FA">
        <w:rPr>
          <w:rFonts w:cs="Arial"/>
          <w:szCs w:val="22"/>
        </w:rPr>
        <w:t xml:space="preserve"> </w:t>
      </w:r>
      <w:r>
        <w:rPr>
          <w:rFonts w:cs="Arial"/>
          <w:i/>
          <w:szCs w:val="22"/>
        </w:rPr>
        <w:t>“</w:t>
      </w:r>
      <w:r w:rsidRPr="0012796D">
        <w:rPr>
          <w:rFonts w:cs="Arial"/>
          <w:i/>
          <w:szCs w:val="22"/>
        </w:rPr>
        <w:t>(a) a person who builds a home for occupation by himself or herself; or</w:t>
      </w:r>
      <w:r>
        <w:rPr>
          <w:rFonts w:cs="Arial"/>
          <w:i/>
          <w:szCs w:val="22"/>
        </w:rPr>
        <w:t xml:space="preserve"> </w:t>
      </w:r>
      <w:r w:rsidRPr="0012796D">
        <w:rPr>
          <w:rFonts w:cs="Arial"/>
          <w:i/>
          <w:szCs w:val="22"/>
        </w:rPr>
        <w:t>(b) a person who is not a registered home builder and who assists a person contemplated in paragraph (a) in the building of his or her home</w:t>
      </w:r>
      <w:r>
        <w:rPr>
          <w:rFonts w:cs="Arial"/>
          <w:i/>
          <w:szCs w:val="22"/>
        </w:rPr>
        <w:t>”.</w:t>
      </w:r>
    </w:p>
    <w:p w14:paraId="57DF939C" w14:textId="77777777" w:rsidR="00EE4B47" w:rsidRDefault="00EE4B47" w:rsidP="00250EA9">
      <w:pPr>
        <w:spacing w:line="360" w:lineRule="auto"/>
        <w:rPr>
          <w:rFonts w:cs="Arial"/>
          <w:szCs w:val="22"/>
        </w:rPr>
      </w:pPr>
      <w:r w:rsidRPr="002F509F">
        <w:rPr>
          <w:rFonts w:cs="Arial"/>
          <w:b/>
          <w:szCs w:val="22"/>
        </w:rPr>
        <w:t>Qualification for Subsidy</w:t>
      </w:r>
      <w:r>
        <w:rPr>
          <w:rFonts w:cs="Arial"/>
          <w:szCs w:val="22"/>
        </w:rPr>
        <w:t xml:space="preserve">: </w:t>
      </w:r>
    </w:p>
    <w:p w14:paraId="372EB1C5" w14:textId="0598ADEB" w:rsidR="00EE4B47" w:rsidRDefault="00EE4B47" w:rsidP="00DE20FA">
      <w:pPr>
        <w:spacing w:line="360" w:lineRule="auto"/>
        <w:rPr>
          <w:rFonts w:cs="Arial"/>
          <w:szCs w:val="22"/>
        </w:rPr>
      </w:pPr>
      <w:r w:rsidRPr="0012796D">
        <w:rPr>
          <w:rFonts w:cs="Arial"/>
          <w:szCs w:val="22"/>
        </w:rPr>
        <w:t xml:space="preserve">Qualifying criteria are set out in </w:t>
      </w:r>
      <w:r w:rsidR="00DE20FA">
        <w:rPr>
          <w:rFonts w:cs="Arial"/>
          <w:szCs w:val="22"/>
        </w:rPr>
        <w:t>t</w:t>
      </w:r>
      <w:r w:rsidR="00DE20FA" w:rsidRPr="0012796D">
        <w:rPr>
          <w:rFonts w:cs="Arial"/>
          <w:szCs w:val="22"/>
        </w:rPr>
        <w:t xml:space="preserve">he </w:t>
      </w:r>
      <w:r w:rsidR="00DE20FA">
        <w:rPr>
          <w:rFonts w:cs="Arial"/>
          <w:szCs w:val="22"/>
        </w:rPr>
        <w:t xml:space="preserve">Housing </w:t>
      </w:r>
      <w:r w:rsidRPr="0012796D">
        <w:rPr>
          <w:rFonts w:cs="Arial"/>
          <w:szCs w:val="22"/>
        </w:rPr>
        <w:t xml:space="preserve">Code, Section 3.5: </w:t>
      </w:r>
      <w:r>
        <w:rPr>
          <w:rFonts w:cs="Arial"/>
          <w:szCs w:val="22"/>
        </w:rPr>
        <w:t>and are the same as the other top structure programmes</w:t>
      </w:r>
      <w:r w:rsidRPr="0012796D">
        <w:rPr>
          <w:rFonts w:cs="Arial"/>
          <w:szCs w:val="22"/>
        </w:rPr>
        <w:t>.</w:t>
      </w:r>
      <w:r>
        <w:rPr>
          <w:rFonts w:cs="Arial"/>
          <w:szCs w:val="22"/>
        </w:rPr>
        <w:t xml:space="preserve"> </w:t>
      </w:r>
      <w:r w:rsidRPr="00900230">
        <w:rPr>
          <w:rFonts w:cs="Arial"/>
          <w:szCs w:val="22"/>
        </w:rPr>
        <w:t xml:space="preserve">The housing subsidy will be allocated to each individual qualifying beneficiary, the particulars of whom will be recorded in the National Housing Subsidy Database (NHSDB). </w:t>
      </w:r>
      <w:r w:rsidRPr="00A83261">
        <w:rPr>
          <w:rFonts w:cs="Arial"/>
          <w:szCs w:val="22"/>
          <w:highlight w:val="yellow"/>
        </w:rPr>
        <w:t xml:space="preserve">The recipient of an Individual Rural Housing Subsidy Voucher Programme must be an </w:t>
      </w:r>
      <w:r w:rsidRPr="00A83261">
        <w:rPr>
          <w:rFonts w:cs="Arial"/>
          <w:i/>
          <w:szCs w:val="22"/>
          <w:highlight w:val="yellow"/>
        </w:rPr>
        <w:t>“owner-builder.”</w:t>
      </w:r>
      <w:r w:rsidRPr="00900230">
        <w:rPr>
          <w:rFonts w:cs="Arial"/>
          <w:szCs w:val="22"/>
        </w:rPr>
        <w:t xml:space="preserve">  </w:t>
      </w:r>
    </w:p>
    <w:p w14:paraId="1566B433" w14:textId="77777777" w:rsidR="00EE4B47" w:rsidRDefault="00EE4B47" w:rsidP="00250EA9">
      <w:pPr>
        <w:spacing w:line="360" w:lineRule="auto"/>
        <w:rPr>
          <w:rFonts w:cs="Arial"/>
          <w:szCs w:val="22"/>
        </w:rPr>
      </w:pPr>
      <w:r w:rsidRPr="002F509F">
        <w:rPr>
          <w:rFonts w:cs="Arial"/>
          <w:b/>
          <w:szCs w:val="22"/>
        </w:rPr>
        <w:t>Financial Mechanisms</w:t>
      </w:r>
      <w:r>
        <w:rPr>
          <w:rFonts w:cs="Arial"/>
          <w:szCs w:val="22"/>
        </w:rPr>
        <w:t xml:space="preserve">: </w:t>
      </w:r>
    </w:p>
    <w:p w14:paraId="201BD601" w14:textId="77777777" w:rsidR="00EE4B47" w:rsidRDefault="00EE4B47" w:rsidP="00250EA9">
      <w:pPr>
        <w:spacing w:line="360" w:lineRule="auto"/>
        <w:rPr>
          <w:rFonts w:cs="Arial"/>
          <w:szCs w:val="22"/>
        </w:rPr>
      </w:pPr>
      <w:r w:rsidRPr="002F509F">
        <w:rPr>
          <w:rFonts w:cs="Arial"/>
          <w:szCs w:val="22"/>
        </w:rPr>
        <w:t xml:space="preserve">The financial mechanism for the programme is as follows: </w:t>
      </w:r>
    </w:p>
    <w:p w14:paraId="66EDB728" w14:textId="4D54B8AF" w:rsidR="00EE4B47" w:rsidRPr="00334D3E" w:rsidRDefault="00DE20FA" w:rsidP="0055634E">
      <w:pPr>
        <w:pStyle w:val="ListParagraph"/>
        <w:numPr>
          <w:ilvl w:val="0"/>
          <w:numId w:val="14"/>
        </w:numPr>
        <w:autoSpaceDE w:val="0"/>
        <w:autoSpaceDN w:val="0"/>
        <w:adjustRightInd w:val="0"/>
        <w:rPr>
          <w:rFonts w:eastAsia="Arial Unicode MS" w:cs="Arial"/>
          <w:i/>
        </w:rPr>
      </w:pPr>
      <w:r>
        <w:rPr>
          <w:rFonts w:eastAsia="Arial Unicode MS" w:cs="Arial"/>
          <w:i/>
        </w:rPr>
        <w:t>‘</w:t>
      </w:r>
      <w:r w:rsidR="00EE4B47" w:rsidRPr="00334D3E">
        <w:rPr>
          <w:rFonts w:eastAsia="Arial Unicode MS" w:cs="Arial"/>
          <w:i/>
        </w:rPr>
        <w:t xml:space="preserve">An Individual Rural Subsidy will be issued, representing a written authorisation or certificate, exchangeable for building materials, systems and labour cost (in the form of a Debit Card) </w:t>
      </w:r>
    </w:p>
    <w:p w14:paraId="48986EB8" w14:textId="77777777" w:rsidR="00EE4B47" w:rsidRPr="00334D3E" w:rsidRDefault="00EE4B47" w:rsidP="0055634E">
      <w:pPr>
        <w:pStyle w:val="ListParagraph"/>
        <w:numPr>
          <w:ilvl w:val="0"/>
          <w:numId w:val="14"/>
        </w:numPr>
        <w:autoSpaceDE w:val="0"/>
        <w:autoSpaceDN w:val="0"/>
        <w:adjustRightInd w:val="0"/>
        <w:rPr>
          <w:rFonts w:eastAsia="Arial Unicode MS" w:cs="Arial"/>
          <w:i/>
        </w:rPr>
      </w:pPr>
      <w:r w:rsidRPr="00334D3E">
        <w:rPr>
          <w:rFonts w:eastAsia="Arial Unicode MS" w:cs="Arial"/>
          <w:i/>
        </w:rPr>
        <w:lastRenderedPageBreak/>
        <w:t xml:space="preserve">The voucher is an irrevocable guarantee to the effect that the approved subsidy money will be paid as indicated. Individual Rural Subsidies cannot be transferred, ceded, exchanged, sold, pawned, or disposed of in any manner. Only the individual who has been awarded the subsidy may claim ownership of the Individual Rural Subsidies. </w:t>
      </w:r>
    </w:p>
    <w:p w14:paraId="1ADC65FB" w14:textId="77777777" w:rsidR="00EE4B47" w:rsidRPr="00334D3E" w:rsidRDefault="00EE4B47" w:rsidP="0055634E">
      <w:pPr>
        <w:pStyle w:val="ListParagraph"/>
        <w:numPr>
          <w:ilvl w:val="0"/>
          <w:numId w:val="14"/>
        </w:numPr>
        <w:autoSpaceDE w:val="0"/>
        <w:autoSpaceDN w:val="0"/>
        <w:adjustRightInd w:val="0"/>
        <w:rPr>
          <w:rFonts w:eastAsia="Arial Unicode MS" w:cs="Arial"/>
          <w:i/>
        </w:rPr>
      </w:pPr>
      <w:r w:rsidRPr="00334D3E">
        <w:rPr>
          <w:rFonts w:eastAsia="Arial Unicode MS" w:cs="Arial"/>
          <w:i/>
        </w:rPr>
        <w:t xml:space="preserve">This voucher will be issued by the Subsidy Administrator on behalf of Government to a qualifying beneficiary </w:t>
      </w:r>
    </w:p>
    <w:p w14:paraId="14411F8F" w14:textId="18B7EFC2" w:rsidR="00EE4B47" w:rsidRPr="00334D3E" w:rsidRDefault="00EE4B47" w:rsidP="0055634E">
      <w:pPr>
        <w:pStyle w:val="ListParagraph"/>
        <w:numPr>
          <w:ilvl w:val="0"/>
          <w:numId w:val="14"/>
        </w:numPr>
        <w:autoSpaceDE w:val="0"/>
        <w:autoSpaceDN w:val="0"/>
        <w:adjustRightInd w:val="0"/>
        <w:rPr>
          <w:rFonts w:eastAsia="Arial Unicode MS" w:cs="Arial"/>
          <w:i/>
        </w:rPr>
      </w:pPr>
      <w:r w:rsidRPr="00334D3E">
        <w:rPr>
          <w:rFonts w:eastAsia="Arial Unicode MS" w:cs="Arial"/>
          <w:i/>
        </w:rPr>
        <w:t xml:space="preserve">The providers of </w:t>
      </w:r>
      <w:r w:rsidR="004E304F" w:rsidRPr="00334D3E">
        <w:rPr>
          <w:rFonts w:eastAsia="Arial Unicode MS" w:cs="Arial"/>
          <w:i/>
        </w:rPr>
        <w:t>specialized</w:t>
      </w:r>
      <w:r w:rsidRPr="00334D3E">
        <w:rPr>
          <w:rFonts w:eastAsia="Arial Unicode MS" w:cs="Arial"/>
          <w:i/>
        </w:rPr>
        <w:t xml:space="preserve"> services such as plumbers, electricians and carpenters should be paid directly by the Subsidy Voucher Administrator/ Financial Administrator upon invoice and certification of value for money achieved</w:t>
      </w:r>
    </w:p>
    <w:p w14:paraId="21646E78" w14:textId="41F2B60F" w:rsidR="00EE4B47" w:rsidRPr="00334D3E" w:rsidRDefault="00EE4B47" w:rsidP="0055634E">
      <w:pPr>
        <w:pStyle w:val="ListParagraph"/>
        <w:numPr>
          <w:ilvl w:val="0"/>
          <w:numId w:val="14"/>
        </w:numPr>
        <w:autoSpaceDE w:val="0"/>
        <w:autoSpaceDN w:val="0"/>
        <w:adjustRightInd w:val="0"/>
        <w:rPr>
          <w:rFonts w:eastAsia="Arial Unicode MS" w:cs="Arial"/>
        </w:rPr>
      </w:pPr>
      <w:r w:rsidRPr="00334D3E">
        <w:rPr>
          <w:rFonts w:eastAsia="Arial Unicode MS" w:cs="Arial"/>
          <w:i/>
        </w:rPr>
        <w:t xml:space="preserve">The </w:t>
      </w:r>
      <w:r w:rsidR="004E304F" w:rsidRPr="00334D3E">
        <w:rPr>
          <w:rFonts w:eastAsia="Arial Unicode MS" w:cs="Arial"/>
          <w:i/>
        </w:rPr>
        <w:t>labor</w:t>
      </w:r>
      <w:r w:rsidRPr="00334D3E">
        <w:rPr>
          <w:rFonts w:eastAsia="Arial Unicode MS" w:cs="Arial"/>
          <w:i/>
        </w:rPr>
        <w:t xml:space="preserve"> purchased by the beneficiaries, transport costs and any residual budget amounts may be paid out in cash to the recipient of the Individual Rural Subsidies in a controlled manner (as per the building plan and the progress payment schedule indicated above). The use of appropriate and secure technologies such as branded Debit Cards (VISA or MasterCard) must be promoted. These technologies must be pin-enabled to ensure security</w:t>
      </w:r>
      <w:r w:rsidR="00DE20FA">
        <w:rPr>
          <w:rFonts w:eastAsia="Arial Unicode MS" w:cs="Arial"/>
          <w:i/>
        </w:rPr>
        <w:t>’</w:t>
      </w:r>
      <w:r w:rsidRPr="00334D3E">
        <w:rPr>
          <w:rFonts w:eastAsia="Arial Unicode MS" w:cs="Arial"/>
          <w:i/>
        </w:rPr>
        <w:t xml:space="preserve"> </w:t>
      </w:r>
      <w:r w:rsidRPr="009A6835">
        <w:rPr>
          <w:rFonts w:eastAsia="Arial Unicode MS" w:cs="Arial"/>
        </w:rPr>
        <w:t>(Code, S3.9 p x).</w:t>
      </w:r>
    </w:p>
    <w:p w14:paraId="24EEA9F1" w14:textId="77777777" w:rsidR="00EE4B47" w:rsidRDefault="00EE4B47" w:rsidP="00A00A0A">
      <w:pPr>
        <w:pStyle w:val="Heading3"/>
      </w:pPr>
      <w:bookmarkStart w:id="258" w:name="_Toc262067867"/>
      <w:bookmarkStart w:id="259" w:name="_Toc262068193"/>
      <w:r>
        <w:t>Generic work process</w:t>
      </w:r>
      <w:bookmarkEnd w:id="258"/>
      <w:bookmarkEnd w:id="259"/>
      <w:r>
        <w:t xml:space="preserve"> </w:t>
      </w:r>
    </w:p>
    <w:p w14:paraId="72FA4CCD" w14:textId="77777777" w:rsidR="00EE4B47" w:rsidRDefault="00EE4B47" w:rsidP="00EE4B47"/>
    <w:p w14:paraId="076154E7" w14:textId="67F19BD5" w:rsidR="00EE4B47" w:rsidRPr="0013046C" w:rsidRDefault="00D81C50" w:rsidP="00EE4B47">
      <w:r>
        <w:pict w14:anchorId="562FEA00">
          <v:shape id="_x0000_i1027" type="#_x0000_t75" style="width:518pt;height:263.35pt">
            <v:imagedata r:id="rId33" o:title=""/>
          </v:shape>
        </w:pict>
      </w:r>
    </w:p>
    <w:p w14:paraId="3C02E222" w14:textId="167CEE33" w:rsidR="00EE4B47" w:rsidRDefault="009A6835" w:rsidP="00EE4B47">
      <w:pPr>
        <w:spacing w:line="360" w:lineRule="auto"/>
        <w:rPr>
          <w:b/>
          <w:bCs/>
          <w:szCs w:val="22"/>
        </w:rPr>
      </w:pPr>
      <w:bookmarkStart w:id="260" w:name="_Toc270945523"/>
      <w:r w:rsidRPr="008C45F2">
        <w:rPr>
          <w:b/>
        </w:rPr>
        <w:t xml:space="preserve">Figure </w:t>
      </w:r>
      <w:r w:rsidRPr="00220C7D">
        <w:rPr>
          <w:b/>
        </w:rPr>
        <w:fldChar w:fldCharType="begin"/>
      </w:r>
      <w:r w:rsidRPr="00220C7D">
        <w:rPr>
          <w:b/>
        </w:rPr>
        <w:instrText xml:space="preserve"> SEQ Figure \* ARABIC </w:instrText>
      </w:r>
      <w:r w:rsidRPr="00220C7D">
        <w:rPr>
          <w:b/>
        </w:rPr>
        <w:fldChar w:fldCharType="separate"/>
      </w:r>
      <w:r w:rsidR="00E9048A">
        <w:rPr>
          <w:b/>
          <w:noProof/>
        </w:rPr>
        <w:t>20</w:t>
      </w:r>
      <w:r w:rsidRPr="00220C7D">
        <w:rPr>
          <w:b/>
        </w:rPr>
        <w:fldChar w:fldCharType="end"/>
      </w:r>
      <w:r w:rsidR="00EE4B47" w:rsidRPr="00230FE7">
        <w:rPr>
          <w:b/>
          <w:szCs w:val="22"/>
        </w:rPr>
        <w:t xml:space="preserve">: </w:t>
      </w:r>
      <w:r w:rsidR="00EE4B47" w:rsidRPr="00230FE7">
        <w:rPr>
          <w:b/>
          <w:bCs/>
          <w:szCs w:val="22"/>
        </w:rPr>
        <w:t>Work Process for Voucher Programme</w:t>
      </w:r>
      <w:bookmarkEnd w:id="260"/>
    </w:p>
    <w:p w14:paraId="173F2C20" w14:textId="77777777" w:rsidR="004E304F" w:rsidRPr="00230FE7" w:rsidRDefault="004E304F" w:rsidP="00EE4B47">
      <w:pPr>
        <w:spacing w:line="360" w:lineRule="auto"/>
        <w:rPr>
          <w:b/>
          <w:bCs/>
          <w:szCs w:val="22"/>
        </w:rPr>
      </w:pPr>
    </w:p>
    <w:p w14:paraId="55A9FF60" w14:textId="77777777" w:rsidR="00EE4B47" w:rsidRPr="00A83261" w:rsidRDefault="00EE4B47" w:rsidP="00A00A0A">
      <w:pPr>
        <w:pStyle w:val="Heading3"/>
        <w:rPr>
          <w:highlight w:val="yellow"/>
        </w:rPr>
      </w:pPr>
      <w:bookmarkStart w:id="261" w:name="_Toc262067868"/>
      <w:bookmarkStart w:id="262" w:name="_Toc262068194"/>
      <w:r w:rsidRPr="00A83261">
        <w:rPr>
          <w:highlight w:val="yellow"/>
        </w:rPr>
        <w:t>Suitability Assessment</w:t>
      </w:r>
      <w:bookmarkEnd w:id="261"/>
      <w:bookmarkEnd w:id="262"/>
    </w:p>
    <w:p w14:paraId="75B6FB96" w14:textId="77777777" w:rsidR="00EE4B47" w:rsidRPr="00A83261" w:rsidRDefault="00EE4B47" w:rsidP="0055634E">
      <w:pPr>
        <w:pStyle w:val="ListParagraph"/>
        <w:numPr>
          <w:ilvl w:val="0"/>
          <w:numId w:val="32"/>
        </w:numPr>
        <w:ind w:left="720"/>
        <w:rPr>
          <w:rFonts w:cs="Arial"/>
          <w:highlight w:val="yellow"/>
        </w:rPr>
      </w:pPr>
      <w:r w:rsidRPr="00A83261">
        <w:rPr>
          <w:rFonts w:cs="Arial"/>
          <w:b/>
          <w:highlight w:val="yellow"/>
        </w:rPr>
        <w:t xml:space="preserve">Programme Fit: </w:t>
      </w:r>
    </w:p>
    <w:p w14:paraId="07DE910C" w14:textId="4C2E71D5" w:rsidR="00EE4B47" w:rsidRPr="00A83261" w:rsidRDefault="00EE4B47" w:rsidP="0055634E">
      <w:pPr>
        <w:pStyle w:val="ListParagraph"/>
        <w:numPr>
          <w:ilvl w:val="0"/>
          <w:numId w:val="22"/>
        </w:numPr>
        <w:ind w:left="1080"/>
        <w:rPr>
          <w:rFonts w:cs="Arial"/>
          <w:highlight w:val="yellow"/>
        </w:rPr>
      </w:pPr>
      <w:r w:rsidRPr="00A83261">
        <w:rPr>
          <w:rFonts w:cs="Arial"/>
          <w:highlight w:val="yellow"/>
        </w:rPr>
        <w:t xml:space="preserve">The applicability of a voucher programme to an in situ housing project will be very context dependent. In low density contexts, (i) where the construction solutions are simple and broadly understood in the market and, (ii) </w:t>
      </w:r>
      <w:r w:rsidR="004E304F" w:rsidRPr="00A83261">
        <w:rPr>
          <w:rFonts w:cs="Arial"/>
          <w:highlight w:val="yellow"/>
        </w:rPr>
        <w:t>w</w:t>
      </w:r>
      <w:r w:rsidRPr="00A83261">
        <w:rPr>
          <w:rFonts w:cs="Arial"/>
          <w:highlight w:val="yellow"/>
        </w:rPr>
        <w:t>here a strong local construction sector exists , (such as was the case in the Southern Pinetown case study cited above) the owner builder voucher model can be very appropriate and cost effective.</w:t>
      </w:r>
    </w:p>
    <w:p w14:paraId="006F2DE3" w14:textId="47A1AFD7" w:rsidR="00EE4B47" w:rsidRPr="00A83261" w:rsidRDefault="00EE4B47" w:rsidP="0055634E">
      <w:pPr>
        <w:pStyle w:val="ListParagraph"/>
        <w:numPr>
          <w:ilvl w:val="0"/>
          <w:numId w:val="22"/>
        </w:numPr>
        <w:ind w:left="1080"/>
        <w:rPr>
          <w:rFonts w:cs="Arial"/>
          <w:highlight w:val="yellow"/>
        </w:rPr>
      </w:pPr>
      <w:r w:rsidRPr="00A83261">
        <w:rPr>
          <w:rFonts w:cs="Arial"/>
          <w:highlight w:val="yellow"/>
        </w:rPr>
        <w:t>Conversely however in higher density and/or technologically complex situations</w:t>
      </w:r>
      <w:r w:rsidR="00584B71" w:rsidRPr="00A83261">
        <w:rPr>
          <w:rFonts w:cs="Arial"/>
          <w:highlight w:val="yellow"/>
        </w:rPr>
        <w:t xml:space="preserve"> (such as Imizamo Yethu, Hout Bay) </w:t>
      </w:r>
      <w:r w:rsidRPr="00A83261">
        <w:rPr>
          <w:rFonts w:cs="Arial"/>
          <w:highlight w:val="yellow"/>
        </w:rPr>
        <w:t>and those where high degrees of coordination between owner builders is needed (such as in contexts zero lot lines need to be applied) the voucher system would need to be accompanied with high levels of technical support, contractor development, facilitation and supervision and hence would most properly be coupled with a EPHP project.</w:t>
      </w:r>
    </w:p>
    <w:p w14:paraId="44401D9B" w14:textId="77777777" w:rsidR="00EE4B47" w:rsidRPr="00137D77" w:rsidRDefault="00EE4B47" w:rsidP="0055634E">
      <w:pPr>
        <w:pStyle w:val="ListParagraph"/>
        <w:numPr>
          <w:ilvl w:val="0"/>
          <w:numId w:val="32"/>
        </w:numPr>
        <w:ind w:left="720"/>
        <w:rPr>
          <w:rFonts w:cs="Arial"/>
        </w:rPr>
      </w:pPr>
      <w:r w:rsidRPr="00B74D4C">
        <w:rPr>
          <w:rFonts w:cs="Arial"/>
          <w:b/>
        </w:rPr>
        <w:t xml:space="preserve">Institutional Requirements: </w:t>
      </w:r>
    </w:p>
    <w:p w14:paraId="6ABC895E" w14:textId="21EAF1AD" w:rsidR="00EE4B47" w:rsidRPr="00940A54" w:rsidRDefault="00EE4B47" w:rsidP="0055634E">
      <w:pPr>
        <w:pStyle w:val="ListParagraph"/>
        <w:numPr>
          <w:ilvl w:val="0"/>
          <w:numId w:val="22"/>
        </w:numPr>
        <w:ind w:left="1080"/>
        <w:rPr>
          <w:rFonts w:cs="Arial"/>
        </w:rPr>
      </w:pPr>
      <w:r w:rsidRPr="00940A54">
        <w:rPr>
          <w:rFonts w:cs="Arial"/>
        </w:rPr>
        <w:t>The institutional requirements depend largely on context. In complex higher density contexts, where institutional interventions to build capacity, coordinate and inspect</w:t>
      </w:r>
      <w:r>
        <w:rPr>
          <w:rFonts w:cs="Arial"/>
        </w:rPr>
        <w:t xml:space="preserve"> are required </w:t>
      </w:r>
      <w:r w:rsidRPr="00940A54">
        <w:rPr>
          <w:rFonts w:cs="Arial"/>
        </w:rPr>
        <w:t xml:space="preserve">this approach would probably best be implemented </w:t>
      </w:r>
      <w:r>
        <w:rPr>
          <w:rFonts w:cs="Arial"/>
        </w:rPr>
        <w:t xml:space="preserve">in tandem with </w:t>
      </w:r>
      <w:r w:rsidRPr="00940A54">
        <w:rPr>
          <w:rFonts w:cs="Arial"/>
        </w:rPr>
        <w:t>support provided by a</w:t>
      </w:r>
      <w:r w:rsidR="00584B71">
        <w:rPr>
          <w:rFonts w:cs="Arial"/>
        </w:rPr>
        <w:t>n</w:t>
      </w:r>
      <w:r w:rsidRPr="00940A54">
        <w:rPr>
          <w:rFonts w:cs="Arial"/>
        </w:rPr>
        <w:t xml:space="preserve"> EPHP CRO.</w:t>
      </w:r>
    </w:p>
    <w:p w14:paraId="5DEEBA15" w14:textId="57B48FAA" w:rsidR="00EE4B47" w:rsidRPr="00B74D4C" w:rsidRDefault="00EE4B47" w:rsidP="0055634E">
      <w:pPr>
        <w:pStyle w:val="ListParagraph"/>
        <w:numPr>
          <w:ilvl w:val="0"/>
          <w:numId w:val="22"/>
        </w:numPr>
        <w:ind w:left="1080"/>
        <w:rPr>
          <w:rFonts w:cs="Arial"/>
        </w:rPr>
      </w:pPr>
      <w:r>
        <w:rPr>
          <w:rFonts w:cs="Arial"/>
        </w:rPr>
        <w:t xml:space="preserve">The voucher system has the </w:t>
      </w:r>
      <w:r w:rsidRPr="00B74D4C">
        <w:rPr>
          <w:rFonts w:cs="Arial"/>
        </w:rPr>
        <w:t xml:space="preserve">virtue of simplicity, and </w:t>
      </w:r>
      <w:r>
        <w:rPr>
          <w:rFonts w:cs="Arial"/>
        </w:rPr>
        <w:t>c</w:t>
      </w:r>
      <w:r w:rsidRPr="00B74D4C">
        <w:rPr>
          <w:rFonts w:cs="Arial"/>
        </w:rPr>
        <w:t xml:space="preserve">an be flexible in terms of </w:t>
      </w:r>
      <w:r>
        <w:rPr>
          <w:rFonts w:cs="Arial"/>
        </w:rPr>
        <w:t xml:space="preserve">the voucher </w:t>
      </w:r>
      <w:r w:rsidRPr="00B74D4C">
        <w:rPr>
          <w:rFonts w:cs="Arial"/>
        </w:rPr>
        <w:t>amount</w:t>
      </w:r>
      <w:r>
        <w:rPr>
          <w:rFonts w:cs="Arial"/>
        </w:rPr>
        <w:t xml:space="preserve">. Therefore, it is adaptable in changing conditions, and could be changed depending on local </w:t>
      </w:r>
      <w:r w:rsidR="00584B71">
        <w:rPr>
          <w:rFonts w:cs="Arial"/>
        </w:rPr>
        <w:t>contexts</w:t>
      </w:r>
      <w:r>
        <w:rPr>
          <w:rFonts w:cs="Arial"/>
        </w:rPr>
        <w:t xml:space="preserve">. </w:t>
      </w:r>
    </w:p>
    <w:p w14:paraId="2A6596CA" w14:textId="77777777" w:rsidR="00EE4B47" w:rsidRPr="001D4FF3" w:rsidRDefault="00EE4B47" w:rsidP="0055634E">
      <w:pPr>
        <w:pStyle w:val="ListParagraph"/>
        <w:numPr>
          <w:ilvl w:val="0"/>
          <w:numId w:val="22"/>
        </w:numPr>
        <w:ind w:left="1080"/>
        <w:rPr>
          <w:rFonts w:cs="Arial"/>
        </w:rPr>
      </w:pPr>
      <w:r>
        <w:rPr>
          <w:rFonts w:cs="Arial"/>
        </w:rPr>
        <w:t>The procedure requires the e</w:t>
      </w:r>
      <w:r w:rsidRPr="00FB6D6E">
        <w:rPr>
          <w:rFonts w:cs="Arial"/>
        </w:rPr>
        <w:t>stablish</w:t>
      </w:r>
      <w:r>
        <w:rPr>
          <w:rFonts w:cs="Arial"/>
        </w:rPr>
        <w:t>ment of</w:t>
      </w:r>
      <w:r w:rsidRPr="00FB6D6E">
        <w:rPr>
          <w:rFonts w:cs="Arial"/>
        </w:rPr>
        <w:t xml:space="preserve"> an inspection and financial control mechanism to ensure that the beneficiary utilises the subsidy for the purpose for which it is intended without taking control of the building process out of the beneficiary’s hands.</w:t>
      </w:r>
    </w:p>
    <w:p w14:paraId="16569116" w14:textId="43A2F155" w:rsidR="00EE4B47" w:rsidRPr="00A43E70" w:rsidRDefault="00584B71" w:rsidP="0055634E">
      <w:pPr>
        <w:pStyle w:val="ListParagraph"/>
        <w:numPr>
          <w:ilvl w:val="0"/>
          <w:numId w:val="32"/>
        </w:numPr>
        <w:ind w:left="720"/>
        <w:rPr>
          <w:rFonts w:cs="Arial"/>
          <w:b/>
        </w:rPr>
      </w:pPr>
      <w:r>
        <w:rPr>
          <w:rFonts w:cs="Arial"/>
          <w:b/>
        </w:rPr>
        <w:t>Utilization</w:t>
      </w:r>
      <w:r w:rsidR="00EE4B47">
        <w:rPr>
          <w:rFonts w:cs="Arial"/>
          <w:b/>
        </w:rPr>
        <w:t xml:space="preserve"> of prior private housing i</w:t>
      </w:r>
      <w:r w:rsidR="00EE4B47" w:rsidRPr="00D647F4">
        <w:rPr>
          <w:rFonts w:cs="Arial"/>
          <w:b/>
        </w:rPr>
        <w:t>nvestment</w:t>
      </w:r>
      <w:r w:rsidR="00EE4B47">
        <w:rPr>
          <w:rFonts w:cs="Arial"/>
        </w:rPr>
        <w:t xml:space="preserve"> </w:t>
      </w:r>
      <w:r w:rsidR="00EE4B47" w:rsidRPr="00A43E70">
        <w:rPr>
          <w:rFonts w:cs="Arial"/>
          <w:b/>
        </w:rPr>
        <w:t xml:space="preserve">and </w:t>
      </w:r>
      <w:r w:rsidR="00EE4B47">
        <w:rPr>
          <w:rFonts w:cs="Arial"/>
          <w:b/>
        </w:rPr>
        <w:t xml:space="preserve">the </w:t>
      </w:r>
      <w:r w:rsidR="00EE4B47" w:rsidRPr="00A43E70">
        <w:rPr>
          <w:rFonts w:cs="Arial"/>
          <w:b/>
        </w:rPr>
        <w:t>incorporat</w:t>
      </w:r>
      <w:r w:rsidR="00EE4B47">
        <w:rPr>
          <w:rFonts w:cs="Arial"/>
          <w:b/>
        </w:rPr>
        <w:t xml:space="preserve">ion of private </w:t>
      </w:r>
      <w:r w:rsidR="00EE4B47" w:rsidRPr="00A43E70">
        <w:rPr>
          <w:rFonts w:cs="Arial"/>
          <w:b/>
        </w:rPr>
        <w:t xml:space="preserve">sources of funding into the dwelling </w:t>
      </w:r>
    </w:p>
    <w:p w14:paraId="1208BA55" w14:textId="77777777" w:rsidR="00EE4B47" w:rsidRDefault="00EE4B47" w:rsidP="0055634E">
      <w:pPr>
        <w:pStyle w:val="ListParagraph"/>
        <w:numPr>
          <w:ilvl w:val="0"/>
          <w:numId w:val="22"/>
        </w:numPr>
        <w:ind w:left="1080"/>
        <w:rPr>
          <w:rFonts w:cs="Arial"/>
        </w:rPr>
      </w:pPr>
      <w:r>
        <w:rPr>
          <w:rFonts w:cs="Arial"/>
        </w:rPr>
        <w:t xml:space="preserve">The flexibility of the product and the placement of the owner builder at the centre of the process, its exemption from the NHBRC system, mean that it is the ideal </w:t>
      </w:r>
      <w:r>
        <w:rPr>
          <w:rFonts w:cs="Arial"/>
        </w:rPr>
        <w:lastRenderedPageBreak/>
        <w:t>instrument for funding extensions to existing formal top structures in technically unchallenging areas with well-established construction systems and capacities.</w:t>
      </w:r>
    </w:p>
    <w:p w14:paraId="73E11156" w14:textId="77777777" w:rsidR="00EE4B47" w:rsidRPr="00AF2466" w:rsidRDefault="00EE4B47" w:rsidP="0055634E">
      <w:pPr>
        <w:pStyle w:val="ListParagraph"/>
        <w:numPr>
          <w:ilvl w:val="0"/>
          <w:numId w:val="22"/>
        </w:numPr>
        <w:ind w:left="1080"/>
        <w:rPr>
          <w:rFonts w:cs="Arial"/>
        </w:rPr>
      </w:pPr>
      <w:r w:rsidRPr="00FB6D6E">
        <w:rPr>
          <w:rFonts w:cs="Arial"/>
        </w:rPr>
        <w:t>Voucher systems can adopt different levels of state and other support to the owner builder in managing the building process, (i.e. utilising the subsidy)</w:t>
      </w:r>
      <w:r>
        <w:rPr>
          <w:rFonts w:cs="Arial"/>
        </w:rPr>
        <w:t xml:space="preserve">. </w:t>
      </w:r>
    </w:p>
    <w:p w14:paraId="1C6314DE" w14:textId="77777777" w:rsidR="00EE4B47" w:rsidRDefault="00EE4B47" w:rsidP="0055634E">
      <w:pPr>
        <w:pStyle w:val="ListParagraph"/>
        <w:numPr>
          <w:ilvl w:val="0"/>
          <w:numId w:val="22"/>
        </w:numPr>
        <w:ind w:left="1080"/>
        <w:rPr>
          <w:rFonts w:cs="Arial"/>
        </w:rPr>
      </w:pPr>
      <w:r w:rsidRPr="00E42B76">
        <w:rPr>
          <w:rFonts w:cs="Arial"/>
        </w:rPr>
        <w:t xml:space="preserve">The structure of this instrument also makes it compatible with the simultaneous introduction of finance instruments such as small loan credit, or even building materials supplier credit that could be used to enhance the size or quality or speed at which a unit can be completed.  </w:t>
      </w:r>
    </w:p>
    <w:p w14:paraId="20244F75" w14:textId="40F31871" w:rsidR="00EE4B47" w:rsidRDefault="00EE4B47" w:rsidP="0055634E">
      <w:pPr>
        <w:pStyle w:val="ListParagraph"/>
        <w:numPr>
          <w:ilvl w:val="0"/>
          <w:numId w:val="22"/>
        </w:numPr>
        <w:ind w:left="1080"/>
        <w:rPr>
          <w:rFonts w:cs="Arial"/>
        </w:rPr>
      </w:pPr>
      <w:r>
        <w:rPr>
          <w:rFonts w:cs="Arial"/>
        </w:rPr>
        <w:t xml:space="preserve">In addition the voucher system could very easily be broadened to allow for the application of credit and grant instruments that require that </w:t>
      </w:r>
      <w:r w:rsidR="003E6AE6">
        <w:rPr>
          <w:rFonts w:cs="Arial"/>
        </w:rPr>
        <w:t xml:space="preserve">a </w:t>
      </w:r>
      <w:r>
        <w:rPr>
          <w:rFonts w:cs="Arial"/>
        </w:rPr>
        <w:t>loan is applied to housing- e</w:t>
      </w:r>
      <w:r w:rsidR="003E6AE6">
        <w:rPr>
          <w:rFonts w:cs="Arial"/>
        </w:rPr>
        <w:t>.</w:t>
      </w:r>
      <w:r>
        <w:rPr>
          <w:rFonts w:cs="Arial"/>
        </w:rPr>
        <w:t>g</w:t>
      </w:r>
      <w:r w:rsidR="003E6AE6">
        <w:rPr>
          <w:rFonts w:cs="Arial"/>
        </w:rPr>
        <w:t>.</w:t>
      </w:r>
      <w:r>
        <w:rPr>
          <w:rFonts w:cs="Arial"/>
        </w:rPr>
        <w:t xml:space="preserve"> Employer loans or housing grants. </w:t>
      </w:r>
      <w:r w:rsidRPr="005872C6">
        <w:rPr>
          <w:rFonts w:cs="Arial"/>
        </w:rPr>
        <w:t xml:space="preserve"> </w:t>
      </w:r>
    </w:p>
    <w:p w14:paraId="2C0907EF" w14:textId="77777777" w:rsidR="00EE4B47" w:rsidRDefault="00EE4B47" w:rsidP="0055634E">
      <w:pPr>
        <w:pStyle w:val="ListParagraph"/>
        <w:numPr>
          <w:ilvl w:val="0"/>
          <w:numId w:val="32"/>
        </w:numPr>
        <w:ind w:left="720"/>
        <w:rPr>
          <w:rFonts w:cs="Arial"/>
          <w:b/>
        </w:rPr>
      </w:pPr>
      <w:r w:rsidRPr="00791942">
        <w:rPr>
          <w:rFonts w:cs="Arial"/>
          <w:b/>
        </w:rPr>
        <w:t>Support for house investment by non-subsidy qualifying households</w:t>
      </w:r>
      <w:r>
        <w:rPr>
          <w:rFonts w:cs="Arial"/>
          <w:b/>
        </w:rPr>
        <w:t>.</w:t>
      </w:r>
      <w:r w:rsidRPr="00791942">
        <w:rPr>
          <w:rFonts w:cs="Arial"/>
          <w:b/>
        </w:rPr>
        <w:t xml:space="preserve"> </w:t>
      </w:r>
    </w:p>
    <w:p w14:paraId="718219CA" w14:textId="1C31F579" w:rsidR="00EE4B47" w:rsidRDefault="00EE4B47" w:rsidP="0055634E">
      <w:pPr>
        <w:pStyle w:val="ListParagraph"/>
        <w:numPr>
          <w:ilvl w:val="0"/>
          <w:numId w:val="22"/>
        </w:numPr>
        <w:ind w:left="1080"/>
        <w:rPr>
          <w:rFonts w:cs="Arial"/>
        </w:rPr>
      </w:pPr>
      <w:r>
        <w:rPr>
          <w:rFonts w:cs="Arial"/>
        </w:rPr>
        <w:t xml:space="preserve">The institutional infrastructure </w:t>
      </w:r>
      <w:r w:rsidR="004E304F">
        <w:rPr>
          <w:rFonts w:cs="Arial"/>
        </w:rPr>
        <w:t xml:space="preserve">and support and facilitative approaches </w:t>
      </w:r>
      <w:r>
        <w:rPr>
          <w:rFonts w:cs="Arial"/>
        </w:rPr>
        <w:t xml:space="preserve">associated with </w:t>
      </w:r>
      <w:r w:rsidR="004E304F">
        <w:rPr>
          <w:rFonts w:cs="Arial"/>
        </w:rPr>
        <w:t xml:space="preserve">supporting the implementation of </w:t>
      </w:r>
      <w:r>
        <w:rPr>
          <w:rFonts w:cs="Arial"/>
        </w:rPr>
        <w:t xml:space="preserve">a </w:t>
      </w:r>
      <w:r w:rsidRPr="00E04AD0">
        <w:rPr>
          <w:rFonts w:cs="Arial"/>
        </w:rPr>
        <w:t xml:space="preserve">voucher </w:t>
      </w:r>
      <w:r>
        <w:rPr>
          <w:rFonts w:cs="Arial"/>
        </w:rPr>
        <w:t xml:space="preserve">subsidy system </w:t>
      </w:r>
      <w:r w:rsidRPr="00E04AD0">
        <w:rPr>
          <w:rFonts w:cs="Arial"/>
        </w:rPr>
        <w:t xml:space="preserve">approach is </w:t>
      </w:r>
      <w:r w:rsidR="004E304F">
        <w:rPr>
          <w:rFonts w:cs="Arial"/>
        </w:rPr>
        <w:t xml:space="preserve">also </w:t>
      </w:r>
      <w:r w:rsidRPr="00E04AD0">
        <w:rPr>
          <w:rFonts w:cs="Arial"/>
        </w:rPr>
        <w:t xml:space="preserve">compatible with </w:t>
      </w:r>
      <w:r>
        <w:rPr>
          <w:rFonts w:cs="Arial"/>
        </w:rPr>
        <w:t xml:space="preserve">the needs of those consolidating </w:t>
      </w:r>
      <w:r w:rsidR="004E304F">
        <w:rPr>
          <w:rFonts w:cs="Arial"/>
        </w:rPr>
        <w:t xml:space="preserve">houses who cannot access </w:t>
      </w:r>
      <w:r w:rsidR="003E6AE6">
        <w:rPr>
          <w:rFonts w:cs="Arial"/>
        </w:rPr>
        <w:t xml:space="preserve">a </w:t>
      </w:r>
      <w:r>
        <w:rPr>
          <w:rFonts w:cs="Arial"/>
        </w:rPr>
        <w:t>government</w:t>
      </w:r>
      <w:r w:rsidR="004E304F">
        <w:rPr>
          <w:rFonts w:cs="Arial"/>
        </w:rPr>
        <w:t xml:space="preserve"> subsidy.</w:t>
      </w:r>
    </w:p>
    <w:p w14:paraId="27243C8A" w14:textId="77777777" w:rsidR="00EE4B47" w:rsidRDefault="00EE4B47" w:rsidP="0055634E">
      <w:pPr>
        <w:pStyle w:val="ListParagraph"/>
        <w:numPr>
          <w:ilvl w:val="0"/>
          <w:numId w:val="32"/>
        </w:numPr>
        <w:ind w:left="720"/>
        <w:rPr>
          <w:rFonts w:cs="Arial"/>
        </w:rPr>
      </w:pPr>
      <w:r w:rsidRPr="00623922">
        <w:rPr>
          <w:rFonts w:cs="Arial"/>
          <w:b/>
        </w:rPr>
        <w:t>Sustainable Housing Market:</w:t>
      </w:r>
      <w:r w:rsidRPr="00623922">
        <w:rPr>
          <w:rFonts w:cs="Arial"/>
        </w:rPr>
        <w:t xml:space="preserve"> </w:t>
      </w:r>
    </w:p>
    <w:p w14:paraId="34335206" w14:textId="77777777" w:rsidR="00EE4B47" w:rsidRDefault="00EE4B47" w:rsidP="0055634E">
      <w:pPr>
        <w:pStyle w:val="ListParagraph"/>
        <w:numPr>
          <w:ilvl w:val="0"/>
          <w:numId w:val="22"/>
        </w:numPr>
        <w:ind w:left="1080"/>
        <w:rPr>
          <w:rFonts w:cs="Arial"/>
        </w:rPr>
      </w:pPr>
      <w:r w:rsidRPr="00AF2466">
        <w:rPr>
          <w:rFonts w:cs="Arial"/>
        </w:rPr>
        <w:t xml:space="preserve">Putting </w:t>
      </w:r>
      <w:r>
        <w:rPr>
          <w:rFonts w:cs="Arial"/>
        </w:rPr>
        <w:t>households</w:t>
      </w:r>
      <w:r w:rsidRPr="00AF2466">
        <w:rPr>
          <w:rFonts w:cs="Arial"/>
        </w:rPr>
        <w:t xml:space="preserve"> at</w:t>
      </w:r>
      <w:r>
        <w:rPr>
          <w:rFonts w:cs="Arial"/>
        </w:rPr>
        <w:t xml:space="preserve"> the</w:t>
      </w:r>
      <w:r w:rsidRPr="00AF2466">
        <w:rPr>
          <w:rFonts w:cs="Arial"/>
        </w:rPr>
        <w:t xml:space="preserve"> centre of</w:t>
      </w:r>
      <w:r>
        <w:rPr>
          <w:rFonts w:cs="Arial"/>
        </w:rPr>
        <w:t xml:space="preserve"> their house building</w:t>
      </w:r>
      <w:r w:rsidRPr="00AF2466">
        <w:rPr>
          <w:rFonts w:cs="Arial"/>
        </w:rPr>
        <w:t xml:space="preserve"> process puts them in position to carry the consolidation process forward post subsidy</w:t>
      </w:r>
      <w:r>
        <w:rPr>
          <w:rFonts w:cs="Arial"/>
        </w:rPr>
        <w:t xml:space="preserve">. </w:t>
      </w:r>
    </w:p>
    <w:p w14:paraId="2FDE8C7E" w14:textId="3FA2A3DF" w:rsidR="00EE4B47" w:rsidRPr="00A83261" w:rsidRDefault="00EE4B47" w:rsidP="0055634E">
      <w:pPr>
        <w:pStyle w:val="ListParagraph"/>
        <w:numPr>
          <w:ilvl w:val="0"/>
          <w:numId w:val="22"/>
        </w:numPr>
        <w:ind w:left="1080"/>
        <w:rPr>
          <w:rFonts w:cs="Arial"/>
          <w:highlight w:val="yellow"/>
        </w:rPr>
      </w:pPr>
      <w:r w:rsidRPr="00A83261">
        <w:rPr>
          <w:rFonts w:cs="Arial"/>
          <w:highlight w:val="yellow"/>
        </w:rPr>
        <w:t>The embedding of housing voucher systems within the local construction sector and the placement of the owner builder at the centre of the process make the voucher system the most advantageous in creating a sustainable system that will continue to be used by home owners in the ongoing expansion and improvement of their homes.</w:t>
      </w:r>
    </w:p>
    <w:p w14:paraId="07C08F39" w14:textId="77777777" w:rsidR="00EE4B47" w:rsidRDefault="00EE4B47" w:rsidP="00540DD7">
      <w:pPr>
        <w:pStyle w:val="Heading2"/>
      </w:pPr>
      <w:bookmarkStart w:id="263" w:name="_Toc262067869"/>
      <w:bookmarkStart w:id="264" w:name="_Toc270946044"/>
      <w:r w:rsidRPr="00466F6B">
        <w:t>Rental Market Instruments</w:t>
      </w:r>
      <w:bookmarkEnd w:id="263"/>
      <w:bookmarkEnd w:id="264"/>
    </w:p>
    <w:p w14:paraId="0CE2902E" w14:textId="77777777" w:rsidR="003E6AE6" w:rsidRDefault="003E6AE6" w:rsidP="00250EA9">
      <w:pPr>
        <w:spacing w:after="0"/>
        <w:ind w:left="490"/>
        <w:rPr>
          <w:rFonts w:cs="Arial"/>
          <w:szCs w:val="22"/>
        </w:rPr>
      </w:pPr>
    </w:p>
    <w:p w14:paraId="01434232" w14:textId="5D75801F" w:rsidR="00EE4B47" w:rsidRDefault="00EE4B47" w:rsidP="00250EA9">
      <w:pPr>
        <w:spacing w:line="360" w:lineRule="auto"/>
        <w:rPr>
          <w:rFonts w:cs="Arial"/>
          <w:szCs w:val="22"/>
        </w:rPr>
      </w:pPr>
      <w:r w:rsidRPr="00431C22">
        <w:rPr>
          <w:rFonts w:cs="Arial"/>
          <w:szCs w:val="22"/>
        </w:rPr>
        <w:t>This paper is based on the premise that UISP programmes</w:t>
      </w:r>
      <w:r>
        <w:rPr>
          <w:rFonts w:cs="Arial"/>
          <w:szCs w:val="22"/>
        </w:rPr>
        <w:t xml:space="preserve"> primarily </w:t>
      </w:r>
      <w:r w:rsidRPr="00431C22">
        <w:rPr>
          <w:rFonts w:cs="Arial"/>
          <w:szCs w:val="22"/>
        </w:rPr>
        <w:t>focus</w:t>
      </w:r>
      <w:r w:rsidR="00F40485">
        <w:rPr>
          <w:rFonts w:cs="Arial"/>
          <w:szCs w:val="22"/>
        </w:rPr>
        <w:t>es</w:t>
      </w:r>
      <w:r w:rsidRPr="00431C22">
        <w:rPr>
          <w:rFonts w:cs="Arial"/>
          <w:szCs w:val="22"/>
        </w:rPr>
        <w:t xml:space="preserve"> on the delivery of individual tenure </w:t>
      </w:r>
      <w:r>
        <w:rPr>
          <w:rFonts w:cs="Arial"/>
          <w:szCs w:val="22"/>
        </w:rPr>
        <w:t>on</w:t>
      </w:r>
      <w:r w:rsidRPr="00431C22">
        <w:rPr>
          <w:rFonts w:cs="Arial"/>
          <w:szCs w:val="22"/>
        </w:rPr>
        <w:t xml:space="preserve"> serviced sites to households. However, it is acknowledged that rental arrangements play an important part in informal settlement livelihood strategies, and that these should be supported during and after the process of in-situ upgrading.  </w:t>
      </w:r>
    </w:p>
    <w:p w14:paraId="0C4F2C64" w14:textId="2AD650CF" w:rsidR="00EE4B47" w:rsidRDefault="00EE4B47" w:rsidP="00250EA9">
      <w:pPr>
        <w:spacing w:line="360" w:lineRule="auto"/>
        <w:rPr>
          <w:rFonts w:cs="Arial"/>
          <w:szCs w:val="22"/>
        </w:rPr>
      </w:pPr>
      <w:r>
        <w:rPr>
          <w:rFonts w:cs="Arial"/>
          <w:szCs w:val="22"/>
        </w:rPr>
        <w:t xml:space="preserve">While it is envisaged that UISP projects may include </w:t>
      </w:r>
      <w:r w:rsidR="00E01C9B">
        <w:rPr>
          <w:rFonts w:cs="Arial"/>
          <w:szCs w:val="22"/>
        </w:rPr>
        <w:t>subsidized</w:t>
      </w:r>
      <w:r>
        <w:rPr>
          <w:rFonts w:cs="Arial"/>
          <w:szCs w:val="22"/>
        </w:rPr>
        <w:t xml:space="preserve"> rental products in </w:t>
      </w:r>
      <w:r w:rsidR="00F40485">
        <w:rPr>
          <w:rFonts w:cs="Arial"/>
          <w:szCs w:val="22"/>
        </w:rPr>
        <w:t xml:space="preserve">their </w:t>
      </w:r>
      <w:r>
        <w:rPr>
          <w:rFonts w:cs="Arial"/>
          <w:szCs w:val="22"/>
        </w:rPr>
        <w:t xml:space="preserve">overall design mix, these will necessarily be implemented as separate projects, utilising different subsidy streams and methodologies as set out in the Housing Code. </w:t>
      </w:r>
    </w:p>
    <w:p w14:paraId="5466C2F5" w14:textId="7AE6D290" w:rsidR="00EE4B47" w:rsidRPr="006C5E22" w:rsidRDefault="00EE4B47" w:rsidP="00A00A0A">
      <w:pPr>
        <w:pStyle w:val="Heading3"/>
      </w:pPr>
      <w:r>
        <w:lastRenderedPageBreak/>
        <w:t xml:space="preserve">  </w:t>
      </w:r>
      <w:bookmarkStart w:id="265" w:name="_Toc262067870"/>
      <w:bookmarkStart w:id="266" w:name="_Toc262068196"/>
      <w:r w:rsidR="00E01C9B">
        <w:t>Subsidized</w:t>
      </w:r>
      <w:r>
        <w:t xml:space="preserve"> Rental Instruments</w:t>
      </w:r>
      <w:bookmarkEnd w:id="265"/>
      <w:bookmarkEnd w:id="266"/>
    </w:p>
    <w:p w14:paraId="0552130D" w14:textId="0428D574" w:rsidR="00EE4B47" w:rsidRDefault="00F40485" w:rsidP="00250EA9">
      <w:pPr>
        <w:spacing w:line="360" w:lineRule="auto"/>
        <w:rPr>
          <w:rFonts w:cs="Arial"/>
          <w:szCs w:val="22"/>
        </w:rPr>
      </w:pPr>
      <w:r>
        <w:rPr>
          <w:rFonts w:cs="Arial"/>
          <w:szCs w:val="22"/>
        </w:rPr>
        <w:t>Some of the p</w:t>
      </w:r>
      <w:r w:rsidR="00EE4B47">
        <w:rPr>
          <w:rFonts w:cs="Arial"/>
          <w:szCs w:val="22"/>
        </w:rPr>
        <w:t xml:space="preserve">otential instruments </w:t>
      </w:r>
      <w:r>
        <w:rPr>
          <w:rFonts w:cs="Arial"/>
          <w:szCs w:val="22"/>
        </w:rPr>
        <w:t xml:space="preserve">that could be used to provide subsidises rental </w:t>
      </w:r>
      <w:r w:rsidR="00EE4B47">
        <w:rPr>
          <w:rFonts w:cs="Arial"/>
          <w:szCs w:val="22"/>
        </w:rPr>
        <w:t>are discussed below:</w:t>
      </w:r>
    </w:p>
    <w:p w14:paraId="38B19405" w14:textId="691D11D1" w:rsidR="00EE4B47" w:rsidRPr="005D358F" w:rsidRDefault="00EE4B47" w:rsidP="0055634E">
      <w:pPr>
        <w:pStyle w:val="ListParagraph"/>
        <w:numPr>
          <w:ilvl w:val="0"/>
          <w:numId w:val="28"/>
        </w:numPr>
        <w:ind w:left="720"/>
        <w:rPr>
          <w:rFonts w:cs="Arial"/>
          <w:b/>
        </w:rPr>
      </w:pPr>
      <w:r w:rsidRPr="00843982">
        <w:rPr>
          <w:rFonts w:cs="Arial"/>
          <w:b/>
          <w:highlight w:val="yellow"/>
        </w:rPr>
        <w:t xml:space="preserve">Reconstruction Capital Grants and Institutional Subsidies for Social Housing: </w:t>
      </w:r>
      <w:r w:rsidRPr="00843982">
        <w:rPr>
          <w:rFonts w:cs="Arial"/>
          <w:highlight w:val="yellow"/>
        </w:rPr>
        <w:t xml:space="preserve">The highly regulated and complex implementation and management arrangements for social housing imply that it is highly unlikely that this instrument could be applied within a UISP programme.  It is possible however </w:t>
      </w:r>
      <w:r w:rsidR="00F40485" w:rsidRPr="00843982">
        <w:rPr>
          <w:rFonts w:cs="Arial"/>
          <w:highlight w:val="yellow"/>
        </w:rPr>
        <w:t xml:space="preserve">that </w:t>
      </w:r>
      <w:r w:rsidRPr="00843982">
        <w:rPr>
          <w:rFonts w:cs="Arial"/>
          <w:highlight w:val="yellow"/>
        </w:rPr>
        <w:t xml:space="preserve">proximate social housing schemes may offer a proportion of households from an informal settlement undergoing upgrading a future affordable rental unit, should they prefer this or be unable to take ownership of a site in the upgraded area. </w:t>
      </w:r>
      <w:r w:rsidR="00F40485" w:rsidRPr="00843982">
        <w:rPr>
          <w:rFonts w:cs="Arial"/>
          <w:highlight w:val="yellow"/>
        </w:rPr>
        <w:t>S</w:t>
      </w:r>
      <w:r w:rsidRPr="00843982">
        <w:rPr>
          <w:rFonts w:cs="Arial"/>
          <w:highlight w:val="yellow"/>
        </w:rPr>
        <w:t>uch a model would effectively require that some groups will be expected to pay a substantial monthly rental for accommodation in a context where the balance of the settlement residents would be obtaining a similar product at no cost. This would lead to major rental collection problems for the Social Housing Institution involved.</w:t>
      </w:r>
      <w:r>
        <w:rPr>
          <w:rFonts w:cs="Arial"/>
        </w:rPr>
        <w:t xml:space="preserve"> (</w:t>
      </w:r>
      <w:r w:rsidR="00B0299D">
        <w:rPr>
          <w:rFonts w:cs="Arial"/>
        </w:rPr>
        <w:t xml:space="preserve">personal communications with </w:t>
      </w:r>
      <w:r w:rsidRPr="005D358F">
        <w:rPr>
          <w:rFonts w:cs="Arial"/>
        </w:rPr>
        <w:t>Heather Maxwell, CEO of SOHCO</w:t>
      </w:r>
      <w:r>
        <w:rPr>
          <w:rFonts w:cs="Arial"/>
        </w:rPr>
        <w:t>)</w:t>
      </w:r>
      <w:r w:rsidRPr="005D358F">
        <w:rPr>
          <w:rFonts w:cs="Arial"/>
        </w:rPr>
        <w:t>.</w:t>
      </w:r>
    </w:p>
    <w:p w14:paraId="0F88436F" w14:textId="513EF444" w:rsidR="00EE4B47" w:rsidRPr="00843982" w:rsidRDefault="00EE4B47" w:rsidP="0055634E">
      <w:pPr>
        <w:pStyle w:val="ListParagraph"/>
        <w:numPr>
          <w:ilvl w:val="0"/>
          <w:numId w:val="28"/>
        </w:numPr>
        <w:ind w:left="720"/>
        <w:rPr>
          <w:rFonts w:cs="Arial"/>
          <w:highlight w:val="yellow"/>
        </w:rPr>
      </w:pPr>
      <w:r w:rsidRPr="00843982">
        <w:rPr>
          <w:rFonts w:cs="Arial"/>
          <w:b/>
          <w:highlight w:val="yellow"/>
        </w:rPr>
        <w:t xml:space="preserve">Community Residential Units: </w:t>
      </w:r>
      <w:r w:rsidRPr="00843982">
        <w:rPr>
          <w:rFonts w:cs="Arial"/>
          <w:highlight w:val="yellow"/>
        </w:rPr>
        <w:t>CRU units are developed and managed by municipalities.</w:t>
      </w:r>
      <w:r>
        <w:rPr>
          <w:rFonts w:cs="Arial"/>
        </w:rPr>
        <w:t xml:space="preserve"> As a consequence, there is a chance that CRU projects may be included as a separate development component within UISP projects to provide affordable residential rental stock.  </w:t>
      </w:r>
      <w:r w:rsidRPr="00843982">
        <w:rPr>
          <w:rFonts w:cs="Arial"/>
          <w:highlight w:val="yellow"/>
        </w:rPr>
        <w:t xml:space="preserve">Given that the CRU programme focus is on households earning below R3 500, units produced have a better chance of being affordable to the generally low incomes and low levels of rental affordability </w:t>
      </w:r>
      <w:r w:rsidR="00F40485" w:rsidRPr="00843982">
        <w:rPr>
          <w:rFonts w:cs="Arial"/>
          <w:highlight w:val="yellow"/>
        </w:rPr>
        <w:t xml:space="preserve">of households living </w:t>
      </w:r>
      <w:r w:rsidRPr="00843982">
        <w:rPr>
          <w:rFonts w:cs="Arial"/>
          <w:highlight w:val="yellow"/>
        </w:rPr>
        <w:t>in informal settlements.</w:t>
      </w:r>
      <w:r>
        <w:rPr>
          <w:rFonts w:cs="Arial"/>
        </w:rPr>
        <w:t xml:space="preserve">  However, it must be noted that </w:t>
      </w:r>
      <w:r w:rsidRPr="00843982">
        <w:rPr>
          <w:rFonts w:cs="Arial"/>
          <w:highlight w:val="yellow"/>
        </w:rPr>
        <w:t xml:space="preserve">currently this programme is poorly regulated and often misused, and more rigorous regulation of the instrument is likely in the future. Most problematically of all CRU housing requires high levels of regulation and management to be successful and financially sustainable this within the context of serious capacity constraints at municipal level. In this respect the NDP has noted that </w:t>
      </w:r>
      <w:r w:rsidR="00F40485" w:rsidRPr="00843982">
        <w:rPr>
          <w:rFonts w:cs="Arial"/>
          <w:highlight w:val="yellow"/>
        </w:rPr>
        <w:t>‘</w:t>
      </w:r>
      <w:r w:rsidRPr="00843982">
        <w:rPr>
          <w:rFonts w:cs="Arial"/>
          <w:i/>
          <w:highlight w:val="yellow"/>
        </w:rPr>
        <w:t>The government lacks operational capacity to manage rental stock</w:t>
      </w:r>
      <w:r w:rsidR="00F40485" w:rsidRPr="00843982">
        <w:rPr>
          <w:rFonts w:cs="Arial"/>
          <w:highlight w:val="yellow"/>
        </w:rPr>
        <w:t>’</w:t>
      </w:r>
      <w:r w:rsidRPr="00843982">
        <w:rPr>
          <w:rFonts w:cs="Arial"/>
          <w:highlight w:val="yellow"/>
        </w:rPr>
        <w:t xml:space="preserve"> </w:t>
      </w:r>
      <w:r w:rsidR="00F40485" w:rsidRPr="00843982">
        <w:rPr>
          <w:rFonts w:cs="Arial"/>
          <w:highlight w:val="yellow"/>
        </w:rPr>
        <w:t>(</w:t>
      </w:r>
      <w:r w:rsidRPr="00843982">
        <w:rPr>
          <w:rFonts w:cs="Arial"/>
          <w:highlight w:val="yellow"/>
        </w:rPr>
        <w:t>NDP</w:t>
      </w:r>
      <w:r w:rsidR="00F40485" w:rsidRPr="00843982">
        <w:rPr>
          <w:rFonts w:cs="Arial"/>
          <w:highlight w:val="yellow"/>
        </w:rPr>
        <w:t>,</w:t>
      </w:r>
      <w:r w:rsidRPr="00843982">
        <w:rPr>
          <w:rFonts w:cs="Arial"/>
          <w:highlight w:val="yellow"/>
        </w:rPr>
        <w:t xml:space="preserve"> 2013</w:t>
      </w:r>
      <w:r w:rsidR="00F40485" w:rsidRPr="00843982">
        <w:rPr>
          <w:rFonts w:cs="Arial"/>
          <w:highlight w:val="yellow"/>
        </w:rPr>
        <w:t>,</w:t>
      </w:r>
      <w:r w:rsidRPr="00843982">
        <w:rPr>
          <w:rFonts w:cs="Arial"/>
          <w:highlight w:val="yellow"/>
        </w:rPr>
        <w:t xml:space="preserve"> p 289</w:t>
      </w:r>
      <w:r w:rsidR="00F40485" w:rsidRPr="00843982">
        <w:rPr>
          <w:rFonts w:cs="Arial"/>
          <w:highlight w:val="yellow"/>
        </w:rPr>
        <w:t>).</w:t>
      </w:r>
    </w:p>
    <w:p w14:paraId="798FB4F7" w14:textId="772DB642" w:rsidR="00EE4B47" w:rsidRPr="008E15A0" w:rsidRDefault="00EE4B47" w:rsidP="00250EA9">
      <w:pPr>
        <w:spacing w:line="360" w:lineRule="auto"/>
        <w:rPr>
          <w:rFonts w:cs="Arial"/>
          <w:szCs w:val="22"/>
        </w:rPr>
      </w:pPr>
      <w:r w:rsidRPr="00843982">
        <w:rPr>
          <w:rFonts w:cs="Arial"/>
          <w:szCs w:val="22"/>
          <w:highlight w:val="yellow"/>
        </w:rPr>
        <w:t>I</w:t>
      </w:r>
      <w:r w:rsidR="00F40485" w:rsidRPr="00843982">
        <w:rPr>
          <w:rFonts w:cs="Arial"/>
          <w:szCs w:val="22"/>
          <w:highlight w:val="yellow"/>
        </w:rPr>
        <w:t>t</w:t>
      </w:r>
      <w:r w:rsidRPr="00843982">
        <w:rPr>
          <w:rFonts w:cs="Arial"/>
          <w:szCs w:val="22"/>
          <w:highlight w:val="yellow"/>
        </w:rPr>
        <w:t xml:space="preserve"> therefore appears that public and NGO delivered and managed rental housing is unlikely to be a significant instrument for housing consolidation in settlement upgrading projects in SA.</w:t>
      </w:r>
    </w:p>
    <w:p w14:paraId="191E580D" w14:textId="77777777" w:rsidR="00EE4B47" w:rsidRPr="005D358F" w:rsidRDefault="00EE4B47" w:rsidP="00A00A0A">
      <w:pPr>
        <w:pStyle w:val="Heading3"/>
      </w:pPr>
      <w:bookmarkStart w:id="267" w:name="_Toc262067871"/>
      <w:bookmarkStart w:id="268" w:name="_Toc262068197"/>
      <w:r>
        <w:t>Private Rental Enhancement</w:t>
      </w:r>
      <w:bookmarkEnd w:id="267"/>
      <w:bookmarkEnd w:id="268"/>
    </w:p>
    <w:p w14:paraId="3C24A8FD" w14:textId="2FB5EED9" w:rsidR="00EE4B47" w:rsidRDefault="00EE4B47" w:rsidP="00250EA9">
      <w:pPr>
        <w:spacing w:after="0" w:line="360" w:lineRule="auto"/>
        <w:rPr>
          <w:rFonts w:cs="Arial"/>
          <w:szCs w:val="22"/>
        </w:rPr>
      </w:pPr>
      <w:r>
        <w:rPr>
          <w:rFonts w:cs="Arial"/>
          <w:szCs w:val="22"/>
        </w:rPr>
        <w:t xml:space="preserve">There is wide acknowledgement of the critical role that backyard rental plays in lower income areas, with respect to the provision of affordable, basic accommodation, often with access to </w:t>
      </w:r>
      <w:r>
        <w:rPr>
          <w:rFonts w:cs="Arial"/>
          <w:szCs w:val="22"/>
        </w:rPr>
        <w:lastRenderedPageBreak/>
        <w:t xml:space="preserve">relatively secure tenure and basic services (Gardner and Rubin, 2013, SALGA, 2014).   Backyard rental also plays a key role in income generation amongst low-income communities, including informal settlements, and provides an important step in the accommodation ladder between informal settlement shacks and formal, </w:t>
      </w:r>
      <w:r w:rsidR="00E01C9B">
        <w:rPr>
          <w:rFonts w:cs="Arial"/>
          <w:szCs w:val="22"/>
        </w:rPr>
        <w:t>subsidized</w:t>
      </w:r>
      <w:r>
        <w:rPr>
          <w:rFonts w:cs="Arial"/>
          <w:szCs w:val="22"/>
        </w:rPr>
        <w:t xml:space="preserve"> housing units.  </w:t>
      </w:r>
    </w:p>
    <w:p w14:paraId="7697A1C6" w14:textId="77777777" w:rsidR="00F40485" w:rsidRDefault="00F40485" w:rsidP="00250EA9">
      <w:pPr>
        <w:spacing w:after="0" w:line="360" w:lineRule="auto"/>
        <w:rPr>
          <w:rFonts w:cs="Arial"/>
          <w:szCs w:val="22"/>
        </w:rPr>
      </w:pPr>
    </w:p>
    <w:p w14:paraId="6573C993" w14:textId="05B6CC14" w:rsidR="00EE4B47" w:rsidRDefault="00EE4B47" w:rsidP="00250EA9">
      <w:pPr>
        <w:spacing w:after="0" w:line="360" w:lineRule="auto"/>
        <w:rPr>
          <w:rFonts w:cs="Arial"/>
          <w:szCs w:val="22"/>
        </w:rPr>
      </w:pPr>
      <w:r>
        <w:rPr>
          <w:rFonts w:cs="Arial"/>
          <w:szCs w:val="22"/>
        </w:rPr>
        <w:t xml:space="preserve">Mechanisms through which informal rental stock may be retained and enhanced, or even </w:t>
      </w:r>
      <w:r w:rsidR="00F40485">
        <w:rPr>
          <w:rFonts w:cs="Arial"/>
          <w:szCs w:val="22"/>
        </w:rPr>
        <w:t>e</w:t>
      </w:r>
      <w:r>
        <w:rPr>
          <w:rFonts w:cs="Arial"/>
          <w:szCs w:val="22"/>
        </w:rPr>
        <w:t xml:space="preserve">ncouraged post completion through the UISP process must be considered.  It must also be </w:t>
      </w:r>
      <w:r w:rsidR="008B47BF">
        <w:rPr>
          <w:rFonts w:cs="Arial"/>
          <w:szCs w:val="22"/>
        </w:rPr>
        <w:t>recogniz</w:t>
      </w:r>
      <w:r>
        <w:rPr>
          <w:rFonts w:cs="Arial"/>
          <w:szCs w:val="22"/>
        </w:rPr>
        <w:t>ed that a large proportion of all construction activity in newly upgraded areas is likely to be focused on the production of secondary accommodation, either for housing separate ho</w:t>
      </w:r>
      <w:r w:rsidR="00F40485">
        <w:rPr>
          <w:rFonts w:cs="Arial"/>
          <w:szCs w:val="22"/>
        </w:rPr>
        <w:t>u</w:t>
      </w:r>
      <w:r>
        <w:rPr>
          <w:rFonts w:cs="Arial"/>
          <w:szCs w:val="22"/>
        </w:rPr>
        <w:t xml:space="preserve">seholds or for rental spaces. </w:t>
      </w:r>
    </w:p>
    <w:p w14:paraId="303FD9C3" w14:textId="77777777" w:rsidR="00F40485" w:rsidRDefault="00F40485" w:rsidP="00250EA9">
      <w:pPr>
        <w:spacing w:after="0" w:line="360" w:lineRule="auto"/>
        <w:ind w:left="488"/>
        <w:rPr>
          <w:rFonts w:cs="Arial"/>
          <w:szCs w:val="22"/>
        </w:rPr>
      </w:pPr>
    </w:p>
    <w:p w14:paraId="2608FA2D" w14:textId="77777777" w:rsidR="00EE4B47" w:rsidRDefault="00EE4B47" w:rsidP="00250EA9">
      <w:pPr>
        <w:spacing w:after="0" w:line="360" w:lineRule="auto"/>
        <w:rPr>
          <w:rFonts w:cs="Arial"/>
          <w:szCs w:val="22"/>
        </w:rPr>
      </w:pPr>
      <w:r>
        <w:rPr>
          <w:rFonts w:cs="Arial"/>
          <w:szCs w:val="22"/>
        </w:rPr>
        <w:t xml:space="preserve">A critical consideration here is the extent to which resources invested in primary structures may be reused or recycled into secondary structures, where these are to be replaced in terms of UISP requirements with Phase 4 housing.  </w:t>
      </w:r>
    </w:p>
    <w:p w14:paraId="417247CB" w14:textId="50BFDB41" w:rsidR="00EE4B47" w:rsidRDefault="00EE4B47" w:rsidP="00F40485">
      <w:pPr>
        <w:spacing w:line="360" w:lineRule="auto"/>
        <w:rPr>
          <w:rFonts w:cs="Arial"/>
          <w:szCs w:val="22"/>
        </w:rPr>
      </w:pPr>
      <w:r w:rsidRPr="005D358F">
        <w:rPr>
          <w:rFonts w:cs="Arial"/>
          <w:szCs w:val="22"/>
        </w:rPr>
        <w:t xml:space="preserve">Currently, </w:t>
      </w:r>
      <w:r>
        <w:rPr>
          <w:rFonts w:cs="Arial"/>
          <w:szCs w:val="22"/>
        </w:rPr>
        <w:t>only one provincial subsidy instrument exists that attempts to enhance the quality of private rental accommodation in low-income areas</w:t>
      </w:r>
      <w:r>
        <w:rPr>
          <w:rStyle w:val="FootnoteReference"/>
          <w:rFonts w:eastAsia="Calibri"/>
          <w:szCs w:val="22"/>
        </w:rPr>
        <w:footnoteReference w:id="15"/>
      </w:r>
      <w:r>
        <w:rPr>
          <w:rFonts w:cs="Arial"/>
          <w:szCs w:val="22"/>
        </w:rPr>
        <w:t>. However, this instrument has some key flaws that are unlikely to make it useful in UISP contexts. However, w</w:t>
      </w:r>
      <w:r w:rsidRPr="005D358F">
        <w:rPr>
          <w:rFonts w:cs="Arial"/>
          <w:szCs w:val="22"/>
        </w:rPr>
        <w:t xml:space="preserve">ork is under way </w:t>
      </w:r>
      <w:r>
        <w:rPr>
          <w:rFonts w:cs="Arial"/>
          <w:szCs w:val="22"/>
        </w:rPr>
        <w:t xml:space="preserve">by the Department of Human Settlements and SALGA </w:t>
      </w:r>
      <w:r w:rsidRPr="005D358F">
        <w:rPr>
          <w:rFonts w:cs="Arial"/>
          <w:szCs w:val="22"/>
        </w:rPr>
        <w:t>to determine if or how assistance could be granted to households to provide decent quality backyard rental units.</w:t>
      </w:r>
      <w:r>
        <w:rPr>
          <w:rFonts w:cs="Arial"/>
          <w:szCs w:val="22"/>
        </w:rPr>
        <w:t xml:space="preserve"> While there is no formal proposal as yet, the emerging thought is to assist with the provision of the basic service parameters required to ensure that secondary accommodation units are able to access acceptable levels of basic services. This would in all likelihood require a contribution to water, sewer and electrical connections to secondary accommodation units, and the linking of the tenants to Free Basic Service allowances.</w:t>
      </w:r>
    </w:p>
    <w:p w14:paraId="58392078" w14:textId="38D3072D" w:rsidR="00EE4B47" w:rsidRDefault="00EE4B47" w:rsidP="00540DD7">
      <w:pPr>
        <w:pStyle w:val="Heading2"/>
      </w:pPr>
      <w:bookmarkStart w:id="269" w:name="_Toc262067872"/>
      <w:bookmarkStart w:id="270" w:name="_Toc270946045"/>
      <w:r w:rsidRPr="000C5F13">
        <w:t>Synthesis</w:t>
      </w:r>
      <w:r>
        <w:t xml:space="preserve">: The </w:t>
      </w:r>
      <w:r w:rsidR="00E01C9B">
        <w:t>Subsidized</w:t>
      </w:r>
      <w:r>
        <w:t xml:space="preserve"> Top Structure D</w:t>
      </w:r>
      <w:r w:rsidRPr="000C5F13">
        <w:t xml:space="preserve">ominant </w:t>
      </w:r>
      <w:r>
        <w:t>A</w:t>
      </w:r>
      <w:r w:rsidRPr="000C5F13">
        <w:t>pproach</w:t>
      </w:r>
      <w:bookmarkEnd w:id="269"/>
      <w:bookmarkEnd w:id="270"/>
      <w:r w:rsidRPr="000C5F13">
        <w:t xml:space="preserve"> </w:t>
      </w:r>
    </w:p>
    <w:p w14:paraId="229F80C0" w14:textId="77777777" w:rsidR="00EE4B47" w:rsidRDefault="00EE4B47" w:rsidP="00250EA9">
      <w:pPr>
        <w:spacing w:after="0"/>
      </w:pPr>
    </w:p>
    <w:p w14:paraId="13142985" w14:textId="365D7C4B" w:rsidR="00EE4B47" w:rsidRPr="00843982" w:rsidRDefault="00EE4B47" w:rsidP="00250EA9">
      <w:pPr>
        <w:spacing w:after="0" w:line="360" w:lineRule="auto"/>
        <w:rPr>
          <w:highlight w:val="yellow"/>
        </w:rPr>
      </w:pPr>
      <w:r>
        <w:t xml:space="preserve">In this section we have noted that </w:t>
      </w:r>
      <w:r w:rsidRPr="00843982">
        <w:rPr>
          <w:highlight w:val="yellow"/>
        </w:rPr>
        <w:t xml:space="preserve">the feasibility of selecting the state top subsidy dominant mode of consolidation needs to be carefully examined against a set of four basic preconditions before adopting it as the </w:t>
      </w:r>
      <w:r w:rsidR="00FF6A45" w:rsidRPr="00843982">
        <w:rPr>
          <w:highlight w:val="yellow"/>
        </w:rPr>
        <w:t xml:space="preserve">preferred </w:t>
      </w:r>
      <w:r w:rsidRPr="00843982">
        <w:rPr>
          <w:highlight w:val="yellow"/>
        </w:rPr>
        <w:t>consolidation mode</w:t>
      </w:r>
      <w:r w:rsidR="0005267E" w:rsidRPr="00843982">
        <w:rPr>
          <w:highlight w:val="yellow"/>
        </w:rPr>
        <w:t>.</w:t>
      </w:r>
    </w:p>
    <w:p w14:paraId="5808C738" w14:textId="77777777" w:rsidR="0005267E" w:rsidRPr="00843982" w:rsidRDefault="0005267E" w:rsidP="00250EA9">
      <w:pPr>
        <w:spacing w:after="0" w:line="360" w:lineRule="auto"/>
        <w:rPr>
          <w:highlight w:val="yellow"/>
        </w:rPr>
      </w:pPr>
    </w:p>
    <w:p w14:paraId="07898D64" w14:textId="789B8847" w:rsidR="00EE4B47" w:rsidRPr="00843982" w:rsidRDefault="00EE4B47" w:rsidP="00250EA9">
      <w:pPr>
        <w:spacing w:after="0" w:line="360" w:lineRule="auto"/>
        <w:rPr>
          <w:highlight w:val="yellow"/>
        </w:rPr>
      </w:pPr>
      <w:r w:rsidRPr="00843982">
        <w:rPr>
          <w:highlight w:val="yellow"/>
        </w:rPr>
        <w:lastRenderedPageBreak/>
        <w:t>In those contexts where it is found to be the preferred mode a</w:t>
      </w:r>
      <w:r w:rsidR="00176337" w:rsidRPr="00843982">
        <w:rPr>
          <w:highlight w:val="yellow"/>
        </w:rPr>
        <w:t xml:space="preserve"> choice</w:t>
      </w:r>
      <w:r w:rsidRPr="00843982">
        <w:rPr>
          <w:highlight w:val="yellow"/>
        </w:rPr>
        <w:t xml:space="preserve"> needs to </w:t>
      </w:r>
      <w:r w:rsidR="00176337" w:rsidRPr="00843982">
        <w:rPr>
          <w:highlight w:val="yellow"/>
        </w:rPr>
        <w:t xml:space="preserve">made </w:t>
      </w:r>
      <w:r w:rsidRPr="00843982">
        <w:rPr>
          <w:highlight w:val="yellow"/>
        </w:rPr>
        <w:t>between the three main top structure construction approaches for the assembly of ownership units:</w:t>
      </w:r>
    </w:p>
    <w:p w14:paraId="4301E00A" w14:textId="2F7EACBA" w:rsidR="00EE4B47" w:rsidRPr="00843982" w:rsidRDefault="00EE4B47" w:rsidP="0055634E">
      <w:pPr>
        <w:pStyle w:val="ListParagraph"/>
        <w:numPr>
          <w:ilvl w:val="0"/>
          <w:numId w:val="39"/>
        </w:numPr>
        <w:rPr>
          <w:highlight w:val="yellow"/>
        </w:rPr>
      </w:pPr>
      <w:r w:rsidRPr="00843982">
        <w:rPr>
          <w:highlight w:val="yellow"/>
        </w:rPr>
        <w:t>Municipality – Mainstream Housing Contractor (IRDP Subsidy Programme)</w:t>
      </w:r>
    </w:p>
    <w:p w14:paraId="39FCA7A4" w14:textId="77777777" w:rsidR="00EE4B47" w:rsidRPr="00843982" w:rsidRDefault="00EE4B47" w:rsidP="0055634E">
      <w:pPr>
        <w:pStyle w:val="ListParagraph"/>
        <w:numPr>
          <w:ilvl w:val="0"/>
          <w:numId w:val="39"/>
        </w:numPr>
        <w:rPr>
          <w:highlight w:val="yellow"/>
        </w:rPr>
      </w:pPr>
      <w:r w:rsidRPr="00843982">
        <w:rPr>
          <w:highlight w:val="yellow"/>
        </w:rPr>
        <w:t>CRO/NGO- Local small builders- Community – (EPHP Subsidy Programme)</w:t>
      </w:r>
    </w:p>
    <w:p w14:paraId="2CB80769" w14:textId="157A0DDE" w:rsidR="00EE4B47" w:rsidRPr="00843982" w:rsidRDefault="00EE4B47" w:rsidP="0055634E">
      <w:pPr>
        <w:pStyle w:val="ListParagraph"/>
        <w:numPr>
          <w:ilvl w:val="0"/>
          <w:numId w:val="39"/>
        </w:numPr>
        <w:rPr>
          <w:highlight w:val="yellow"/>
        </w:rPr>
      </w:pPr>
      <w:r w:rsidRPr="00843982">
        <w:rPr>
          <w:highlight w:val="yellow"/>
        </w:rPr>
        <w:t xml:space="preserve">Owner builder </w:t>
      </w:r>
      <w:r w:rsidR="004E304F" w:rsidRPr="00843982">
        <w:rPr>
          <w:highlight w:val="yellow"/>
        </w:rPr>
        <w:t>based approach</w:t>
      </w:r>
      <w:r w:rsidRPr="00843982">
        <w:rPr>
          <w:highlight w:val="yellow"/>
        </w:rPr>
        <w:t xml:space="preserve"> – (Voucher programme currently not available but could be adapted from the IRHVP)</w:t>
      </w:r>
    </w:p>
    <w:p w14:paraId="2B010FE7" w14:textId="2647E068" w:rsidR="00EE4B47" w:rsidRPr="00843982" w:rsidRDefault="00EE4B47" w:rsidP="00250EA9">
      <w:pPr>
        <w:spacing w:after="0" w:line="360" w:lineRule="auto"/>
        <w:rPr>
          <w:highlight w:val="yellow"/>
        </w:rPr>
      </w:pPr>
      <w:r w:rsidRPr="00843982">
        <w:rPr>
          <w:highlight w:val="yellow"/>
        </w:rPr>
        <w:t xml:space="preserve">The selection between these three systems for delivering </w:t>
      </w:r>
      <w:r w:rsidR="00E01C9B" w:rsidRPr="00843982">
        <w:rPr>
          <w:highlight w:val="yellow"/>
        </w:rPr>
        <w:t>subsidized</w:t>
      </w:r>
      <w:r w:rsidRPr="00843982">
        <w:rPr>
          <w:highlight w:val="yellow"/>
        </w:rPr>
        <w:t xml:space="preserve"> top structures is very context specific and a </w:t>
      </w:r>
      <w:r w:rsidR="000056C2" w:rsidRPr="00843982">
        <w:rPr>
          <w:highlight w:val="yellow"/>
        </w:rPr>
        <w:t>case-by-case</w:t>
      </w:r>
      <w:r w:rsidRPr="00843982">
        <w:rPr>
          <w:highlight w:val="yellow"/>
        </w:rPr>
        <w:t xml:space="preserve"> assessment should be made based </w:t>
      </w:r>
      <w:r w:rsidR="00176337" w:rsidRPr="00843982">
        <w:rPr>
          <w:highlight w:val="yellow"/>
        </w:rPr>
        <w:t xml:space="preserve">on the </w:t>
      </w:r>
      <w:r w:rsidRPr="00843982">
        <w:rPr>
          <w:highlight w:val="yellow"/>
        </w:rPr>
        <w:t>five</w:t>
      </w:r>
      <w:r w:rsidR="00176337" w:rsidRPr="00843982">
        <w:rPr>
          <w:highlight w:val="yellow"/>
        </w:rPr>
        <w:t xml:space="preserve"> criteria listed below</w:t>
      </w:r>
      <w:r w:rsidRPr="00843982">
        <w:rPr>
          <w:highlight w:val="yellow"/>
        </w:rPr>
        <w:t>:</w:t>
      </w:r>
    </w:p>
    <w:p w14:paraId="62CBD2B4" w14:textId="77777777" w:rsidR="00EE4B47" w:rsidRPr="00843982" w:rsidRDefault="00EE4B47" w:rsidP="0055634E">
      <w:pPr>
        <w:pStyle w:val="ListParagraph"/>
        <w:numPr>
          <w:ilvl w:val="0"/>
          <w:numId w:val="40"/>
        </w:numPr>
        <w:ind w:left="720"/>
        <w:rPr>
          <w:rFonts w:cs="Arial"/>
          <w:highlight w:val="yellow"/>
        </w:rPr>
      </w:pPr>
      <w:r w:rsidRPr="00843982">
        <w:rPr>
          <w:rFonts w:cs="Arial"/>
          <w:highlight w:val="yellow"/>
        </w:rPr>
        <w:t xml:space="preserve">Programme Fit: Will the project be able to meet the procedural and technical requirements specified in the funding programmes? </w:t>
      </w:r>
    </w:p>
    <w:p w14:paraId="405F2FAA" w14:textId="6B263749" w:rsidR="00EE4B47" w:rsidRPr="00843982" w:rsidRDefault="00EE4B47" w:rsidP="0055634E">
      <w:pPr>
        <w:pStyle w:val="ListParagraph"/>
        <w:numPr>
          <w:ilvl w:val="0"/>
          <w:numId w:val="40"/>
        </w:numPr>
        <w:ind w:left="720"/>
        <w:rPr>
          <w:rFonts w:cs="Arial"/>
          <w:highlight w:val="yellow"/>
        </w:rPr>
      </w:pPr>
      <w:r w:rsidRPr="00843982">
        <w:rPr>
          <w:rFonts w:cs="Arial"/>
          <w:highlight w:val="yellow"/>
        </w:rPr>
        <w:t xml:space="preserve">Institutional Requirements: </w:t>
      </w:r>
      <w:r w:rsidR="00176337" w:rsidRPr="00843982">
        <w:rPr>
          <w:rFonts w:cs="Arial"/>
          <w:highlight w:val="yellow"/>
        </w:rPr>
        <w:t>is there sufficient institutional capacity and resource to deal with the complexities of such programmes and approaches?</w:t>
      </w:r>
    </w:p>
    <w:p w14:paraId="1EB4524B" w14:textId="53C40228" w:rsidR="00EE4B47" w:rsidRPr="00843982" w:rsidRDefault="00176337" w:rsidP="0055634E">
      <w:pPr>
        <w:pStyle w:val="ListParagraph"/>
        <w:numPr>
          <w:ilvl w:val="0"/>
          <w:numId w:val="40"/>
        </w:numPr>
        <w:ind w:left="720"/>
        <w:rPr>
          <w:rFonts w:cs="Arial"/>
          <w:highlight w:val="yellow"/>
        </w:rPr>
      </w:pPr>
      <w:r w:rsidRPr="00843982">
        <w:rPr>
          <w:rFonts w:cs="Arial"/>
          <w:highlight w:val="yellow"/>
        </w:rPr>
        <w:t>Is the u</w:t>
      </w:r>
      <w:r w:rsidR="00EE4B47" w:rsidRPr="00843982">
        <w:rPr>
          <w:rFonts w:cs="Arial"/>
          <w:highlight w:val="yellow"/>
        </w:rPr>
        <w:t>tilisation of prior private housing investment and the incorporation of private sources of funding into the dwelling</w:t>
      </w:r>
      <w:r w:rsidRPr="00843982">
        <w:rPr>
          <w:rFonts w:cs="Arial"/>
          <w:highlight w:val="yellow"/>
        </w:rPr>
        <w:t xml:space="preserve"> possible and to what extent?</w:t>
      </w:r>
      <w:r w:rsidR="00EE4B47" w:rsidRPr="00843982">
        <w:rPr>
          <w:rFonts w:cs="Arial"/>
          <w:highlight w:val="yellow"/>
        </w:rPr>
        <w:t xml:space="preserve"> </w:t>
      </w:r>
    </w:p>
    <w:p w14:paraId="06C5D04E" w14:textId="3551D8F6" w:rsidR="00EE4B47" w:rsidRPr="00843982" w:rsidRDefault="00176337" w:rsidP="0055634E">
      <w:pPr>
        <w:pStyle w:val="ListParagraph"/>
        <w:numPr>
          <w:ilvl w:val="0"/>
          <w:numId w:val="40"/>
        </w:numPr>
        <w:ind w:left="720"/>
        <w:rPr>
          <w:rFonts w:cs="Arial"/>
          <w:highlight w:val="yellow"/>
        </w:rPr>
      </w:pPr>
      <w:r w:rsidRPr="00843982">
        <w:rPr>
          <w:rFonts w:cs="Arial"/>
          <w:highlight w:val="yellow"/>
        </w:rPr>
        <w:t>Are there relevant and significant s</w:t>
      </w:r>
      <w:r w:rsidR="00EE4B47" w:rsidRPr="00843982">
        <w:rPr>
          <w:rFonts w:cs="Arial"/>
          <w:highlight w:val="yellow"/>
        </w:rPr>
        <w:t>ynergies with the house consolidation activities of non-subsidy qualifying household within the settlement</w:t>
      </w:r>
      <w:r w:rsidRPr="00843982">
        <w:rPr>
          <w:rFonts w:cs="Arial"/>
          <w:highlight w:val="yellow"/>
        </w:rPr>
        <w:t>?</w:t>
      </w:r>
    </w:p>
    <w:p w14:paraId="6DD4F7A1" w14:textId="4CEC6E3D" w:rsidR="00EE4B47" w:rsidRPr="00843982" w:rsidRDefault="00176337" w:rsidP="0055634E">
      <w:pPr>
        <w:pStyle w:val="ListParagraph"/>
        <w:numPr>
          <w:ilvl w:val="0"/>
          <w:numId w:val="40"/>
        </w:numPr>
        <w:ind w:left="720"/>
        <w:rPr>
          <w:highlight w:val="yellow"/>
        </w:rPr>
      </w:pPr>
      <w:r w:rsidRPr="00843982">
        <w:rPr>
          <w:rFonts w:cs="Arial"/>
          <w:highlight w:val="yellow"/>
        </w:rPr>
        <w:t>What is the potential c</w:t>
      </w:r>
      <w:r w:rsidR="00EE4B47" w:rsidRPr="00843982">
        <w:rPr>
          <w:rFonts w:cs="Arial"/>
          <w:highlight w:val="yellow"/>
        </w:rPr>
        <w:t xml:space="preserve">ontribution </w:t>
      </w:r>
      <w:r w:rsidRPr="00843982">
        <w:rPr>
          <w:rFonts w:cs="Arial"/>
          <w:highlight w:val="yellow"/>
        </w:rPr>
        <w:t xml:space="preserve">of such an approach </w:t>
      </w:r>
      <w:r w:rsidR="00EE4B47" w:rsidRPr="00843982">
        <w:rPr>
          <w:rFonts w:cs="Arial"/>
          <w:highlight w:val="yellow"/>
        </w:rPr>
        <w:t>to the development of a sustainable local construction capacity</w:t>
      </w:r>
      <w:r w:rsidRPr="00843982">
        <w:rPr>
          <w:rFonts w:cs="Arial"/>
          <w:highlight w:val="yellow"/>
        </w:rPr>
        <w:t>?</w:t>
      </w:r>
      <w:r w:rsidR="00EE4B47" w:rsidRPr="00843982">
        <w:rPr>
          <w:rFonts w:cs="Arial"/>
          <w:highlight w:val="yellow"/>
        </w:rPr>
        <w:t xml:space="preserve"> </w:t>
      </w:r>
    </w:p>
    <w:p w14:paraId="1E2CDDA4" w14:textId="77777777" w:rsidR="00EE4B47" w:rsidRPr="00843982" w:rsidRDefault="00EE4B47" w:rsidP="00250EA9">
      <w:pPr>
        <w:spacing w:after="0" w:line="360" w:lineRule="auto"/>
        <w:rPr>
          <w:highlight w:val="yellow"/>
        </w:rPr>
      </w:pPr>
      <w:r w:rsidRPr="00843982">
        <w:rPr>
          <w:highlight w:val="yellow"/>
        </w:rPr>
        <w:t xml:space="preserve">The </w:t>
      </w:r>
      <w:r w:rsidRPr="00843982">
        <w:rPr>
          <w:b/>
          <w:highlight w:val="yellow"/>
        </w:rPr>
        <w:t xml:space="preserve">Developer/Mainstream Contractor </w:t>
      </w:r>
      <w:r w:rsidRPr="00843982">
        <w:rPr>
          <w:highlight w:val="yellow"/>
        </w:rPr>
        <w:t>approach (IRDP) was found to have applicability in those (rare) contexts where:</w:t>
      </w:r>
    </w:p>
    <w:p w14:paraId="3A3FA3B0" w14:textId="254DFB0B" w:rsidR="00EE4B47" w:rsidRPr="00843982" w:rsidRDefault="00EE4B47" w:rsidP="0055634E">
      <w:pPr>
        <w:pStyle w:val="ListParagraph"/>
        <w:numPr>
          <w:ilvl w:val="0"/>
          <w:numId w:val="41"/>
        </w:numPr>
        <w:rPr>
          <w:highlight w:val="yellow"/>
        </w:rPr>
      </w:pPr>
      <w:r w:rsidRPr="00843982">
        <w:rPr>
          <w:highlight w:val="yellow"/>
        </w:rPr>
        <w:t xml:space="preserve">The ISU project is able to proceed into the </w:t>
      </w:r>
      <w:r w:rsidR="00E01C9B" w:rsidRPr="00843982">
        <w:rPr>
          <w:highlight w:val="yellow"/>
        </w:rPr>
        <w:t>subsidized</w:t>
      </w:r>
      <w:r w:rsidRPr="00843982">
        <w:rPr>
          <w:highlight w:val="yellow"/>
        </w:rPr>
        <w:t xml:space="preserve"> top structure phase in the short term.</w:t>
      </w:r>
    </w:p>
    <w:p w14:paraId="367758E0" w14:textId="77777777" w:rsidR="00EE4B47" w:rsidRPr="00843982" w:rsidRDefault="00EE4B47" w:rsidP="0055634E">
      <w:pPr>
        <w:pStyle w:val="ListParagraph"/>
        <w:numPr>
          <w:ilvl w:val="0"/>
          <w:numId w:val="41"/>
        </w:numPr>
        <w:rPr>
          <w:highlight w:val="yellow"/>
        </w:rPr>
      </w:pPr>
      <w:r w:rsidRPr="00843982">
        <w:rPr>
          <w:highlight w:val="yellow"/>
        </w:rPr>
        <w:t>Almost all households in the settlement are eligible for a top structure subsidy</w:t>
      </w:r>
    </w:p>
    <w:p w14:paraId="1B995D39" w14:textId="37080299" w:rsidR="00EE4B47" w:rsidRPr="00843982" w:rsidRDefault="00EE4B47" w:rsidP="0055634E">
      <w:pPr>
        <w:pStyle w:val="ListParagraph"/>
        <w:numPr>
          <w:ilvl w:val="0"/>
          <w:numId w:val="41"/>
        </w:numPr>
        <w:rPr>
          <w:highlight w:val="yellow"/>
        </w:rPr>
      </w:pPr>
      <w:r w:rsidRPr="00843982">
        <w:rPr>
          <w:highlight w:val="yellow"/>
        </w:rPr>
        <w:t xml:space="preserve">The investment in the existing housing stock is not worth preserving and can be demolished without destroying value or, in those low density contexts where second </w:t>
      </w:r>
      <w:r w:rsidR="00E01C9B" w:rsidRPr="00843982">
        <w:rPr>
          <w:highlight w:val="yellow"/>
        </w:rPr>
        <w:t>subsidized</w:t>
      </w:r>
      <w:r w:rsidRPr="00843982">
        <w:rPr>
          <w:highlight w:val="yellow"/>
        </w:rPr>
        <w:t xml:space="preserve"> RDP dwelling can be accommodated on the site without demolishing original unit.</w:t>
      </w:r>
    </w:p>
    <w:p w14:paraId="659A10FF" w14:textId="495872A9" w:rsidR="00EE4B47" w:rsidRPr="00843982" w:rsidRDefault="00EE4B47" w:rsidP="0055634E">
      <w:pPr>
        <w:pStyle w:val="ListParagraph"/>
        <w:numPr>
          <w:ilvl w:val="0"/>
          <w:numId w:val="41"/>
        </w:numPr>
        <w:rPr>
          <w:highlight w:val="yellow"/>
        </w:rPr>
      </w:pPr>
      <w:r w:rsidRPr="00843982">
        <w:rPr>
          <w:highlight w:val="yellow"/>
        </w:rPr>
        <w:t xml:space="preserve">A few contractors built house types will be appropriate </w:t>
      </w:r>
      <w:r w:rsidR="00176337" w:rsidRPr="00843982">
        <w:rPr>
          <w:highlight w:val="yellow"/>
        </w:rPr>
        <w:t xml:space="preserve">for </w:t>
      </w:r>
      <w:r w:rsidRPr="00843982">
        <w:rPr>
          <w:highlight w:val="yellow"/>
        </w:rPr>
        <w:t>all community needs.</w:t>
      </w:r>
    </w:p>
    <w:p w14:paraId="628AF6CD" w14:textId="77777777" w:rsidR="00EE4B47" w:rsidRPr="00843982" w:rsidRDefault="00EE4B47" w:rsidP="0055634E">
      <w:pPr>
        <w:pStyle w:val="ListParagraph"/>
        <w:numPr>
          <w:ilvl w:val="0"/>
          <w:numId w:val="41"/>
        </w:numPr>
        <w:rPr>
          <w:highlight w:val="yellow"/>
        </w:rPr>
      </w:pPr>
      <w:r w:rsidRPr="00843982">
        <w:rPr>
          <w:highlight w:val="yellow"/>
        </w:rPr>
        <w:t>Complex processes of household movement and house construction are not anticipated/ or municipality or its implementing agent has proven capacity to manage this process.</w:t>
      </w:r>
    </w:p>
    <w:p w14:paraId="082B1375" w14:textId="77777777" w:rsidR="00EE4B47" w:rsidRPr="00843982" w:rsidRDefault="00EE4B47" w:rsidP="0055634E">
      <w:pPr>
        <w:pStyle w:val="ListParagraph"/>
        <w:numPr>
          <w:ilvl w:val="0"/>
          <w:numId w:val="41"/>
        </w:numPr>
        <w:rPr>
          <w:highlight w:val="yellow"/>
        </w:rPr>
      </w:pPr>
      <w:r w:rsidRPr="00843982">
        <w:rPr>
          <w:highlight w:val="yellow"/>
        </w:rPr>
        <w:lastRenderedPageBreak/>
        <w:t xml:space="preserve">Local construction sector weak and what limited capacity exists will be used by main top structure contractor </w:t>
      </w:r>
    </w:p>
    <w:p w14:paraId="77962214" w14:textId="77777777" w:rsidR="00EE4B47" w:rsidRPr="00843982" w:rsidRDefault="00EE4B47" w:rsidP="0055634E">
      <w:pPr>
        <w:pStyle w:val="ListParagraph"/>
        <w:numPr>
          <w:ilvl w:val="0"/>
          <w:numId w:val="41"/>
        </w:numPr>
        <w:rPr>
          <w:highlight w:val="yellow"/>
        </w:rPr>
      </w:pPr>
      <w:r w:rsidRPr="00843982">
        <w:rPr>
          <w:highlight w:val="yellow"/>
        </w:rPr>
        <w:t>It is not necessary to build the construction sector capacity for ongoing improvements and extensions within the settlement</w:t>
      </w:r>
    </w:p>
    <w:p w14:paraId="55A64A68" w14:textId="77777777" w:rsidR="00EE4B47" w:rsidRPr="00843982" w:rsidRDefault="00EE4B47" w:rsidP="0055634E">
      <w:pPr>
        <w:pStyle w:val="ListParagraph"/>
        <w:numPr>
          <w:ilvl w:val="0"/>
          <w:numId w:val="41"/>
        </w:numPr>
        <w:rPr>
          <w:b/>
          <w:highlight w:val="yellow"/>
        </w:rPr>
      </w:pPr>
      <w:r w:rsidRPr="00843982">
        <w:rPr>
          <w:highlight w:val="yellow"/>
        </w:rPr>
        <w:t>Local financial instruments for funding ongoing consolidation do not need to be built/facilitated.</w:t>
      </w:r>
    </w:p>
    <w:p w14:paraId="67815C42" w14:textId="77777777" w:rsidR="00EE4B47" w:rsidRPr="00843982" w:rsidRDefault="00EE4B47" w:rsidP="00250EA9">
      <w:pPr>
        <w:spacing w:after="0" w:line="360" w:lineRule="auto"/>
        <w:rPr>
          <w:highlight w:val="yellow"/>
        </w:rPr>
      </w:pPr>
      <w:r w:rsidRPr="00843982">
        <w:rPr>
          <w:b/>
          <w:highlight w:val="yellow"/>
        </w:rPr>
        <w:t xml:space="preserve">The Owner Builder </w:t>
      </w:r>
      <w:r w:rsidRPr="00843982">
        <w:rPr>
          <w:highlight w:val="yellow"/>
        </w:rPr>
        <w:t>approach</w:t>
      </w:r>
      <w:r w:rsidRPr="00843982">
        <w:rPr>
          <w:b/>
          <w:highlight w:val="yellow"/>
        </w:rPr>
        <w:t>,</w:t>
      </w:r>
      <w:r w:rsidRPr="00843982">
        <w:rPr>
          <w:highlight w:val="yellow"/>
        </w:rPr>
        <w:t xml:space="preserve"> using small contractors and artisans (voucher mode) was found to have potential applicability in those contexts where:</w:t>
      </w:r>
    </w:p>
    <w:p w14:paraId="68BD4011" w14:textId="77777777" w:rsidR="00EE4B47" w:rsidRPr="00843982" w:rsidRDefault="00EE4B47" w:rsidP="0055634E">
      <w:pPr>
        <w:pStyle w:val="ListParagraph"/>
        <w:numPr>
          <w:ilvl w:val="0"/>
          <w:numId w:val="42"/>
        </w:numPr>
        <w:rPr>
          <w:highlight w:val="yellow"/>
        </w:rPr>
      </w:pPr>
      <w:r w:rsidRPr="00843982">
        <w:rPr>
          <w:highlight w:val="yellow"/>
        </w:rPr>
        <w:t>Owner builders in target group have the capacity to manage the house building process.</w:t>
      </w:r>
    </w:p>
    <w:p w14:paraId="3F4FC230" w14:textId="77777777" w:rsidR="00EE4B47" w:rsidRPr="00843982" w:rsidRDefault="00EE4B47" w:rsidP="0055634E">
      <w:pPr>
        <w:pStyle w:val="ListParagraph"/>
        <w:numPr>
          <w:ilvl w:val="0"/>
          <w:numId w:val="42"/>
        </w:numPr>
        <w:rPr>
          <w:highlight w:val="yellow"/>
        </w:rPr>
      </w:pPr>
      <w:r w:rsidRPr="00843982">
        <w:rPr>
          <w:highlight w:val="yellow"/>
        </w:rPr>
        <w:t xml:space="preserve">Housing solutions suited to the context are common and local construction industry capacity to produce solutions is evident. </w:t>
      </w:r>
    </w:p>
    <w:p w14:paraId="71D9887F" w14:textId="77777777" w:rsidR="00EE4B47" w:rsidRPr="00843982" w:rsidRDefault="00EE4B47" w:rsidP="0055634E">
      <w:pPr>
        <w:pStyle w:val="ListParagraph"/>
        <w:numPr>
          <w:ilvl w:val="0"/>
          <w:numId w:val="42"/>
        </w:numPr>
        <w:rPr>
          <w:highlight w:val="yellow"/>
        </w:rPr>
      </w:pPr>
      <w:r w:rsidRPr="00843982">
        <w:rPr>
          <w:highlight w:val="yellow"/>
        </w:rPr>
        <w:t>Existing investment in housing stock needs to be preserved and integrated into the housing solutions.</w:t>
      </w:r>
    </w:p>
    <w:p w14:paraId="415660E7" w14:textId="77777777" w:rsidR="00EE4B47" w:rsidRPr="00843982" w:rsidRDefault="00EE4B47" w:rsidP="0055634E">
      <w:pPr>
        <w:pStyle w:val="ListParagraph"/>
        <w:numPr>
          <w:ilvl w:val="0"/>
          <w:numId w:val="42"/>
        </w:numPr>
        <w:rPr>
          <w:highlight w:val="yellow"/>
        </w:rPr>
      </w:pPr>
      <w:r w:rsidRPr="00843982">
        <w:rPr>
          <w:highlight w:val="yellow"/>
        </w:rPr>
        <w:t>Households have already invested substantially in their units and a second separate dwelling is not feasible.</w:t>
      </w:r>
    </w:p>
    <w:p w14:paraId="29D065FF" w14:textId="77777777" w:rsidR="00EE4B47" w:rsidRPr="00843982" w:rsidRDefault="00EE4B47" w:rsidP="0055634E">
      <w:pPr>
        <w:pStyle w:val="ListParagraph"/>
        <w:numPr>
          <w:ilvl w:val="0"/>
          <w:numId w:val="42"/>
        </w:numPr>
        <w:rPr>
          <w:highlight w:val="yellow"/>
        </w:rPr>
      </w:pPr>
      <w:r w:rsidRPr="00843982">
        <w:rPr>
          <w:highlight w:val="yellow"/>
        </w:rPr>
        <w:t>Households qualifying for subsidies are interspersed with non-qualifying households.</w:t>
      </w:r>
    </w:p>
    <w:p w14:paraId="3AE5A694" w14:textId="77777777" w:rsidR="00EE4B47" w:rsidRPr="00843982" w:rsidRDefault="00EE4B47" w:rsidP="0055634E">
      <w:pPr>
        <w:pStyle w:val="ListParagraph"/>
        <w:numPr>
          <w:ilvl w:val="0"/>
          <w:numId w:val="42"/>
        </w:numPr>
        <w:rPr>
          <w:highlight w:val="yellow"/>
        </w:rPr>
      </w:pPr>
      <w:r w:rsidRPr="00843982">
        <w:rPr>
          <w:highlight w:val="yellow"/>
        </w:rPr>
        <w:t>Local financial instruments for funding ongoing consolidation do not need to be built/ facilitated.</w:t>
      </w:r>
    </w:p>
    <w:p w14:paraId="1734456C" w14:textId="7D9B8911" w:rsidR="00EE4B47" w:rsidRPr="00843982" w:rsidRDefault="00EE4B47" w:rsidP="00EE4B47">
      <w:pPr>
        <w:rPr>
          <w:highlight w:val="yellow"/>
        </w:rPr>
      </w:pPr>
      <w:r w:rsidRPr="00843982">
        <w:rPr>
          <w:highlight w:val="yellow"/>
        </w:rPr>
        <w:t xml:space="preserve">The </w:t>
      </w:r>
      <w:r w:rsidRPr="00843982">
        <w:rPr>
          <w:b/>
          <w:highlight w:val="yellow"/>
        </w:rPr>
        <w:t>EPHP CRO Local</w:t>
      </w:r>
      <w:r w:rsidRPr="00843982">
        <w:rPr>
          <w:highlight w:val="yellow"/>
        </w:rPr>
        <w:t xml:space="preserve"> embedding approach was found to be appropriate in contexts where: </w:t>
      </w:r>
    </w:p>
    <w:p w14:paraId="377153D5" w14:textId="4E33FB84" w:rsidR="00EE4B47" w:rsidRPr="00843982" w:rsidRDefault="00EE4B47" w:rsidP="0055634E">
      <w:pPr>
        <w:pStyle w:val="Caption"/>
        <w:numPr>
          <w:ilvl w:val="0"/>
          <w:numId w:val="43"/>
        </w:numPr>
        <w:spacing w:line="360" w:lineRule="auto"/>
        <w:rPr>
          <w:b w:val="0"/>
          <w:highlight w:val="yellow"/>
        </w:rPr>
      </w:pPr>
      <w:r w:rsidRPr="00843982">
        <w:rPr>
          <w:b w:val="0"/>
          <w:highlight w:val="yellow"/>
        </w:rPr>
        <w:t xml:space="preserve">The unsupported owner mode are unsuited to the technical challenges posed by the settlement - density, topography foundation technology </w:t>
      </w:r>
      <w:r w:rsidR="004E304F" w:rsidRPr="00843982">
        <w:rPr>
          <w:b w:val="0"/>
          <w:highlight w:val="yellow"/>
        </w:rPr>
        <w:t>etc.</w:t>
      </w:r>
    </w:p>
    <w:p w14:paraId="11A9D78A" w14:textId="13436A37" w:rsidR="00EE4B47" w:rsidRPr="00843982" w:rsidRDefault="00EE4B47" w:rsidP="0055634E">
      <w:pPr>
        <w:pStyle w:val="Caption"/>
        <w:numPr>
          <w:ilvl w:val="0"/>
          <w:numId w:val="43"/>
        </w:numPr>
        <w:spacing w:line="360" w:lineRule="auto"/>
        <w:rPr>
          <w:b w:val="0"/>
          <w:highlight w:val="yellow"/>
        </w:rPr>
      </w:pPr>
      <w:r w:rsidRPr="00843982">
        <w:rPr>
          <w:b w:val="0"/>
          <w:highlight w:val="yellow"/>
        </w:rPr>
        <w:t xml:space="preserve">Complex group processes of </w:t>
      </w:r>
      <w:r w:rsidR="008B47BF" w:rsidRPr="00843982">
        <w:rPr>
          <w:b w:val="0"/>
          <w:highlight w:val="yellow"/>
        </w:rPr>
        <w:t>organization</w:t>
      </w:r>
      <w:r w:rsidRPr="00843982">
        <w:rPr>
          <w:b w:val="0"/>
          <w:highlight w:val="yellow"/>
        </w:rPr>
        <w:t xml:space="preserve"> and scheduling are required. e.g. multi</w:t>
      </w:r>
      <w:r w:rsidR="00176337" w:rsidRPr="00843982">
        <w:rPr>
          <w:b w:val="0"/>
          <w:highlight w:val="yellow"/>
        </w:rPr>
        <w:t>-</w:t>
      </w:r>
      <w:r w:rsidRPr="00843982">
        <w:rPr>
          <w:b w:val="0"/>
          <w:highlight w:val="yellow"/>
        </w:rPr>
        <w:t xml:space="preserve">storey and party wall situations </w:t>
      </w:r>
    </w:p>
    <w:p w14:paraId="3BBE95B6" w14:textId="77777777" w:rsidR="00EE4B47" w:rsidRPr="00843982" w:rsidRDefault="00EE4B47" w:rsidP="0055634E">
      <w:pPr>
        <w:pStyle w:val="Caption"/>
        <w:numPr>
          <w:ilvl w:val="0"/>
          <w:numId w:val="43"/>
        </w:numPr>
        <w:spacing w:line="360" w:lineRule="auto"/>
        <w:rPr>
          <w:b w:val="0"/>
          <w:highlight w:val="yellow"/>
        </w:rPr>
      </w:pPr>
      <w:r w:rsidRPr="00843982">
        <w:rPr>
          <w:b w:val="0"/>
          <w:highlight w:val="yellow"/>
        </w:rPr>
        <w:t>Multiple designs catering for different household needs are required.</w:t>
      </w:r>
    </w:p>
    <w:p w14:paraId="19823306" w14:textId="77777777" w:rsidR="00EE4B47" w:rsidRPr="00843982" w:rsidRDefault="00EE4B47" w:rsidP="0055634E">
      <w:pPr>
        <w:pStyle w:val="Caption"/>
        <w:numPr>
          <w:ilvl w:val="0"/>
          <w:numId w:val="43"/>
        </w:numPr>
        <w:spacing w:line="360" w:lineRule="auto"/>
        <w:rPr>
          <w:b w:val="0"/>
          <w:highlight w:val="yellow"/>
        </w:rPr>
      </w:pPr>
      <w:r w:rsidRPr="00843982">
        <w:rPr>
          <w:b w:val="0"/>
          <w:highlight w:val="yellow"/>
        </w:rPr>
        <w:t>Different designs and construction modes are needed in order to accommodate existing investment in the housing stock.</w:t>
      </w:r>
    </w:p>
    <w:p w14:paraId="32EC20BB" w14:textId="77777777" w:rsidR="00EE4B47" w:rsidRPr="00843982" w:rsidRDefault="00EE4B47" w:rsidP="0055634E">
      <w:pPr>
        <w:pStyle w:val="Caption"/>
        <w:numPr>
          <w:ilvl w:val="0"/>
          <w:numId w:val="43"/>
        </w:numPr>
        <w:spacing w:line="360" w:lineRule="auto"/>
        <w:rPr>
          <w:b w:val="0"/>
          <w:highlight w:val="yellow"/>
        </w:rPr>
      </w:pPr>
      <w:r w:rsidRPr="00843982">
        <w:rPr>
          <w:b w:val="0"/>
          <w:highlight w:val="yellow"/>
        </w:rPr>
        <w:t xml:space="preserve">The capacity of the local construction market needs strengthening to cater for the needs of the unsubsidized groups. </w:t>
      </w:r>
    </w:p>
    <w:p w14:paraId="27B07E93" w14:textId="59863EFF" w:rsidR="00EE4B47" w:rsidRPr="00843982" w:rsidRDefault="00EE4B47" w:rsidP="0055634E">
      <w:pPr>
        <w:pStyle w:val="Caption"/>
        <w:numPr>
          <w:ilvl w:val="0"/>
          <w:numId w:val="43"/>
        </w:numPr>
        <w:spacing w:line="360" w:lineRule="auto"/>
        <w:rPr>
          <w:b w:val="0"/>
          <w:highlight w:val="yellow"/>
        </w:rPr>
      </w:pPr>
      <w:r w:rsidRPr="00843982">
        <w:rPr>
          <w:b w:val="0"/>
          <w:highlight w:val="yellow"/>
        </w:rPr>
        <w:t xml:space="preserve">The capacity of the local construction market needs to be strengthened to cater for the processes of </w:t>
      </w:r>
      <w:r w:rsidR="004E304F" w:rsidRPr="00843982">
        <w:rPr>
          <w:b w:val="0"/>
          <w:highlight w:val="yellow"/>
        </w:rPr>
        <w:t>on-going</w:t>
      </w:r>
      <w:r w:rsidRPr="00843982">
        <w:rPr>
          <w:b w:val="0"/>
          <w:highlight w:val="yellow"/>
        </w:rPr>
        <w:t xml:space="preserve"> improvement and expansion </w:t>
      </w:r>
    </w:p>
    <w:p w14:paraId="38F4A2AC" w14:textId="01A3D986" w:rsidR="00EE4B47" w:rsidRPr="00843982" w:rsidRDefault="00EE4B47" w:rsidP="0055634E">
      <w:pPr>
        <w:pStyle w:val="Caption"/>
        <w:numPr>
          <w:ilvl w:val="0"/>
          <w:numId w:val="43"/>
        </w:numPr>
        <w:spacing w:line="360" w:lineRule="auto"/>
        <w:rPr>
          <w:b w:val="0"/>
          <w:highlight w:val="yellow"/>
        </w:rPr>
      </w:pPr>
      <w:r w:rsidRPr="00843982">
        <w:rPr>
          <w:b w:val="0"/>
          <w:highlight w:val="yellow"/>
        </w:rPr>
        <w:t xml:space="preserve">Local financial instruments for funding </w:t>
      </w:r>
      <w:r w:rsidR="004E304F" w:rsidRPr="00843982">
        <w:rPr>
          <w:b w:val="0"/>
          <w:highlight w:val="yellow"/>
        </w:rPr>
        <w:t>on-going</w:t>
      </w:r>
      <w:r w:rsidRPr="00843982">
        <w:rPr>
          <w:b w:val="0"/>
          <w:highlight w:val="yellow"/>
        </w:rPr>
        <w:t xml:space="preserve"> consolidation need to be built/ facilitated.</w:t>
      </w:r>
    </w:p>
    <w:p w14:paraId="0C87D372" w14:textId="504935E7" w:rsidR="00EE4B47" w:rsidRPr="00843982" w:rsidRDefault="00EE4B47" w:rsidP="00B0299D">
      <w:pPr>
        <w:pStyle w:val="Caption"/>
        <w:numPr>
          <w:ilvl w:val="0"/>
          <w:numId w:val="43"/>
        </w:numPr>
        <w:spacing w:line="360" w:lineRule="auto"/>
        <w:rPr>
          <w:b w:val="0"/>
          <w:highlight w:val="yellow"/>
        </w:rPr>
      </w:pPr>
      <w:r w:rsidRPr="00843982">
        <w:rPr>
          <w:b w:val="0"/>
          <w:highlight w:val="yellow"/>
        </w:rPr>
        <w:t xml:space="preserve">CRO’s with the appropriate blend of hoard and soft skills can be </w:t>
      </w:r>
      <w:r w:rsidR="004E304F" w:rsidRPr="00843982">
        <w:rPr>
          <w:b w:val="0"/>
          <w:highlight w:val="yellow"/>
        </w:rPr>
        <w:t>mobilized</w:t>
      </w:r>
      <w:r w:rsidRPr="00843982">
        <w:rPr>
          <w:b w:val="0"/>
          <w:highlight w:val="yellow"/>
        </w:rPr>
        <w:t>.</w:t>
      </w:r>
    </w:p>
    <w:p w14:paraId="6971B313" w14:textId="7213C523" w:rsidR="000056C2" w:rsidRPr="00B0299D" w:rsidRDefault="000056C2" w:rsidP="00B0299D">
      <w:pPr>
        <w:pStyle w:val="Caption"/>
        <w:numPr>
          <w:ilvl w:val="0"/>
          <w:numId w:val="43"/>
        </w:numPr>
        <w:spacing w:line="360" w:lineRule="auto"/>
        <w:rPr>
          <w:b w:val="0"/>
        </w:rPr>
        <w:sectPr w:rsidR="000056C2" w:rsidRPr="00B0299D">
          <w:pgSz w:w="12240" w:h="15840"/>
          <w:pgMar w:top="1440" w:right="1440" w:bottom="1440" w:left="1440" w:header="720" w:footer="720" w:gutter="0"/>
          <w:cols w:space="720"/>
          <w:docGrid w:linePitch="360"/>
        </w:sectPr>
      </w:pPr>
      <w:bookmarkStart w:id="271" w:name="_Ref262065944"/>
      <w:bookmarkStart w:id="272" w:name="_Toc262067873"/>
      <w:bookmarkStart w:id="273" w:name="_Toc387655147"/>
      <w:bookmarkEnd w:id="5"/>
      <w:bookmarkEnd w:id="6"/>
      <w:bookmarkEnd w:id="187"/>
      <w:bookmarkEnd w:id="221"/>
    </w:p>
    <w:p w14:paraId="5B03AFF3" w14:textId="7E7B964D" w:rsidR="00883D13" w:rsidRPr="00A23C2F" w:rsidRDefault="00883D13" w:rsidP="00A00A0A">
      <w:pPr>
        <w:pStyle w:val="Heading1"/>
      </w:pPr>
      <w:bookmarkStart w:id="274" w:name="_Toc270946046"/>
      <w:r w:rsidRPr="00A23C2F">
        <w:lastRenderedPageBreak/>
        <w:t>The private initiative led approach/</w:t>
      </w:r>
      <w:r w:rsidR="00820865">
        <w:t xml:space="preserve"> </w:t>
      </w:r>
      <w:r w:rsidRPr="00A23C2F">
        <w:t>Blended/ Incremental mode of housing consolidation in settlement upgrading</w:t>
      </w:r>
      <w:bookmarkEnd w:id="271"/>
      <w:bookmarkEnd w:id="272"/>
      <w:bookmarkEnd w:id="274"/>
      <w:r w:rsidRPr="00A23C2F">
        <w:t xml:space="preserve"> </w:t>
      </w:r>
    </w:p>
    <w:p w14:paraId="0CD90D84" w14:textId="43166DEE" w:rsidR="00FA2A88" w:rsidRDefault="00FA2A88" w:rsidP="00FA2A88">
      <w:pPr>
        <w:spacing w:line="360" w:lineRule="auto"/>
        <w:ind w:left="488"/>
        <w:rPr>
          <w:rFonts w:cs="Arial"/>
          <w:szCs w:val="22"/>
        </w:rPr>
      </w:pPr>
      <w:bookmarkStart w:id="275" w:name="_Toc262041221"/>
      <w:bookmarkStart w:id="276" w:name="_Toc262067874"/>
      <w:r w:rsidRPr="00C83373">
        <w:rPr>
          <w:rFonts w:cs="Arial"/>
          <w:i/>
          <w:szCs w:val="22"/>
        </w:rPr>
        <w:t>“</w:t>
      </w:r>
      <w:r w:rsidR="00B0299D">
        <w:rPr>
          <w:rFonts w:cs="Arial"/>
          <w:i/>
          <w:szCs w:val="22"/>
        </w:rPr>
        <w:t>We need to define</w:t>
      </w:r>
      <w:r w:rsidRPr="00C83373">
        <w:rPr>
          <w:rFonts w:cs="Arial"/>
          <w:i/>
          <w:szCs w:val="22"/>
        </w:rPr>
        <w:t xml:space="preserve"> new terms of engagement that break down the formal-informal divide”</w:t>
      </w:r>
      <w:r w:rsidRPr="00C83373">
        <w:rPr>
          <w:rFonts w:cs="Arial"/>
          <w:szCs w:val="22"/>
        </w:rPr>
        <w:t xml:space="preserve"> </w:t>
      </w:r>
    </w:p>
    <w:p w14:paraId="7DE83493" w14:textId="756723FB" w:rsidR="00FA2A88" w:rsidRPr="00C83373" w:rsidRDefault="00FA2A88" w:rsidP="00FA2A88">
      <w:pPr>
        <w:spacing w:line="360" w:lineRule="auto"/>
        <w:ind w:left="488"/>
        <w:rPr>
          <w:rFonts w:cs="Arial"/>
          <w:szCs w:val="22"/>
        </w:rPr>
      </w:pPr>
      <w:r w:rsidRPr="00346507">
        <w:rPr>
          <w:rFonts w:cs="Arial"/>
          <w:szCs w:val="22"/>
        </w:rPr>
        <w:t>Liza Cirolia, Isandla Instit</w:t>
      </w:r>
      <w:r>
        <w:rPr>
          <w:rFonts w:cs="Arial"/>
          <w:szCs w:val="22"/>
        </w:rPr>
        <w:t>ute Presentation, Stellenbosch</w:t>
      </w:r>
      <w:r w:rsidRPr="00B0299D">
        <w:rPr>
          <w:rFonts w:cs="Arial"/>
          <w:szCs w:val="22"/>
        </w:rPr>
        <w:t>, 2013</w:t>
      </w:r>
      <w:r>
        <w:rPr>
          <w:rFonts w:cs="Arial"/>
          <w:szCs w:val="22"/>
        </w:rPr>
        <w:t>)</w:t>
      </w:r>
    </w:p>
    <w:p w14:paraId="5035F160" w14:textId="55B63072" w:rsidR="00FA2A88" w:rsidRDefault="00FA2A88" w:rsidP="00FA2A88">
      <w:pPr>
        <w:spacing w:line="360" w:lineRule="auto"/>
        <w:rPr>
          <w:rFonts w:cs="Arial"/>
          <w:szCs w:val="22"/>
        </w:rPr>
      </w:pPr>
      <w:r w:rsidRPr="00C83373">
        <w:rPr>
          <w:rFonts w:cs="Arial"/>
          <w:szCs w:val="22"/>
        </w:rPr>
        <w:t xml:space="preserve">In </w:t>
      </w:r>
      <w:r>
        <w:rPr>
          <w:rFonts w:cs="Arial"/>
          <w:szCs w:val="22"/>
        </w:rPr>
        <w:t xml:space="preserve">Chapter 2 we noted </w:t>
      </w:r>
      <w:r w:rsidRPr="00C83373">
        <w:rPr>
          <w:rFonts w:cs="Arial"/>
          <w:szCs w:val="22"/>
        </w:rPr>
        <w:t>that South Africa’s current state-dominant approach to house development in UISP programmes may not be sustainable in the long term, both fiscally due to tightened housing expenditure and politically due to the need to deliver shelter benefits to a broader constituency</w:t>
      </w:r>
      <w:r>
        <w:rPr>
          <w:rFonts w:cs="Arial"/>
          <w:szCs w:val="22"/>
        </w:rPr>
        <w:t xml:space="preserve"> more rapidly</w:t>
      </w:r>
      <w:r w:rsidRPr="00C83373">
        <w:rPr>
          <w:rFonts w:cs="Arial"/>
          <w:szCs w:val="22"/>
        </w:rPr>
        <w:t xml:space="preserve">. </w:t>
      </w:r>
    </w:p>
    <w:p w14:paraId="4079C106" w14:textId="77777777" w:rsidR="00FA2A88" w:rsidRPr="00883D13" w:rsidRDefault="00FA2A88" w:rsidP="00FA2A88">
      <w:pPr>
        <w:spacing w:line="360" w:lineRule="auto"/>
        <w:rPr>
          <w:rFonts w:cs="Arial"/>
          <w:szCs w:val="22"/>
        </w:rPr>
      </w:pPr>
      <w:r>
        <w:rPr>
          <w:rFonts w:cs="Arial"/>
          <w:szCs w:val="22"/>
        </w:rPr>
        <w:t>Based on this, the question then arises regarding w</w:t>
      </w:r>
      <w:r w:rsidRPr="00BC4745">
        <w:rPr>
          <w:rFonts w:cs="Arial"/>
          <w:szCs w:val="22"/>
        </w:rPr>
        <w:t>hat to do if the state subsidy led approach is found to be unviable</w:t>
      </w:r>
      <w:r>
        <w:rPr>
          <w:rFonts w:cs="Arial"/>
          <w:szCs w:val="22"/>
        </w:rPr>
        <w:t>, or at least needs to be implemented in parallel with more sustainable ISU approaches? Much</w:t>
      </w:r>
      <w:r w:rsidRPr="00883D13">
        <w:rPr>
          <w:rFonts w:cs="Arial"/>
          <w:szCs w:val="22"/>
        </w:rPr>
        <w:t xml:space="preserve"> of the developing world arrived at this conclusion some time ago</w:t>
      </w:r>
      <w:r>
        <w:rPr>
          <w:rFonts w:cs="Arial"/>
          <w:szCs w:val="22"/>
        </w:rPr>
        <w:t xml:space="preserve">, </w:t>
      </w:r>
      <w:r w:rsidRPr="00883D13">
        <w:rPr>
          <w:rFonts w:cs="Arial"/>
          <w:szCs w:val="22"/>
        </w:rPr>
        <w:t xml:space="preserve">and the road to housing consolidation </w:t>
      </w:r>
      <w:r>
        <w:rPr>
          <w:rFonts w:cs="Arial"/>
          <w:szCs w:val="22"/>
        </w:rPr>
        <w:t>with a backdrop</w:t>
      </w:r>
      <w:r w:rsidRPr="00883D13">
        <w:rPr>
          <w:rFonts w:cs="Arial"/>
          <w:szCs w:val="22"/>
        </w:rPr>
        <w:t xml:space="preserve"> of fiscal constraints has been well travelled. International</w:t>
      </w:r>
      <w:r>
        <w:rPr>
          <w:rFonts w:cs="Arial"/>
          <w:szCs w:val="22"/>
        </w:rPr>
        <w:t xml:space="preserve">ly, the alternative </w:t>
      </w:r>
      <w:r w:rsidRPr="00883D13">
        <w:rPr>
          <w:rFonts w:cs="Arial"/>
          <w:szCs w:val="22"/>
        </w:rPr>
        <w:t>approach</w:t>
      </w:r>
      <w:r>
        <w:rPr>
          <w:rFonts w:cs="Arial"/>
          <w:szCs w:val="22"/>
        </w:rPr>
        <w:t xml:space="preserve"> is</w:t>
      </w:r>
      <w:r w:rsidRPr="00883D13">
        <w:rPr>
          <w:rFonts w:cs="Arial"/>
          <w:szCs w:val="22"/>
        </w:rPr>
        <w:t xml:space="preserve"> generally termed </w:t>
      </w:r>
      <w:r>
        <w:rPr>
          <w:rFonts w:cs="Arial"/>
          <w:szCs w:val="22"/>
        </w:rPr>
        <w:t>“</w:t>
      </w:r>
      <w:r w:rsidRPr="00883D13">
        <w:rPr>
          <w:rFonts w:cs="Arial"/>
          <w:szCs w:val="22"/>
        </w:rPr>
        <w:t>incremental housing</w:t>
      </w:r>
      <w:r>
        <w:rPr>
          <w:rFonts w:cs="Arial"/>
          <w:szCs w:val="22"/>
        </w:rPr>
        <w:t>”</w:t>
      </w:r>
      <w:r w:rsidRPr="00883D13">
        <w:rPr>
          <w:rFonts w:cs="Arial"/>
          <w:szCs w:val="22"/>
        </w:rPr>
        <w:t xml:space="preserve"> and it places a far greater emphasis on the utilisation of </w:t>
      </w:r>
      <w:r>
        <w:rPr>
          <w:rFonts w:cs="Arial"/>
          <w:szCs w:val="22"/>
        </w:rPr>
        <w:t>household and</w:t>
      </w:r>
      <w:r w:rsidRPr="00883D13">
        <w:rPr>
          <w:rFonts w:cs="Arial"/>
          <w:szCs w:val="22"/>
        </w:rPr>
        <w:t xml:space="preserve"> community initiative</w:t>
      </w:r>
      <w:r>
        <w:rPr>
          <w:rFonts w:cs="Arial"/>
          <w:szCs w:val="22"/>
        </w:rPr>
        <w:t>s</w:t>
      </w:r>
      <w:r w:rsidRPr="00883D13">
        <w:rPr>
          <w:rFonts w:cs="Arial"/>
          <w:szCs w:val="22"/>
        </w:rPr>
        <w:t xml:space="preserve"> </w:t>
      </w:r>
      <w:r>
        <w:rPr>
          <w:rFonts w:cs="Arial"/>
          <w:szCs w:val="22"/>
        </w:rPr>
        <w:t>than</w:t>
      </w:r>
      <w:r w:rsidRPr="00883D13">
        <w:rPr>
          <w:rFonts w:cs="Arial"/>
          <w:szCs w:val="22"/>
        </w:rPr>
        <w:t xml:space="preserve"> the top structure consolidation mode.</w:t>
      </w:r>
      <w:r>
        <w:rPr>
          <w:rFonts w:cs="Arial"/>
          <w:szCs w:val="22"/>
        </w:rPr>
        <w:t xml:space="preserve"> </w:t>
      </w:r>
    </w:p>
    <w:p w14:paraId="19EED228" w14:textId="77777777" w:rsidR="00FA2A88" w:rsidRDefault="00FA2A88" w:rsidP="00FA2A88">
      <w:pPr>
        <w:spacing w:line="360" w:lineRule="auto"/>
        <w:rPr>
          <w:rFonts w:cs="Arial"/>
          <w:szCs w:val="22"/>
        </w:rPr>
      </w:pPr>
      <w:r>
        <w:rPr>
          <w:rFonts w:cs="Arial"/>
          <w:szCs w:val="22"/>
        </w:rPr>
        <w:t>The alternative approach, which entails a co-ordinated, incremental, multi-actor intervention to stimulate private house development processes, is discussed in this Chapter. This approach i</w:t>
      </w:r>
      <w:r w:rsidRPr="00883D13">
        <w:rPr>
          <w:rFonts w:cs="Arial"/>
          <w:szCs w:val="22"/>
        </w:rPr>
        <w:t>nvolves a</w:t>
      </w:r>
      <w:r>
        <w:rPr>
          <w:rFonts w:cs="Arial"/>
          <w:szCs w:val="22"/>
        </w:rPr>
        <w:t xml:space="preserve"> more complex and lengthy</w:t>
      </w:r>
      <w:r w:rsidRPr="00883D13">
        <w:rPr>
          <w:rFonts w:cs="Arial"/>
          <w:szCs w:val="22"/>
        </w:rPr>
        <w:t xml:space="preserve"> co</w:t>
      </w:r>
      <w:r>
        <w:rPr>
          <w:rFonts w:cs="Arial"/>
          <w:szCs w:val="22"/>
        </w:rPr>
        <w:t>-</w:t>
      </w:r>
      <w:r w:rsidRPr="00883D13">
        <w:rPr>
          <w:rFonts w:cs="Arial"/>
          <w:szCs w:val="22"/>
        </w:rPr>
        <w:t xml:space="preserve">production partnership in which the capacities of the individual household, </w:t>
      </w:r>
      <w:r>
        <w:rPr>
          <w:rFonts w:cs="Arial"/>
          <w:szCs w:val="22"/>
        </w:rPr>
        <w:t xml:space="preserve">the </w:t>
      </w:r>
      <w:r w:rsidRPr="00883D13">
        <w:rPr>
          <w:rFonts w:cs="Arial"/>
          <w:szCs w:val="22"/>
        </w:rPr>
        <w:t>community</w:t>
      </w:r>
      <w:r>
        <w:rPr>
          <w:rFonts w:cs="Arial"/>
          <w:szCs w:val="22"/>
        </w:rPr>
        <w:t xml:space="preserve"> being upgraded</w:t>
      </w:r>
      <w:r w:rsidRPr="00883D13">
        <w:rPr>
          <w:rFonts w:cs="Arial"/>
          <w:szCs w:val="22"/>
        </w:rPr>
        <w:t>, N</w:t>
      </w:r>
      <w:r>
        <w:rPr>
          <w:rFonts w:cs="Arial"/>
          <w:szCs w:val="22"/>
        </w:rPr>
        <w:t>P</w:t>
      </w:r>
      <w:r w:rsidRPr="00883D13">
        <w:rPr>
          <w:rFonts w:cs="Arial"/>
          <w:szCs w:val="22"/>
        </w:rPr>
        <w:t>Os</w:t>
      </w:r>
      <w:r>
        <w:rPr>
          <w:rFonts w:cs="Arial"/>
          <w:szCs w:val="22"/>
        </w:rPr>
        <w:t>,</w:t>
      </w:r>
      <w:r w:rsidRPr="00883D13">
        <w:rPr>
          <w:rFonts w:cs="Arial"/>
          <w:szCs w:val="22"/>
        </w:rPr>
        <w:t xml:space="preserve"> the private sector and government are blended to create a top structure delivery mode. </w:t>
      </w:r>
      <w:r>
        <w:rPr>
          <w:rFonts w:cs="Arial"/>
          <w:szCs w:val="22"/>
        </w:rPr>
        <w:t xml:space="preserve">This may be termed </w:t>
      </w:r>
      <w:r w:rsidRPr="00883D13">
        <w:rPr>
          <w:rFonts w:cs="Arial"/>
          <w:szCs w:val="22"/>
        </w:rPr>
        <w:t xml:space="preserve">the </w:t>
      </w:r>
      <w:r>
        <w:rPr>
          <w:rFonts w:cs="Arial"/>
          <w:szCs w:val="22"/>
        </w:rPr>
        <w:t>blended/</w:t>
      </w:r>
      <w:r w:rsidRPr="00883D13">
        <w:rPr>
          <w:rFonts w:cs="Arial"/>
          <w:szCs w:val="22"/>
        </w:rPr>
        <w:t>co</w:t>
      </w:r>
      <w:r>
        <w:rPr>
          <w:rFonts w:cs="Arial"/>
          <w:szCs w:val="22"/>
        </w:rPr>
        <w:t>-</w:t>
      </w:r>
      <w:r w:rsidRPr="00883D13">
        <w:rPr>
          <w:rFonts w:cs="Arial"/>
          <w:szCs w:val="22"/>
        </w:rPr>
        <w:t xml:space="preserve">production </w:t>
      </w:r>
      <w:r>
        <w:rPr>
          <w:rFonts w:cs="Arial"/>
          <w:szCs w:val="22"/>
        </w:rPr>
        <w:t xml:space="preserve">house consolidation </w:t>
      </w:r>
      <w:r w:rsidRPr="00883D13">
        <w:rPr>
          <w:rFonts w:cs="Arial"/>
          <w:szCs w:val="22"/>
        </w:rPr>
        <w:t>mode</w:t>
      </w:r>
      <w:r>
        <w:rPr>
          <w:rFonts w:cs="Arial"/>
          <w:szCs w:val="22"/>
        </w:rPr>
        <w:t>.</w:t>
      </w:r>
    </w:p>
    <w:p w14:paraId="7A010D3D" w14:textId="77777777" w:rsidR="00FA2A88" w:rsidRDefault="00FA2A88" w:rsidP="00FA2A88">
      <w:pPr>
        <w:spacing w:line="360" w:lineRule="auto"/>
        <w:rPr>
          <w:rFonts w:cs="Arial"/>
          <w:b/>
          <w:i/>
          <w:szCs w:val="22"/>
        </w:rPr>
      </w:pPr>
      <w:r w:rsidRPr="00863E1F">
        <w:rPr>
          <w:rFonts w:cs="Arial"/>
          <w:b/>
          <w:i/>
          <w:szCs w:val="22"/>
        </w:rPr>
        <w:t>It is important however to recognise that the framework outlined here is more a ‘menu’ of options, rather than a set of absolute requirements for consolidation. Settlements, households and upgrading conditions and resources change, and as a result the breadth and depth of interventions required to stimulate house consolidation vary widely.</w:t>
      </w:r>
    </w:p>
    <w:p w14:paraId="4E842A56" w14:textId="77777777" w:rsidR="00B0299D" w:rsidRDefault="00B0299D" w:rsidP="00FA2A88">
      <w:pPr>
        <w:spacing w:line="360" w:lineRule="auto"/>
        <w:rPr>
          <w:rFonts w:cs="Arial"/>
          <w:b/>
          <w:i/>
          <w:szCs w:val="22"/>
        </w:rPr>
      </w:pPr>
    </w:p>
    <w:p w14:paraId="6B6C97C4" w14:textId="77777777" w:rsidR="00B0299D" w:rsidRPr="00863E1F" w:rsidRDefault="00B0299D" w:rsidP="00FA2A88">
      <w:pPr>
        <w:spacing w:line="360" w:lineRule="auto"/>
        <w:rPr>
          <w:rFonts w:cs="Arial"/>
          <w:b/>
          <w:i/>
          <w:szCs w:val="22"/>
        </w:rPr>
      </w:pPr>
    </w:p>
    <w:p w14:paraId="719D4C1A" w14:textId="77777777" w:rsidR="00B00057" w:rsidRDefault="00B00057" w:rsidP="00540DD7">
      <w:pPr>
        <w:pStyle w:val="Heading2"/>
      </w:pPr>
      <w:bookmarkStart w:id="277" w:name="_Toc270946047"/>
      <w:r>
        <w:lastRenderedPageBreak/>
        <w:t>Defining the Intervention Framework</w:t>
      </w:r>
      <w:bookmarkEnd w:id="275"/>
      <w:bookmarkEnd w:id="276"/>
      <w:bookmarkEnd w:id="277"/>
    </w:p>
    <w:p w14:paraId="61BEBBCF" w14:textId="77777777" w:rsidR="005212AA" w:rsidRDefault="005212AA" w:rsidP="00250EA9">
      <w:pPr>
        <w:spacing w:after="0"/>
        <w:rPr>
          <w:rFonts w:cs="Arial"/>
          <w:szCs w:val="22"/>
        </w:rPr>
      </w:pPr>
    </w:p>
    <w:p w14:paraId="3A7D749C" w14:textId="67A5EB45" w:rsidR="00B00057" w:rsidRDefault="00B00057" w:rsidP="005212AA">
      <w:pPr>
        <w:spacing w:line="360" w:lineRule="auto"/>
        <w:rPr>
          <w:rFonts w:cs="Arial"/>
          <w:szCs w:val="22"/>
        </w:rPr>
      </w:pPr>
      <w:r w:rsidRPr="00883D13">
        <w:rPr>
          <w:rFonts w:cs="Arial"/>
          <w:szCs w:val="22"/>
        </w:rPr>
        <w:t xml:space="preserve">Under the </w:t>
      </w:r>
      <w:r w:rsidR="00583FB7">
        <w:rPr>
          <w:rFonts w:cs="Arial"/>
          <w:szCs w:val="22"/>
        </w:rPr>
        <w:t>blended/</w:t>
      </w:r>
      <w:r w:rsidRPr="00883D13">
        <w:rPr>
          <w:rFonts w:cs="Arial"/>
          <w:szCs w:val="22"/>
        </w:rPr>
        <w:t>co</w:t>
      </w:r>
      <w:r>
        <w:rPr>
          <w:rFonts w:cs="Arial"/>
          <w:szCs w:val="22"/>
        </w:rPr>
        <w:t>-</w:t>
      </w:r>
      <w:r w:rsidRPr="00883D13">
        <w:rPr>
          <w:rFonts w:cs="Arial"/>
          <w:szCs w:val="22"/>
        </w:rPr>
        <w:t xml:space="preserve">production </w:t>
      </w:r>
      <w:r>
        <w:rPr>
          <w:rFonts w:cs="Arial"/>
          <w:szCs w:val="22"/>
        </w:rPr>
        <w:t xml:space="preserve">house consolidation </w:t>
      </w:r>
      <w:r w:rsidRPr="00883D13">
        <w:rPr>
          <w:rFonts w:cs="Arial"/>
          <w:szCs w:val="22"/>
        </w:rPr>
        <w:t xml:space="preserve">mode the roles or functions </w:t>
      </w:r>
      <w:r>
        <w:rPr>
          <w:rFonts w:cs="Arial"/>
          <w:szCs w:val="22"/>
        </w:rPr>
        <w:t>required are</w:t>
      </w:r>
      <w:r w:rsidRPr="00883D13">
        <w:rPr>
          <w:rFonts w:cs="Arial"/>
          <w:szCs w:val="22"/>
        </w:rPr>
        <w:t xml:space="preserve"> carefully allocated to </w:t>
      </w:r>
      <w:r w:rsidR="005212AA">
        <w:rPr>
          <w:rFonts w:cs="Arial"/>
          <w:szCs w:val="22"/>
        </w:rPr>
        <w:t xml:space="preserve">the relevant </w:t>
      </w:r>
      <w:r w:rsidRPr="00883D13">
        <w:rPr>
          <w:rFonts w:cs="Arial"/>
          <w:szCs w:val="22"/>
        </w:rPr>
        <w:t>sectors</w:t>
      </w:r>
      <w:r w:rsidR="005212AA">
        <w:rPr>
          <w:rFonts w:cs="Arial"/>
          <w:szCs w:val="22"/>
        </w:rPr>
        <w:t xml:space="preserve"> and actors</w:t>
      </w:r>
      <w:r w:rsidRPr="00883D13">
        <w:rPr>
          <w:rFonts w:cs="Arial"/>
          <w:szCs w:val="22"/>
        </w:rPr>
        <w:t>, and</w:t>
      </w:r>
      <w:r>
        <w:rPr>
          <w:rFonts w:cs="Arial"/>
          <w:szCs w:val="22"/>
        </w:rPr>
        <w:t xml:space="preserve"> interventions are</w:t>
      </w:r>
      <w:r w:rsidRPr="00883D13">
        <w:rPr>
          <w:rFonts w:cs="Arial"/>
          <w:szCs w:val="22"/>
        </w:rPr>
        <w:t xml:space="preserve"> designed to ensure that each </w:t>
      </w:r>
      <w:r>
        <w:rPr>
          <w:rFonts w:cs="Arial"/>
          <w:szCs w:val="22"/>
        </w:rPr>
        <w:t xml:space="preserve">actor </w:t>
      </w:r>
      <w:r w:rsidRPr="00883D13">
        <w:rPr>
          <w:rFonts w:cs="Arial"/>
          <w:szCs w:val="22"/>
        </w:rPr>
        <w:t>focuses on contributing to areas where they are needed and that no other actor/sector is crowed out or excluded.</w:t>
      </w:r>
      <w:r>
        <w:rPr>
          <w:rFonts w:cs="Arial"/>
          <w:szCs w:val="22"/>
        </w:rPr>
        <w:t xml:space="preserve"> The area of focus, and the proportionate roles of the key actors, are illustrated in </w:t>
      </w:r>
      <w:r w:rsidR="005212AA">
        <w:rPr>
          <w:rFonts w:cs="Arial"/>
          <w:szCs w:val="22"/>
        </w:rPr>
        <w:fldChar w:fldCharType="begin"/>
      </w:r>
      <w:r w:rsidR="005212AA">
        <w:rPr>
          <w:rFonts w:cs="Arial"/>
          <w:szCs w:val="22"/>
        </w:rPr>
        <w:instrText xml:space="preserve"> REF _Ref388631719 \h </w:instrText>
      </w:r>
      <w:r w:rsidR="005212AA">
        <w:rPr>
          <w:rFonts w:cs="Arial"/>
          <w:szCs w:val="22"/>
        </w:rPr>
      </w:r>
      <w:r w:rsidR="005212AA">
        <w:rPr>
          <w:rFonts w:cs="Arial"/>
          <w:szCs w:val="22"/>
        </w:rPr>
        <w:fldChar w:fldCharType="separate"/>
      </w:r>
      <w:r w:rsidR="00E9048A">
        <w:rPr>
          <w:rFonts w:cs="Arial"/>
          <w:b/>
          <w:szCs w:val="22"/>
        </w:rPr>
        <w:t>Error! Reference source not found.</w:t>
      </w:r>
      <w:r w:rsidR="005212AA">
        <w:rPr>
          <w:rFonts w:cs="Arial"/>
          <w:szCs w:val="22"/>
        </w:rPr>
        <w:fldChar w:fldCharType="end"/>
      </w:r>
      <w:r w:rsidR="005212AA">
        <w:rPr>
          <w:rFonts w:cs="Arial"/>
          <w:szCs w:val="22"/>
        </w:rPr>
        <w:t xml:space="preserve"> </w:t>
      </w:r>
      <w:r>
        <w:rPr>
          <w:rFonts w:cs="Arial"/>
          <w:szCs w:val="22"/>
        </w:rPr>
        <w:t>below.</w:t>
      </w:r>
    </w:p>
    <w:p w14:paraId="03643447" w14:textId="68266EBE" w:rsidR="009A6835" w:rsidRDefault="009A6835" w:rsidP="005212AA">
      <w:pPr>
        <w:spacing w:line="360" w:lineRule="auto"/>
        <w:rPr>
          <w:rFonts w:cs="Arial"/>
          <w:szCs w:val="22"/>
        </w:rPr>
      </w:pPr>
      <w:r>
        <w:rPr>
          <w:noProof/>
          <w:color w:val="1F497D" w:themeColor="text2"/>
          <w:lang w:val="en-US"/>
        </w:rPr>
        <mc:AlternateContent>
          <mc:Choice Requires="wps">
            <w:drawing>
              <wp:anchor distT="0" distB="0" distL="114300" distR="114300" simplePos="0" relativeHeight="251673600" behindDoc="0" locked="0" layoutInCell="1" allowOverlap="1" wp14:anchorId="2CE979F7" wp14:editId="54AD81B6">
                <wp:simplePos x="0" y="0"/>
                <wp:positionH relativeFrom="column">
                  <wp:posOffset>2171700</wp:posOffset>
                </wp:positionH>
                <wp:positionV relativeFrom="paragraph">
                  <wp:posOffset>678180</wp:posOffset>
                </wp:positionV>
                <wp:extent cx="2370455" cy="1881505"/>
                <wp:effectExtent l="0" t="0" r="17145" b="23495"/>
                <wp:wrapNone/>
                <wp:docPr id="11" name="Oval 11"/>
                <wp:cNvGraphicFramePr/>
                <a:graphic xmlns:a="http://schemas.openxmlformats.org/drawingml/2006/main">
                  <a:graphicData uri="http://schemas.microsoft.com/office/word/2010/wordprocessingShape">
                    <wps:wsp>
                      <wps:cNvSpPr/>
                      <wps:spPr>
                        <a:xfrm>
                          <a:off x="0" y="0"/>
                          <a:ext cx="2370455" cy="1881505"/>
                        </a:xfrm>
                        <a:prstGeom prst="ellipse">
                          <a:avLst/>
                        </a:prstGeom>
                        <a:solidFill>
                          <a:schemeClr val="bg1">
                            <a:alpha val="17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171pt;margin-top:53.4pt;width:186.65pt;height:14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" fillcolor="white [3212]" strokecolor="#243f60 [1604]" strokeweight="2pt">
                <v:fill opacity="11051f"/>
              </v:oval>
            </w:pict>
          </mc:Fallback>
        </mc:AlternateContent>
      </w:r>
      <w:r w:rsidRPr="00A874BF">
        <w:rPr>
          <w:noProof/>
          <w:lang w:val="en-US"/>
        </w:rPr>
        <w:drawing>
          <wp:inline distT="0" distB="0" distL="0" distR="0" wp14:anchorId="5AEE27D4" wp14:editId="5F617EBE">
            <wp:extent cx="5943600" cy="3885812"/>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943600" cy="3885812"/>
                    </a:xfrm>
                    <a:prstGeom prst="rect">
                      <a:avLst/>
                    </a:prstGeom>
                    <a:noFill/>
                    <a:ln>
                      <a:noFill/>
                    </a:ln>
                  </pic:spPr>
                </pic:pic>
              </a:graphicData>
            </a:graphic>
          </wp:inline>
        </w:drawing>
      </w:r>
    </w:p>
    <w:p w14:paraId="5C245A73" w14:textId="5A938517" w:rsidR="00B00057" w:rsidRDefault="002C464F" w:rsidP="002C464F">
      <w:pPr>
        <w:spacing w:line="360" w:lineRule="auto"/>
        <w:rPr>
          <w:rFonts w:cs="Arial"/>
          <w:b/>
          <w:szCs w:val="22"/>
        </w:rPr>
      </w:pPr>
      <w:bookmarkStart w:id="278" w:name="_Toc270945524"/>
      <w:r w:rsidRPr="008C45F2">
        <w:rPr>
          <w:b/>
        </w:rPr>
        <w:t xml:space="preserve">Figure </w:t>
      </w:r>
      <w:r w:rsidRPr="00220C7D">
        <w:rPr>
          <w:b/>
        </w:rPr>
        <w:fldChar w:fldCharType="begin"/>
      </w:r>
      <w:r w:rsidRPr="00220C7D">
        <w:rPr>
          <w:b/>
        </w:rPr>
        <w:instrText xml:space="preserve"> SEQ Figure \* ARABIC </w:instrText>
      </w:r>
      <w:r w:rsidRPr="00220C7D">
        <w:rPr>
          <w:b/>
        </w:rPr>
        <w:fldChar w:fldCharType="separate"/>
      </w:r>
      <w:r w:rsidR="00E9048A">
        <w:rPr>
          <w:b/>
          <w:noProof/>
        </w:rPr>
        <w:t>21</w:t>
      </w:r>
      <w:r w:rsidRPr="00220C7D">
        <w:rPr>
          <w:b/>
        </w:rPr>
        <w:fldChar w:fldCharType="end"/>
      </w:r>
      <w:r w:rsidR="00241EAC" w:rsidRPr="00230FE7">
        <w:rPr>
          <w:b/>
          <w:szCs w:val="22"/>
        </w:rPr>
        <w:t xml:space="preserve">: </w:t>
      </w:r>
      <w:r w:rsidR="00B00057" w:rsidRPr="00F15077">
        <w:rPr>
          <w:rFonts w:cs="Arial"/>
          <w:b/>
          <w:szCs w:val="22"/>
        </w:rPr>
        <w:t>Blended Approach to House Consolidation</w:t>
      </w:r>
      <w:r w:rsidR="00B00057">
        <w:rPr>
          <w:rFonts w:cs="Arial"/>
          <w:b/>
          <w:szCs w:val="22"/>
        </w:rPr>
        <w:t xml:space="preserve"> – The Incremental Housing Support Framework</w:t>
      </w:r>
      <w:bookmarkEnd w:id="278"/>
    </w:p>
    <w:p w14:paraId="44B92134" w14:textId="583C818C" w:rsidR="00B00057" w:rsidRDefault="00B00057" w:rsidP="00250EA9">
      <w:pPr>
        <w:spacing w:line="360" w:lineRule="auto"/>
        <w:rPr>
          <w:rFonts w:cs="Arial"/>
          <w:szCs w:val="22"/>
        </w:rPr>
      </w:pPr>
      <w:r>
        <w:rPr>
          <w:rFonts w:cs="Arial"/>
          <w:szCs w:val="22"/>
        </w:rPr>
        <w:t xml:space="preserve">What is clear from this </w:t>
      </w:r>
      <w:r w:rsidR="005212AA">
        <w:rPr>
          <w:rFonts w:cs="Arial"/>
          <w:szCs w:val="22"/>
        </w:rPr>
        <w:t xml:space="preserve">approach </w:t>
      </w:r>
      <w:r>
        <w:rPr>
          <w:rFonts w:cs="Arial"/>
          <w:szCs w:val="22"/>
        </w:rPr>
        <w:t>is that while the state still plays a critical foundation role of regularising settlements, formalising tenure and providing basic services, as well as providing facilitative support for top structure development, this investment is used as a platform on which households need to mobilise resources to construct or improve their housing over time.  To do this, a coordinated effort is required, which takes a greater level institutional alignment to achieve.</w:t>
      </w:r>
    </w:p>
    <w:p w14:paraId="6337B8A2" w14:textId="1CD2C4C2" w:rsidR="009A7E9B" w:rsidRDefault="009A7E9B" w:rsidP="00250EA9">
      <w:pPr>
        <w:spacing w:line="360" w:lineRule="auto"/>
        <w:rPr>
          <w:rFonts w:cs="Arial"/>
          <w:szCs w:val="22"/>
        </w:rPr>
      </w:pPr>
      <w:r>
        <w:rPr>
          <w:rFonts w:cs="Arial"/>
          <w:szCs w:val="22"/>
        </w:rPr>
        <w:lastRenderedPageBreak/>
        <w:t xml:space="preserve">Figure </w:t>
      </w:r>
      <w:r w:rsidR="002C464F">
        <w:rPr>
          <w:rFonts w:cs="Arial"/>
          <w:szCs w:val="22"/>
        </w:rPr>
        <w:t>22</w:t>
      </w:r>
      <w:r>
        <w:rPr>
          <w:rFonts w:cs="Arial"/>
          <w:szCs w:val="22"/>
        </w:rPr>
        <w:t xml:space="preserve"> overleaf outlines seven </w:t>
      </w:r>
      <w:r w:rsidRPr="009A7E9B">
        <w:rPr>
          <w:rFonts w:cs="Arial"/>
          <w:b/>
          <w:szCs w:val="22"/>
        </w:rPr>
        <w:t>basic conditions</w:t>
      </w:r>
      <w:r>
        <w:rPr>
          <w:rFonts w:cs="Arial"/>
          <w:szCs w:val="22"/>
        </w:rPr>
        <w:t xml:space="preserve"> of UISP projects that will underpin successful house consolidation in this mode. In addition, the Figure illustrates six </w:t>
      </w:r>
      <w:r w:rsidRPr="009A7E9B">
        <w:rPr>
          <w:rFonts w:cs="Arial"/>
          <w:b/>
          <w:szCs w:val="22"/>
        </w:rPr>
        <w:t>facilitative interventions</w:t>
      </w:r>
      <w:r>
        <w:rPr>
          <w:rFonts w:cs="Arial"/>
          <w:szCs w:val="22"/>
        </w:rPr>
        <w:t xml:space="preserve"> that will specifically influence the type, rate and scale of housing consolidation in UISP projects. These are discussed in the balance of this section.   </w:t>
      </w:r>
    </w:p>
    <w:p w14:paraId="03B82954" w14:textId="77777777" w:rsidR="00ED1324" w:rsidRPr="00C83373" w:rsidRDefault="00ED1324" w:rsidP="00ED1324">
      <w:pPr>
        <w:pStyle w:val="Heading3"/>
      </w:pPr>
      <w:bookmarkStart w:id="279" w:name="_Toc262067876"/>
      <w:bookmarkStart w:id="280" w:name="_Toc262068202"/>
      <w:bookmarkStart w:id="281" w:name="_Toc262041223"/>
      <w:bookmarkStart w:id="282" w:name="_Toc262041222"/>
      <w:bookmarkStart w:id="283" w:name="_Toc262067875"/>
      <w:bookmarkStart w:id="284" w:name="_Toc262068201"/>
      <w:r w:rsidRPr="00C83373">
        <w:t>Preconditions for</w:t>
      </w:r>
      <w:r>
        <w:t xml:space="preserve"> the Success</w:t>
      </w:r>
      <w:bookmarkEnd w:id="279"/>
      <w:bookmarkEnd w:id="280"/>
      <w:r>
        <w:t xml:space="preserve"> </w:t>
      </w:r>
      <w:bookmarkEnd w:id="281"/>
      <w:r>
        <w:t>of the Blended Mode</w:t>
      </w:r>
      <w:r w:rsidRPr="00C83373">
        <w:t xml:space="preserve"> </w:t>
      </w:r>
    </w:p>
    <w:p w14:paraId="4B1628D9" w14:textId="77777777" w:rsidR="00ED1324" w:rsidRPr="00C80313" w:rsidRDefault="00ED1324" w:rsidP="00ED1324">
      <w:pPr>
        <w:spacing w:line="360" w:lineRule="auto"/>
        <w:rPr>
          <w:rFonts w:cs="Arial"/>
          <w:szCs w:val="22"/>
        </w:rPr>
      </w:pPr>
      <w:r>
        <w:rPr>
          <w:rFonts w:cs="Arial"/>
          <w:szCs w:val="22"/>
        </w:rPr>
        <w:t>As this mode of house consolidation is substantially different from the state subsidy-led approach currently favoured in South Africa, it must be considered against a number of factors:</w:t>
      </w:r>
    </w:p>
    <w:p w14:paraId="2C29E28D" w14:textId="77777777" w:rsidR="00ED1324" w:rsidRPr="00C80313" w:rsidRDefault="00ED1324" w:rsidP="00ED1324">
      <w:pPr>
        <w:pStyle w:val="ListParagraph"/>
        <w:numPr>
          <w:ilvl w:val="0"/>
          <w:numId w:val="16"/>
        </w:numPr>
        <w:ind w:left="720"/>
        <w:rPr>
          <w:rFonts w:cs="Arial"/>
        </w:rPr>
      </w:pPr>
      <w:r w:rsidRPr="00C80313">
        <w:rPr>
          <w:rFonts w:cs="Arial"/>
          <w:b/>
        </w:rPr>
        <w:t xml:space="preserve">Political support: </w:t>
      </w:r>
      <w:r w:rsidRPr="00C80313">
        <w:rPr>
          <w:rFonts w:cs="Arial"/>
        </w:rPr>
        <w:t>Does the political leadership understand the rationale for adopting this mode</w:t>
      </w:r>
      <w:r>
        <w:rPr>
          <w:rFonts w:cs="Arial"/>
        </w:rPr>
        <w:t xml:space="preserve">; and </w:t>
      </w:r>
      <w:r w:rsidRPr="00C80313">
        <w:rPr>
          <w:rFonts w:cs="Arial"/>
        </w:rPr>
        <w:t>do they understand what it implies? Can they move out of a patronage mode? Will they be able to sell and defend the mode</w:t>
      </w:r>
      <w:r>
        <w:rPr>
          <w:rFonts w:cs="Arial"/>
        </w:rPr>
        <w:t xml:space="preserve"> to their constituencies and parties</w:t>
      </w:r>
      <w:r w:rsidRPr="00C80313">
        <w:rPr>
          <w:rFonts w:cs="Arial"/>
        </w:rPr>
        <w:t>? Are they able to live with informality?</w:t>
      </w:r>
    </w:p>
    <w:p w14:paraId="5DE50D45" w14:textId="77777777" w:rsidR="00ED1324" w:rsidRPr="00C80313" w:rsidRDefault="00ED1324" w:rsidP="00ED1324">
      <w:pPr>
        <w:pStyle w:val="ListParagraph"/>
        <w:numPr>
          <w:ilvl w:val="0"/>
          <w:numId w:val="16"/>
        </w:numPr>
        <w:ind w:left="720"/>
        <w:rPr>
          <w:rFonts w:cs="Arial"/>
        </w:rPr>
      </w:pPr>
      <w:r w:rsidRPr="00C80313">
        <w:rPr>
          <w:rFonts w:cs="Arial"/>
          <w:b/>
        </w:rPr>
        <w:t xml:space="preserve">Community expectations and buy in: </w:t>
      </w:r>
      <w:r w:rsidRPr="00C80313">
        <w:rPr>
          <w:rFonts w:cs="Arial"/>
        </w:rPr>
        <w:t>Does the target community understand why this mode is necessary? Will they be able to work within this mode? Can the community be mobilised to make the requisite private inputs or will they sit back passively and wait for their RDP</w:t>
      </w:r>
      <w:r>
        <w:rPr>
          <w:rFonts w:cs="Arial"/>
        </w:rPr>
        <w:t xml:space="preserve"> unit?</w:t>
      </w:r>
    </w:p>
    <w:p w14:paraId="373AE5EF" w14:textId="77777777" w:rsidR="00ED1324" w:rsidRPr="00B0299D" w:rsidRDefault="00ED1324" w:rsidP="00ED1324">
      <w:pPr>
        <w:pStyle w:val="ListParagraph"/>
        <w:numPr>
          <w:ilvl w:val="0"/>
          <w:numId w:val="16"/>
        </w:numPr>
        <w:ind w:left="720"/>
        <w:rPr>
          <w:rFonts w:cs="Arial"/>
        </w:rPr>
      </w:pPr>
      <w:r w:rsidRPr="003E3EA7">
        <w:rPr>
          <w:rFonts w:cs="Arial"/>
          <w:b/>
        </w:rPr>
        <w:t xml:space="preserve">Regulatory system viability: </w:t>
      </w:r>
      <w:r w:rsidRPr="003E3EA7">
        <w:rPr>
          <w:rFonts w:cs="Arial"/>
        </w:rPr>
        <w:t xml:space="preserve">Will our institutional/regulatory systems and institutions allow us to develop and apply zoning and building regulations which offer </w:t>
      </w:r>
      <w:r>
        <w:rPr>
          <w:rFonts w:cs="Arial"/>
        </w:rPr>
        <w:t xml:space="preserve">what the ACC refers to as </w:t>
      </w:r>
      <w:r w:rsidRPr="003E3EA7">
        <w:rPr>
          <w:rFonts w:cs="Arial"/>
        </w:rPr>
        <w:t>“guidance, rather than prescription to incremental housing participants”</w:t>
      </w:r>
      <w:r>
        <w:rPr>
          <w:rFonts w:cs="Arial"/>
        </w:rPr>
        <w:t>.</w:t>
      </w:r>
      <w:r w:rsidRPr="003E3EA7">
        <w:rPr>
          <w:rFonts w:cs="Arial"/>
        </w:rPr>
        <w:t xml:space="preserve"> </w:t>
      </w:r>
    </w:p>
    <w:p w14:paraId="713861FA" w14:textId="69AE6263" w:rsidR="009A7E9B" w:rsidRPr="009A7E9B" w:rsidRDefault="00ED1324" w:rsidP="009A7E9B">
      <w:pPr>
        <w:pStyle w:val="ListParagraph"/>
        <w:numPr>
          <w:ilvl w:val="0"/>
          <w:numId w:val="16"/>
        </w:numPr>
        <w:ind w:left="720"/>
        <w:rPr>
          <w:rFonts w:cs="Arial"/>
        </w:rPr>
      </w:pPr>
      <w:r w:rsidRPr="009A7E9B">
        <w:rPr>
          <w:rFonts w:cs="Arial"/>
          <w:b/>
        </w:rPr>
        <w:t xml:space="preserve">Social feasibility: </w:t>
      </w:r>
      <w:r w:rsidRPr="009A7E9B">
        <w:rPr>
          <w:rFonts w:cs="Arial"/>
        </w:rPr>
        <w:t xml:space="preserve">Will there be groups in the target community that will be excluded from/unable to participate in this consolidation mode? If so, who? and what can be done about this? </w:t>
      </w:r>
    </w:p>
    <w:p w14:paraId="7E06F7D0" w14:textId="77777777" w:rsidR="009A7E9B" w:rsidRDefault="009A7E9B" w:rsidP="009A7E9B">
      <w:pPr>
        <w:pStyle w:val="Heading3"/>
      </w:pPr>
      <w:r>
        <w:t>Basic Conditions Supporting Shelter Consolidation</w:t>
      </w:r>
    </w:p>
    <w:p w14:paraId="539108AF" w14:textId="52FD7A12" w:rsidR="009A7E9B" w:rsidRPr="00540DD7" w:rsidRDefault="009A7E9B" w:rsidP="00540DD7">
      <w:pPr>
        <w:pStyle w:val="ListParagraph"/>
        <w:rPr>
          <w:rFonts w:cs="Arial"/>
        </w:rPr>
        <w:sectPr w:rsidR="009A7E9B" w:rsidRPr="00540DD7">
          <w:pgSz w:w="12240" w:h="15840"/>
          <w:pgMar w:top="1440" w:right="1440" w:bottom="1440" w:left="1440" w:header="720" w:footer="720" w:gutter="0"/>
          <w:cols w:space="720"/>
          <w:docGrid w:linePitch="360"/>
        </w:sectPr>
      </w:pPr>
    </w:p>
    <w:p w14:paraId="5CCEA8DC" w14:textId="1D770FCB" w:rsidR="009A7E9B" w:rsidRPr="00CF1919" w:rsidRDefault="002C464F" w:rsidP="009A7E9B">
      <w:pPr>
        <w:spacing w:line="360" w:lineRule="auto"/>
        <w:ind w:left="488"/>
        <w:rPr>
          <w:rFonts w:cs="Arial"/>
          <w:b/>
          <w:szCs w:val="22"/>
        </w:rPr>
      </w:pPr>
      <w:bookmarkStart w:id="285" w:name="_Toc270945525"/>
      <w:r w:rsidRPr="008C45F2">
        <w:rPr>
          <w:b/>
        </w:rPr>
        <w:lastRenderedPageBreak/>
        <w:t xml:space="preserve">Figure </w:t>
      </w:r>
      <w:r w:rsidRPr="00220C7D">
        <w:rPr>
          <w:b/>
        </w:rPr>
        <w:fldChar w:fldCharType="begin"/>
      </w:r>
      <w:r w:rsidRPr="00220C7D">
        <w:rPr>
          <w:b/>
        </w:rPr>
        <w:instrText xml:space="preserve"> SEQ Figure \* ARABIC </w:instrText>
      </w:r>
      <w:r w:rsidRPr="00220C7D">
        <w:rPr>
          <w:b/>
        </w:rPr>
        <w:fldChar w:fldCharType="separate"/>
      </w:r>
      <w:r w:rsidR="00E9048A">
        <w:rPr>
          <w:b/>
          <w:noProof/>
        </w:rPr>
        <w:t>22</w:t>
      </w:r>
      <w:r w:rsidRPr="00220C7D">
        <w:rPr>
          <w:b/>
        </w:rPr>
        <w:fldChar w:fldCharType="end"/>
      </w:r>
      <w:r w:rsidR="009A7E9B" w:rsidRPr="00CF1919">
        <w:rPr>
          <w:b/>
          <w:szCs w:val="22"/>
        </w:rPr>
        <w:t xml:space="preserve">: </w:t>
      </w:r>
      <w:r w:rsidR="009A7E9B" w:rsidRPr="00CF1919">
        <w:rPr>
          <w:rFonts w:cs="Arial"/>
          <w:b/>
          <w:szCs w:val="22"/>
        </w:rPr>
        <w:t>Generic Implementation Framework for House Consolidation</w:t>
      </w:r>
      <w:bookmarkEnd w:id="285"/>
    </w:p>
    <w:p w14:paraId="7F30D663" w14:textId="77777777" w:rsidR="009A7E9B" w:rsidRDefault="009A7E9B" w:rsidP="009A7E9B">
      <w:pPr>
        <w:spacing w:line="360" w:lineRule="auto"/>
        <w:ind w:left="488"/>
        <w:rPr>
          <w:rFonts w:cs="Arial"/>
          <w:szCs w:val="22"/>
        </w:rPr>
      </w:pPr>
    </w:p>
    <w:p w14:paraId="0F9D8556" w14:textId="77777777" w:rsidR="009A7E9B" w:rsidRDefault="009A7E9B" w:rsidP="009A7E9B">
      <w:pPr>
        <w:spacing w:line="360" w:lineRule="auto"/>
        <w:ind w:left="488"/>
        <w:rPr>
          <w:rFonts w:cs="Arial"/>
          <w:szCs w:val="22"/>
        </w:rPr>
        <w:sectPr w:rsidR="009A7E9B" w:rsidSect="003A0CCC">
          <w:pgSz w:w="15840" w:h="12240" w:orient="landscape"/>
          <w:pgMar w:top="1440" w:right="1440" w:bottom="1440" w:left="1440" w:header="720" w:footer="720" w:gutter="0"/>
          <w:cols w:space="720"/>
          <w:docGrid w:linePitch="360"/>
        </w:sectPr>
      </w:pPr>
      <w:r w:rsidRPr="00C95705">
        <w:rPr>
          <w:noProof/>
          <w:lang w:val="en-US"/>
        </w:rPr>
        <w:drawing>
          <wp:inline distT="0" distB="0" distL="0" distR="0" wp14:anchorId="07939B29" wp14:editId="44B41A2F">
            <wp:extent cx="8030633" cy="51094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8031365" cy="5109926"/>
                    </a:xfrm>
                    <a:prstGeom prst="rect">
                      <a:avLst/>
                    </a:prstGeom>
                    <a:noFill/>
                    <a:ln>
                      <a:noFill/>
                    </a:ln>
                  </pic:spPr>
                </pic:pic>
              </a:graphicData>
            </a:graphic>
          </wp:inline>
        </w:drawing>
      </w:r>
    </w:p>
    <w:p w14:paraId="01372877" w14:textId="77777777" w:rsidR="009A7E9B" w:rsidRPr="009A7E9B" w:rsidRDefault="009A7E9B" w:rsidP="009A7E9B">
      <w:pPr>
        <w:rPr>
          <w:rFonts w:cs="Arial"/>
        </w:rPr>
      </w:pPr>
    </w:p>
    <w:p w14:paraId="1DFE9EA1" w14:textId="77777777" w:rsidR="00E665CF" w:rsidRDefault="00E665CF" w:rsidP="00540DD7">
      <w:pPr>
        <w:pStyle w:val="Heading2"/>
      </w:pPr>
      <w:bookmarkStart w:id="286" w:name="_Toc270946048"/>
      <w:bookmarkStart w:id="287" w:name="_Toc262041226"/>
      <w:bookmarkStart w:id="288" w:name="_Toc262067878"/>
      <w:bookmarkStart w:id="289" w:name="_Toc261267700"/>
      <w:bookmarkEnd w:id="282"/>
      <w:bookmarkEnd w:id="283"/>
      <w:bookmarkEnd w:id="284"/>
      <w:r>
        <w:t>Basic Conditions Supporting Shelter Consolidation</w:t>
      </w:r>
      <w:bookmarkEnd w:id="286"/>
    </w:p>
    <w:p w14:paraId="7D9A9A56" w14:textId="77777777" w:rsidR="00540DD7" w:rsidRDefault="00540DD7" w:rsidP="00540DD7">
      <w:r>
        <w:t>The following basic conditions will determine the success of shelter consolidation.</w:t>
      </w:r>
    </w:p>
    <w:p w14:paraId="2F1FD991" w14:textId="77777777" w:rsidR="00540DD7" w:rsidRPr="00540DD7" w:rsidRDefault="00540DD7" w:rsidP="00540DD7">
      <w:pPr>
        <w:pStyle w:val="ListParagraph"/>
        <w:numPr>
          <w:ilvl w:val="0"/>
          <w:numId w:val="79"/>
        </w:numPr>
        <w:rPr>
          <w:rFonts w:cs="Arial"/>
        </w:rPr>
      </w:pPr>
      <w:r w:rsidRPr="00540DD7">
        <w:rPr>
          <w:rFonts w:cs="Arial"/>
        </w:rPr>
        <w:t>Land Tenure Security</w:t>
      </w:r>
    </w:p>
    <w:p w14:paraId="73EA611F" w14:textId="77777777" w:rsidR="00540DD7" w:rsidRPr="00540DD7" w:rsidRDefault="00540DD7" w:rsidP="00540DD7">
      <w:pPr>
        <w:pStyle w:val="ListParagraph"/>
        <w:numPr>
          <w:ilvl w:val="0"/>
          <w:numId w:val="79"/>
        </w:numPr>
        <w:rPr>
          <w:rFonts w:cs="Arial"/>
        </w:rPr>
      </w:pPr>
      <w:r w:rsidRPr="00540DD7">
        <w:rPr>
          <w:rFonts w:cs="Arial"/>
        </w:rPr>
        <w:t xml:space="preserve">Health, Safety and Urban Services </w:t>
      </w:r>
    </w:p>
    <w:p w14:paraId="019CCD1D" w14:textId="77777777" w:rsidR="00540DD7" w:rsidRPr="00540DD7" w:rsidRDefault="00540DD7" w:rsidP="00540DD7">
      <w:pPr>
        <w:pStyle w:val="ListParagraph"/>
        <w:numPr>
          <w:ilvl w:val="0"/>
          <w:numId w:val="79"/>
        </w:numPr>
        <w:rPr>
          <w:rFonts w:cs="Arial"/>
        </w:rPr>
      </w:pPr>
      <w:r w:rsidRPr="00540DD7">
        <w:rPr>
          <w:rFonts w:cs="Arial"/>
        </w:rPr>
        <w:t xml:space="preserve">Public Domain Investment </w:t>
      </w:r>
    </w:p>
    <w:p w14:paraId="777585E8" w14:textId="77777777" w:rsidR="00540DD7" w:rsidRPr="00540DD7" w:rsidRDefault="00540DD7" w:rsidP="00540DD7">
      <w:pPr>
        <w:pStyle w:val="ListParagraph"/>
        <w:numPr>
          <w:ilvl w:val="0"/>
          <w:numId w:val="79"/>
        </w:numPr>
        <w:rPr>
          <w:rFonts w:cs="Arial"/>
        </w:rPr>
      </w:pPr>
      <w:r w:rsidRPr="00540DD7">
        <w:rPr>
          <w:rFonts w:cs="Arial"/>
        </w:rPr>
        <w:t>Urban Planning Layouts</w:t>
      </w:r>
    </w:p>
    <w:p w14:paraId="729F1435" w14:textId="77777777" w:rsidR="00540DD7" w:rsidRPr="00540DD7" w:rsidRDefault="00540DD7" w:rsidP="00540DD7">
      <w:pPr>
        <w:pStyle w:val="ListParagraph"/>
        <w:numPr>
          <w:ilvl w:val="0"/>
          <w:numId w:val="79"/>
        </w:numPr>
        <w:rPr>
          <w:rFonts w:cs="Arial"/>
        </w:rPr>
      </w:pPr>
      <w:r w:rsidRPr="00540DD7">
        <w:rPr>
          <w:rFonts w:cs="Arial"/>
        </w:rPr>
        <w:t xml:space="preserve">Urban Planning and Management Control </w:t>
      </w:r>
    </w:p>
    <w:p w14:paraId="5BD73574" w14:textId="77777777" w:rsidR="00540DD7" w:rsidRPr="00540DD7" w:rsidRDefault="00540DD7" w:rsidP="00540DD7">
      <w:pPr>
        <w:pStyle w:val="ListParagraph"/>
        <w:numPr>
          <w:ilvl w:val="0"/>
          <w:numId w:val="79"/>
        </w:numPr>
        <w:rPr>
          <w:rFonts w:cs="Arial"/>
        </w:rPr>
      </w:pPr>
      <w:r w:rsidRPr="00540DD7">
        <w:rPr>
          <w:rFonts w:cs="Arial"/>
        </w:rPr>
        <w:t>Community Capacitation and Participation</w:t>
      </w:r>
    </w:p>
    <w:p w14:paraId="6A2A9B40" w14:textId="7F92C69B" w:rsidR="00540DD7" w:rsidRPr="00540DD7" w:rsidRDefault="00540DD7" w:rsidP="00540DD7">
      <w:pPr>
        <w:rPr>
          <w:rFonts w:cs="Arial"/>
        </w:rPr>
      </w:pPr>
      <w:r w:rsidRPr="00540DD7">
        <w:rPr>
          <w:rFonts w:cs="Arial"/>
        </w:rPr>
        <w:t xml:space="preserve">These factors are discussed below. </w:t>
      </w:r>
    </w:p>
    <w:bookmarkEnd w:id="287"/>
    <w:bookmarkEnd w:id="288"/>
    <w:p w14:paraId="3FC83C33" w14:textId="77777777" w:rsidR="00E665CF" w:rsidRDefault="00E665CF" w:rsidP="00E665CF">
      <w:pPr>
        <w:pStyle w:val="Heading3"/>
      </w:pPr>
      <w:r>
        <w:t>Land Tenure Security</w:t>
      </w:r>
    </w:p>
    <w:p w14:paraId="3613ABE4" w14:textId="51C67C83" w:rsidR="00E665CF" w:rsidRPr="00540DD7" w:rsidRDefault="00540DD7" w:rsidP="00540DD7">
      <w:pPr>
        <w:spacing w:line="360" w:lineRule="auto"/>
        <w:rPr>
          <w:rFonts w:cs="Arial"/>
          <w:szCs w:val="22"/>
        </w:rPr>
      </w:pPr>
      <w:r w:rsidRPr="00540DD7">
        <w:rPr>
          <w:rFonts w:cs="Arial"/>
          <w:szCs w:val="22"/>
        </w:rPr>
        <w:t xml:space="preserve">Secure tenure is a major incentive to households to invest in the improvement of their housing.  Evidence shows that this is even the case early in the settlement formalization process, where formal recognition has not taken place (Marx and Rubin, 2008). ACC take the view that it is necessary to </w:t>
      </w:r>
      <w:r w:rsidRPr="00540DD7">
        <w:rPr>
          <w:rFonts w:cs="Arial"/>
          <w:i/>
          <w:szCs w:val="22"/>
        </w:rPr>
        <w:t>“institutionalise pro-poor land rights registration systems that are free from the cumbersome and expensive procedures of free hold tenure”.</w:t>
      </w:r>
      <w:r w:rsidRPr="00540DD7">
        <w:rPr>
          <w:rFonts w:cs="Arial"/>
          <w:szCs w:val="22"/>
        </w:rPr>
        <w:t xml:space="preserve"> However, this paper specifically considers approaches to shelter consolidation within the UISP context – that is, for settlements that will be recipients of formal upgrading projects and will acquire serviced sites with freehold tenure</w:t>
      </w:r>
      <w:r>
        <w:rPr>
          <w:rFonts w:cs="Arial"/>
          <w:szCs w:val="22"/>
        </w:rPr>
        <w:t>.</w:t>
      </w:r>
    </w:p>
    <w:p w14:paraId="2992C083" w14:textId="77777777" w:rsidR="00E665CF" w:rsidRDefault="00E665CF" w:rsidP="00E665CF">
      <w:pPr>
        <w:pStyle w:val="Heading3"/>
      </w:pPr>
      <w:r>
        <w:t>Health, Safety &amp; Urban Services</w:t>
      </w:r>
    </w:p>
    <w:p w14:paraId="4F3CA200" w14:textId="2765BDF3" w:rsidR="00540DD7" w:rsidRPr="00540DD7" w:rsidRDefault="00540DD7" w:rsidP="00540DD7">
      <w:pPr>
        <w:spacing w:line="360" w:lineRule="auto"/>
        <w:rPr>
          <w:rFonts w:cs="Arial"/>
          <w:szCs w:val="22"/>
        </w:rPr>
      </w:pPr>
      <w:r w:rsidRPr="00540DD7">
        <w:rPr>
          <w:rFonts w:cs="Arial"/>
          <w:szCs w:val="22"/>
        </w:rPr>
        <w:t>Provision of basic conditions to enhance health and safety, most notably the basic urban service availability in the form of water, sanitation, energy and personal safety are core underlying stimulants of private housing investment</w:t>
      </w:r>
    </w:p>
    <w:p w14:paraId="7FE06DC6" w14:textId="77777777" w:rsidR="00E665CF" w:rsidRDefault="00E665CF" w:rsidP="00E665CF">
      <w:pPr>
        <w:pStyle w:val="Heading3"/>
      </w:pPr>
      <w:r>
        <w:t>Public Domain Investment</w:t>
      </w:r>
    </w:p>
    <w:p w14:paraId="7795A67E" w14:textId="43211873" w:rsidR="00540DD7" w:rsidRDefault="00540DD7" w:rsidP="00540DD7">
      <w:pPr>
        <w:spacing w:line="360" w:lineRule="auto"/>
        <w:rPr>
          <w:rFonts w:cs="Arial"/>
          <w:szCs w:val="22"/>
        </w:rPr>
      </w:pPr>
      <w:r>
        <w:rPr>
          <w:rFonts w:cs="Arial"/>
        </w:rPr>
        <w:t>Levels of investment in the public domain, including infrastructure networks, social and recreational facilities and government services again provide a level of comfort to households as a platform for personal investment and commitment to a settlement.</w:t>
      </w:r>
    </w:p>
    <w:p w14:paraId="66E4E1FA" w14:textId="203E0900" w:rsidR="00540DD7" w:rsidRPr="00540DD7" w:rsidRDefault="00540DD7" w:rsidP="00540DD7">
      <w:pPr>
        <w:spacing w:line="360" w:lineRule="auto"/>
        <w:rPr>
          <w:rFonts w:cs="Arial"/>
          <w:szCs w:val="22"/>
        </w:rPr>
      </w:pPr>
      <w:r w:rsidRPr="00540DD7">
        <w:rPr>
          <w:rFonts w:cs="Arial"/>
          <w:szCs w:val="22"/>
        </w:rPr>
        <w:t xml:space="preserve">The process of house construction and consolidation, by definition, has commenced prior to the UISP intervention with households investing in shack construction.  Given the long </w:t>
      </w:r>
      <w:r w:rsidRPr="00540DD7">
        <w:rPr>
          <w:rFonts w:cs="Arial"/>
          <w:szCs w:val="22"/>
        </w:rPr>
        <w:lastRenderedPageBreak/>
        <w:t>implementation periods for UISP projects, it is clear that to wait for the completion of UISP Phase 3 in order to initiate shelter consolidation would be a major impediment to the development of a community.  Where the state dominant approach is not being implemented, support for house consolidation should commence immediately after the approval of a conceptual settlement plan, and when individual sites have been pegged. Evidence exists (Weakely, 2013) of a spike in consolidation activity as soon as it is clear that an informal settlement will not be eradicated, and harnessing this energy can substantially shorten the time frame for house development</w:t>
      </w:r>
      <w:r w:rsidRPr="00540DD7">
        <w:rPr>
          <w:rFonts w:cs="Arial"/>
          <w:szCs w:val="22"/>
          <w:vertAlign w:val="superscript"/>
        </w:rPr>
        <w:footnoteReference w:id="16"/>
      </w:r>
      <w:r w:rsidRPr="00540DD7">
        <w:rPr>
          <w:rFonts w:cs="Arial"/>
          <w:szCs w:val="22"/>
          <w:vertAlign w:val="superscript"/>
        </w:rPr>
        <w:t>.</w:t>
      </w:r>
    </w:p>
    <w:p w14:paraId="38B50784" w14:textId="2B308D20" w:rsidR="00E665CF" w:rsidRDefault="00E665CF" w:rsidP="00E665CF">
      <w:pPr>
        <w:pStyle w:val="Heading3"/>
      </w:pPr>
      <w:r>
        <w:t>Settlement Planning &amp; Layout</w:t>
      </w:r>
    </w:p>
    <w:p w14:paraId="7F6A0E24" w14:textId="77777777" w:rsidR="00540DD7" w:rsidRDefault="00540DD7" w:rsidP="00E665CF">
      <w:pPr>
        <w:spacing w:line="360" w:lineRule="auto"/>
        <w:rPr>
          <w:rFonts w:cs="Arial"/>
        </w:rPr>
      </w:pPr>
      <w:r w:rsidRPr="00ED1324">
        <w:rPr>
          <w:rFonts w:cs="Arial"/>
        </w:rPr>
        <w:t>Setting a facilitative planning and urban management platform for incremental housing development.</w:t>
      </w:r>
      <w:r>
        <w:rPr>
          <w:rFonts w:cs="Arial"/>
        </w:rPr>
        <w:t xml:space="preserve"> The site layout approved for an informal settlement will fundamentally determine whom, where, whether and how house construction and consolidation occurs. Whether sites are evenly spaced, or irregular in layout and situation also affects how households may extend and improve their dwellings. </w:t>
      </w:r>
    </w:p>
    <w:p w14:paraId="24514CA4" w14:textId="71D88813" w:rsidR="00E665CF" w:rsidRPr="009F0D0F" w:rsidRDefault="00540DD7" w:rsidP="00E665CF">
      <w:pPr>
        <w:spacing w:line="360" w:lineRule="auto"/>
        <w:rPr>
          <w:rFonts w:cs="Arial"/>
          <w:szCs w:val="22"/>
        </w:rPr>
      </w:pPr>
      <w:r>
        <w:rPr>
          <w:rFonts w:cs="Arial"/>
        </w:rPr>
        <w:t xml:space="preserve">Appropriate settlement layouts form an important platform of land rights and urban formalization that provide the basis for the future development of a community. ACC refers to </w:t>
      </w:r>
      <w:r>
        <w:rPr>
          <w:rFonts w:cs="Arial"/>
          <w:i/>
        </w:rPr>
        <w:t>‘</w:t>
      </w:r>
      <w:r w:rsidRPr="00571811">
        <w:rPr>
          <w:rFonts w:cs="Arial"/>
          <w:i/>
        </w:rPr>
        <w:t>Designing and implementing more nuanced and contextually specific projects on the ground particularly in regard to land and infrastructure</w:t>
      </w:r>
      <w:r>
        <w:rPr>
          <w:rFonts w:cs="Arial"/>
          <w:i/>
        </w:rPr>
        <w:t xml:space="preserve"> and plot layouts’</w:t>
      </w:r>
      <w:r>
        <w:rPr>
          <w:rFonts w:cs="Arial"/>
        </w:rPr>
        <w:t>.</w:t>
      </w:r>
      <w:r w:rsidRPr="009A7E9B">
        <w:rPr>
          <w:rFonts w:cs="Arial"/>
        </w:rPr>
        <w:t xml:space="preserve"> </w:t>
      </w:r>
      <w:r>
        <w:rPr>
          <w:rFonts w:cs="Arial"/>
        </w:rPr>
        <w:t xml:space="preserve">Further, the location and size of regularized properties influence what can be built on the site over time. </w:t>
      </w:r>
      <w:r w:rsidR="00E665CF" w:rsidRPr="009F0D0F">
        <w:rPr>
          <w:rFonts w:cs="Arial"/>
          <w:szCs w:val="22"/>
        </w:rPr>
        <w:t xml:space="preserve">Many aspects of how a UISP project is planned and implemented will influence whether, to what extent, and how long house development and consolidation </w:t>
      </w:r>
      <w:r w:rsidR="00E665CF">
        <w:rPr>
          <w:rFonts w:cs="Arial"/>
          <w:szCs w:val="22"/>
        </w:rPr>
        <w:t>activity takes to develop</w:t>
      </w:r>
      <w:r w:rsidR="00E665CF" w:rsidRPr="009F0D0F">
        <w:rPr>
          <w:rFonts w:cs="Arial"/>
          <w:szCs w:val="22"/>
        </w:rPr>
        <w:t>.</w:t>
      </w:r>
      <w:r w:rsidR="00E665CF">
        <w:rPr>
          <w:rFonts w:cs="Arial"/>
          <w:szCs w:val="22"/>
        </w:rPr>
        <w:t xml:space="preserve"> Household-driven house building is an organic process that is influenced by many physical factors, as well as by how municipal authorities react (i.e. support or hinder) consolidation activities.</w:t>
      </w:r>
    </w:p>
    <w:p w14:paraId="100DD6A8" w14:textId="77777777" w:rsidR="00E665CF" w:rsidRPr="00E665CF" w:rsidRDefault="00E665CF" w:rsidP="00E665CF">
      <w:pPr>
        <w:pStyle w:val="ListParagraph"/>
        <w:numPr>
          <w:ilvl w:val="0"/>
          <w:numId w:val="16"/>
        </w:numPr>
        <w:ind w:left="720"/>
        <w:rPr>
          <w:rFonts w:cs="Arial"/>
          <w:b/>
        </w:rPr>
      </w:pPr>
      <w:r w:rsidRPr="00E665CF">
        <w:rPr>
          <w:rFonts w:cs="Arial"/>
          <w:b/>
        </w:rPr>
        <w:t xml:space="preserve">Design Typologies </w:t>
      </w:r>
      <w:r w:rsidRPr="00E665CF">
        <w:rPr>
          <w:rFonts w:cs="Arial"/>
        </w:rPr>
        <w:t xml:space="preserve">to be adopted </w:t>
      </w:r>
      <w:r>
        <w:rPr>
          <w:rFonts w:cs="Arial"/>
        </w:rPr>
        <w:t>are</w:t>
      </w:r>
      <w:r w:rsidRPr="00E665CF">
        <w:rPr>
          <w:rFonts w:cs="Arial"/>
        </w:rPr>
        <w:t xml:space="preserve"> critical.  Very dense settlements will either require substantial decanting of households to greenfields locations to free up sufficient space for remaining residents to build houses, or a medium density typology may be required (Diepsloot would be a case in point, see Annexure C).  If this is decided on, it has major implications for how house construction may occur</w:t>
      </w:r>
      <w:r w:rsidRPr="00E665CF">
        <w:rPr>
          <w:rFonts w:cs="Arial"/>
          <w:b/>
        </w:rPr>
        <w:t>.</w:t>
      </w:r>
      <w:r w:rsidRPr="00E665CF">
        <w:rPr>
          <w:rFonts w:cs="Arial"/>
        </w:rPr>
        <w:t xml:space="preserve"> New or upgraded structures will likely take the place of existing structures, or basic foundations, formwork or slabs may </w:t>
      </w:r>
      <w:r w:rsidRPr="00E665CF">
        <w:rPr>
          <w:rFonts w:cs="Arial"/>
        </w:rPr>
        <w:lastRenderedPageBreak/>
        <w:t xml:space="preserve">be required to facilitate vertical development to second and third storeys.  Ultimately, in some very dense settlements, a ‘verticalisation’ of tenure (for instance, in the form of providing three storey walkup platforms with tenure to subsequent floor units for displaced households) may be required. </w:t>
      </w:r>
    </w:p>
    <w:p w14:paraId="2CD17E90" w14:textId="77777777" w:rsidR="00E665CF" w:rsidRPr="00E665CF" w:rsidRDefault="00E665CF" w:rsidP="00E665CF">
      <w:pPr>
        <w:pStyle w:val="ListParagraph"/>
        <w:numPr>
          <w:ilvl w:val="0"/>
          <w:numId w:val="16"/>
        </w:numPr>
        <w:ind w:left="720"/>
        <w:rPr>
          <w:rFonts w:cs="Arial"/>
          <w:b/>
        </w:rPr>
      </w:pPr>
      <w:r w:rsidRPr="00E665CF">
        <w:rPr>
          <w:rFonts w:cs="Arial"/>
          <w:b/>
        </w:rPr>
        <w:t xml:space="preserve">Site Size: </w:t>
      </w:r>
      <w:r w:rsidRPr="00E665CF">
        <w:rPr>
          <w:rFonts w:cs="Arial"/>
        </w:rPr>
        <w:t xml:space="preserve">Sites should be sufficient in size to provide for the types of consolidation activities envisaged in the area.  However, certain cases indicate that, with community support, eventual site sizes may be much smaller than national norms and standards, therefore severely constraining the space available for house construction. See Langrug, Annexure C). </w:t>
      </w:r>
    </w:p>
    <w:p w14:paraId="29862FA8" w14:textId="7BF12A7C" w:rsidR="00E665CF" w:rsidRPr="00E665CF" w:rsidRDefault="00E665CF" w:rsidP="00E665CF">
      <w:pPr>
        <w:pStyle w:val="ListParagraph"/>
        <w:numPr>
          <w:ilvl w:val="0"/>
          <w:numId w:val="16"/>
        </w:numPr>
        <w:ind w:left="720"/>
        <w:rPr>
          <w:rFonts w:cs="Arial"/>
          <w:b/>
        </w:rPr>
      </w:pPr>
      <w:r w:rsidRPr="00E665CF">
        <w:rPr>
          <w:rFonts w:cs="Arial"/>
          <w:b/>
        </w:rPr>
        <w:t xml:space="preserve">Service connections: </w:t>
      </w:r>
      <w:r w:rsidRPr="00E665CF">
        <w:rPr>
          <w:rFonts w:cs="Arial"/>
        </w:rPr>
        <w:t>The location of service connections, both in re-blocking configurations and in situ service installations will influence the future design of house construction on a site. Furthermore, whether services may be accessible to the rest of a property can determine whether secondary ‘backyard room’ accommodation will be developed.</w:t>
      </w:r>
    </w:p>
    <w:p w14:paraId="303F7BB1" w14:textId="77777777" w:rsidR="00E665CF" w:rsidRDefault="00E665CF" w:rsidP="00E665CF">
      <w:pPr>
        <w:pStyle w:val="Heading3"/>
      </w:pPr>
      <w:r>
        <w:t>Urban Planning and Management</w:t>
      </w:r>
    </w:p>
    <w:p w14:paraId="03F042A9" w14:textId="77777777" w:rsidR="00E665CF" w:rsidRPr="00E665CF" w:rsidRDefault="00E665CF" w:rsidP="00E665CF">
      <w:pPr>
        <w:pStyle w:val="ListParagraph"/>
        <w:numPr>
          <w:ilvl w:val="0"/>
          <w:numId w:val="16"/>
        </w:numPr>
        <w:ind w:left="720"/>
        <w:rPr>
          <w:rFonts w:cs="Arial"/>
        </w:rPr>
      </w:pPr>
      <w:r w:rsidRPr="00E665CF">
        <w:rPr>
          <w:rFonts w:cs="Arial"/>
          <w:b/>
        </w:rPr>
        <w:t xml:space="preserve">Regulatory system (re)design and compliance support: </w:t>
      </w:r>
      <w:r w:rsidRPr="00E665CF">
        <w:rPr>
          <w:rFonts w:cs="Arial"/>
        </w:rPr>
        <w:t xml:space="preserve">The design and progressive institutionalization of appropriate tenure systems and the formulation of new appropriate zoning and building regulation systems, which according to the ACC </w:t>
      </w:r>
      <w:r w:rsidRPr="00E665CF">
        <w:rPr>
          <w:rFonts w:cs="Arial"/>
          <w:i/>
        </w:rPr>
        <w:t>‘…offer guidance, rather than prescription to incremental housing participant’”</w:t>
      </w:r>
      <w:r w:rsidRPr="00E665CF">
        <w:rPr>
          <w:rFonts w:cs="Arial"/>
        </w:rPr>
        <w:t xml:space="preserve"> ACC can be an important stimulant to house building</w:t>
      </w:r>
    </w:p>
    <w:p w14:paraId="5EE81ED2" w14:textId="333A0EA8" w:rsidR="00E665CF" w:rsidRPr="00E665CF" w:rsidRDefault="00E665CF" w:rsidP="00E665CF">
      <w:pPr>
        <w:pStyle w:val="ListParagraph"/>
        <w:numPr>
          <w:ilvl w:val="0"/>
          <w:numId w:val="16"/>
        </w:numPr>
        <w:ind w:left="720"/>
        <w:rPr>
          <w:rFonts w:cs="Arial"/>
        </w:rPr>
      </w:pPr>
      <w:r w:rsidRPr="00D81C50">
        <w:rPr>
          <w:rFonts w:cs="Arial"/>
          <w:b/>
          <w:highlight w:val="yellow"/>
        </w:rPr>
        <w:t xml:space="preserve">Innovative Zoning Approaches: </w:t>
      </w:r>
      <w:r w:rsidRPr="00D81C50">
        <w:rPr>
          <w:rFonts w:cs="Arial"/>
          <w:highlight w:val="yellow"/>
        </w:rPr>
        <w:t>ACC recommends that UISP plans consider implementing alternative zoning and building regulations that offer guidance, rather than prescription to incremental housing processes. Certain initiatives by some municipalities (e.g. Johannesburg and Cape Town Metros) to introduce less restrictive zoning and building regulations show promise in assisting households to build incrementally, whilst not having to comply with very strict planning controls. This may assist with legalizing mixed use development, and aspects of house consolidation that may not meet with existing, strict planning controls such as impermanent materials being used for walls, etc.</w:t>
      </w:r>
    </w:p>
    <w:tbl>
      <w:tblPr>
        <w:tblStyle w:val="TableGrid"/>
        <w:tblW w:w="0" w:type="auto"/>
        <w:tblInd w:w="817" w:type="dxa"/>
        <w:tblLook w:val="04A0" w:firstRow="1" w:lastRow="0" w:firstColumn="1" w:lastColumn="0" w:noHBand="0" w:noVBand="1"/>
      </w:tblPr>
      <w:tblGrid>
        <w:gridCol w:w="8647"/>
      </w:tblGrid>
      <w:tr w:rsidR="00E665CF" w14:paraId="51D35647" w14:textId="77777777" w:rsidTr="00E665CF">
        <w:tc>
          <w:tcPr>
            <w:tcW w:w="8647" w:type="dxa"/>
            <w:vAlign w:val="center"/>
          </w:tcPr>
          <w:p w14:paraId="09F356ED" w14:textId="30DCD92A" w:rsidR="00E665CF" w:rsidRPr="000056C2" w:rsidRDefault="00E665CF" w:rsidP="00E665CF">
            <w:pPr>
              <w:ind w:left="927"/>
              <w:jc w:val="center"/>
              <w:rPr>
                <w:rFonts w:cs="Arial"/>
                <w:b/>
              </w:rPr>
            </w:pPr>
            <w:r w:rsidRPr="000056C2">
              <w:rPr>
                <w:rFonts w:cs="Arial"/>
                <w:b/>
              </w:rPr>
              <w:t>BOX</w:t>
            </w:r>
            <w:r w:rsidR="007006C3">
              <w:rPr>
                <w:rFonts w:cs="Arial"/>
                <w:b/>
              </w:rPr>
              <w:t xml:space="preserve"> 1</w:t>
            </w:r>
            <w:r w:rsidRPr="000056C2">
              <w:rPr>
                <w:rFonts w:cs="Arial"/>
                <w:b/>
              </w:rPr>
              <w:t xml:space="preserve">: Innovative Landuse </w:t>
            </w:r>
            <w:r>
              <w:rPr>
                <w:rFonts w:cs="Arial"/>
                <w:b/>
              </w:rPr>
              <w:t xml:space="preserve">Management </w:t>
            </w:r>
            <w:r w:rsidRPr="000056C2">
              <w:rPr>
                <w:rFonts w:cs="Arial"/>
                <w:b/>
              </w:rPr>
              <w:t xml:space="preserve">Approaches in </w:t>
            </w:r>
            <w:r>
              <w:rPr>
                <w:rFonts w:cs="Arial"/>
                <w:b/>
              </w:rPr>
              <w:t>Johannesburg and eThikwini</w:t>
            </w:r>
          </w:p>
          <w:p w14:paraId="575A8682" w14:textId="77777777" w:rsidR="00E665CF" w:rsidRDefault="00E665CF" w:rsidP="00E665CF">
            <w:pPr>
              <w:pStyle w:val="BodyText"/>
              <w:spacing w:after="0"/>
              <w:ind w:left="34"/>
            </w:pPr>
            <w:r>
              <w:t xml:space="preserve">In Cosmo City, a mixed income integrated housing development North of </w:t>
            </w:r>
            <w:r>
              <w:lastRenderedPageBreak/>
              <w:t xml:space="preserve">Johannesburg, urban management controls have been used to manage the growth fo the backyarding sector in formal subsidised housing areas. </w:t>
            </w:r>
            <w:r w:rsidRPr="00D869A9">
              <w:t>The developers of the settlement</w:t>
            </w:r>
            <w:r>
              <w:t>,</w:t>
            </w:r>
            <w:r w:rsidRPr="00D869A9">
              <w:t xml:space="preserve"> through community liaison officers and building inspectors</w:t>
            </w:r>
            <w:r>
              <w:t>,</w:t>
            </w:r>
            <w:r w:rsidRPr="00D869A9">
              <w:t xml:space="preserve"> are managing urban </w:t>
            </w:r>
            <w:r>
              <w:t>development</w:t>
            </w:r>
            <w:r w:rsidRPr="00D869A9">
              <w:t xml:space="preserve"> </w:t>
            </w:r>
            <w:r>
              <w:t>through the c</w:t>
            </w:r>
            <w:r w:rsidRPr="00D869A9">
              <w:t>ontrolled development of a specified number of formal backyard rooms and units</w:t>
            </w:r>
            <w:r>
              <w:t>, and the discouragement of informal units.</w:t>
            </w:r>
          </w:p>
          <w:p w14:paraId="46E6FCD9" w14:textId="77777777" w:rsidR="00E665CF" w:rsidRDefault="00E665CF" w:rsidP="00E665CF">
            <w:pPr>
              <w:pStyle w:val="BodyText"/>
              <w:spacing w:after="0"/>
              <w:ind w:left="34"/>
            </w:pPr>
          </w:p>
          <w:p w14:paraId="267EDF95" w14:textId="77777777" w:rsidR="00E665CF" w:rsidRDefault="00E665CF" w:rsidP="00E665CF">
            <w:pPr>
              <w:pStyle w:val="BodyText"/>
              <w:spacing w:after="0"/>
              <w:ind w:left="34"/>
            </w:pPr>
            <w:r w:rsidRPr="006F420F">
              <w:rPr>
                <w:highlight w:val="yellow"/>
              </w:rPr>
              <w:t>Backyard units are allowed as long as plans have been approved by council and meet local development by-laws, which include that units cannot be constructed from temporary materials and must have access to services.</w:t>
            </w:r>
            <w:r>
              <w:t xml:space="preserve">  New home owners are sent for training on the Cosmo City by-laws and informed of the conditions for upgrading their units and the consequences i.e. demolition of building informal units on their properties.</w:t>
            </w:r>
            <w:r w:rsidRPr="00D869A9">
              <w:t xml:space="preserve"> </w:t>
            </w:r>
            <w:r>
              <w:t>Such a mechanism could be used to assist to guide the growth and formalisation of informal settlement upgrading areas over time.</w:t>
            </w:r>
          </w:p>
          <w:p w14:paraId="6C542D4B" w14:textId="77777777" w:rsidR="00E665CF" w:rsidRPr="00D869A9" w:rsidRDefault="00E665CF" w:rsidP="00E665CF">
            <w:pPr>
              <w:pStyle w:val="BodyText"/>
              <w:spacing w:after="0"/>
              <w:ind w:left="34"/>
            </w:pPr>
          </w:p>
          <w:p w14:paraId="745A921A" w14:textId="77777777" w:rsidR="00E665CF" w:rsidRDefault="00E665CF" w:rsidP="00E665CF">
            <w:pPr>
              <w:spacing w:after="0"/>
              <w:ind w:left="34"/>
              <w:rPr>
                <w:rFonts w:cs="Arial"/>
              </w:rPr>
            </w:pPr>
            <w:r w:rsidRPr="003A65E2">
              <w:rPr>
                <w:rFonts w:cs="Arial"/>
              </w:rPr>
              <w:t xml:space="preserve">This approach indicates that the nature and form of </w:t>
            </w:r>
            <w:r>
              <w:rPr>
                <w:rFonts w:cs="Arial"/>
              </w:rPr>
              <w:t>structures developed</w:t>
            </w:r>
            <w:r w:rsidRPr="003A65E2">
              <w:rPr>
                <w:rFonts w:cs="Arial"/>
              </w:rPr>
              <w:t xml:space="preserve"> can be guided and controlled by good urban management</w:t>
            </w:r>
            <w:r>
              <w:rPr>
                <w:rFonts w:cs="Arial"/>
              </w:rPr>
              <w:t xml:space="preserve"> practices. As a result of these interventions, </w:t>
            </w:r>
            <w:r w:rsidRPr="003A65E2">
              <w:rPr>
                <w:rFonts w:cs="Arial"/>
              </w:rPr>
              <w:t xml:space="preserve">Cosmo City </w:t>
            </w:r>
            <w:r>
              <w:rPr>
                <w:rFonts w:cs="Arial"/>
              </w:rPr>
              <w:t xml:space="preserve">now </w:t>
            </w:r>
            <w:r w:rsidRPr="003A65E2">
              <w:rPr>
                <w:rFonts w:cs="Arial"/>
              </w:rPr>
              <w:t>offers a mix of single rooms, rooms with shared ablutions and small self-contained living units, all formally constructed</w:t>
            </w:r>
            <w:r>
              <w:rPr>
                <w:rFonts w:cs="Arial"/>
              </w:rPr>
              <w:t>, in addition to the fully subsidised houses received by occupants</w:t>
            </w:r>
            <w:r w:rsidRPr="003A65E2">
              <w:rPr>
                <w:rFonts w:cs="Arial"/>
              </w:rPr>
              <w:t xml:space="preserve">.  </w:t>
            </w:r>
          </w:p>
          <w:p w14:paraId="51A3D306" w14:textId="77777777" w:rsidR="00E665CF" w:rsidRDefault="00E665CF" w:rsidP="00E665CF">
            <w:pPr>
              <w:spacing w:after="0"/>
              <w:ind w:left="34"/>
              <w:rPr>
                <w:rFonts w:cs="Arial"/>
              </w:rPr>
            </w:pPr>
          </w:p>
          <w:p w14:paraId="14E37675" w14:textId="77777777" w:rsidR="00E665CF" w:rsidRDefault="00E665CF" w:rsidP="00E665CF">
            <w:pPr>
              <w:spacing w:after="0"/>
              <w:ind w:left="34"/>
              <w:rPr>
                <w:rFonts w:cs="Arial"/>
              </w:rPr>
            </w:pPr>
            <w:r w:rsidRPr="006F420F">
              <w:rPr>
                <w:rFonts w:cs="Arial"/>
                <w:highlight w:val="yellow"/>
              </w:rPr>
              <w:t>eThikwini has developed a special land use zone that is intended to create a legal framework within which less formal development can occur without being in contravention of town planning schemes. This includes relaxed building lines, increased densities, and relaxed building norms and standards. This zone can be applied in upgrading areas, as well as in areas with backyard units, and ensures that basic health and safety norms are adhered to, yet within a framework that is more sympathetic to the incremental development process followed in many ISU project areas.</w:t>
            </w:r>
            <w:r w:rsidRPr="006C7351">
              <w:rPr>
                <w:rFonts w:cs="Arial"/>
              </w:rPr>
              <w:t xml:space="preserve"> </w:t>
            </w:r>
          </w:p>
          <w:p w14:paraId="754421D8" w14:textId="77777777" w:rsidR="00E665CF" w:rsidRPr="004B65F4" w:rsidRDefault="00E665CF" w:rsidP="00E665CF">
            <w:pPr>
              <w:spacing w:after="0"/>
              <w:ind w:left="34"/>
              <w:rPr>
                <w:rFonts w:cs="Arial"/>
              </w:rPr>
            </w:pPr>
            <w:r>
              <w:rPr>
                <w:rFonts w:cs="Arial"/>
              </w:rPr>
              <w:t>Source: Gardner &amp; Rubin, 2013</w:t>
            </w:r>
          </w:p>
        </w:tc>
      </w:tr>
    </w:tbl>
    <w:p w14:paraId="33A1B08B" w14:textId="77777777" w:rsidR="00E665CF" w:rsidRPr="004B65F4" w:rsidRDefault="00E665CF" w:rsidP="00E665CF">
      <w:pPr>
        <w:ind w:left="720"/>
        <w:rPr>
          <w:rFonts w:cs="Arial"/>
          <w:b/>
        </w:rPr>
      </w:pPr>
    </w:p>
    <w:p w14:paraId="2967F08D" w14:textId="77777777" w:rsidR="00E665CF" w:rsidRPr="007B5CF1" w:rsidRDefault="00E665CF" w:rsidP="00584087">
      <w:pPr>
        <w:pStyle w:val="ListParagraph"/>
        <w:numPr>
          <w:ilvl w:val="0"/>
          <w:numId w:val="16"/>
        </w:numPr>
        <w:ind w:left="720"/>
        <w:rPr>
          <w:rFonts w:cs="Arial"/>
          <w:highlight w:val="yellow"/>
        </w:rPr>
      </w:pPr>
      <w:r w:rsidRPr="007B5CF1">
        <w:rPr>
          <w:rFonts w:cs="Arial"/>
          <w:b/>
          <w:highlight w:val="yellow"/>
        </w:rPr>
        <w:t xml:space="preserve">Primary Building Rights: </w:t>
      </w:r>
      <w:r w:rsidRPr="007B5CF1">
        <w:rPr>
          <w:rFonts w:cs="Arial"/>
          <w:highlight w:val="yellow"/>
        </w:rPr>
        <w:t>Where possible, primary house construction rights, including standardized approved house designs, can ease the administrative burdens of building control and approvals. This in turn can substantially reduce official transaction costs for households. In more formal areas, some cities (Johannesburg and Cape Town) have blanket second dwelling unit rights.  In UISP contexts, given that it is known that backyard units will be developed over time, an original layout plan and Title Deed that approves and specifies locations and standardized plans for backyard units would be a significant incentive to households to meet these conditions, without having to interface directly with building and planning departments and pay the additional costs that such approvals would ordinarily require.</w:t>
      </w:r>
    </w:p>
    <w:p w14:paraId="762C55D0" w14:textId="56A73997" w:rsidR="00E665CF" w:rsidRPr="00E665CF" w:rsidRDefault="00E665CF" w:rsidP="00E665CF">
      <w:pPr>
        <w:pStyle w:val="ListParagraph"/>
        <w:numPr>
          <w:ilvl w:val="0"/>
          <w:numId w:val="16"/>
        </w:numPr>
        <w:ind w:left="720"/>
        <w:rPr>
          <w:rFonts w:cs="Arial"/>
        </w:rPr>
      </w:pPr>
      <w:r w:rsidRPr="00E665CF">
        <w:rPr>
          <w:rFonts w:cs="Arial"/>
          <w:b/>
        </w:rPr>
        <w:lastRenderedPageBreak/>
        <w:t>Town Planning, Building Standards and Controls</w:t>
      </w:r>
      <w:r>
        <w:rPr>
          <w:rStyle w:val="FootnoteReference"/>
          <w:b/>
        </w:rPr>
        <w:footnoteReference w:id="17"/>
      </w:r>
      <w:r w:rsidRPr="00E665CF">
        <w:rPr>
          <w:rFonts w:cs="Arial"/>
        </w:rPr>
        <w:t>: The Housing Consumer Measures Act   provides opportunity for exemption of owner builders from NHBRC regulations. However, ensuring that over time houses meet basic norms and standards is also important, but should be undertaken in the context of incrementalism, and noting alternative building standards as set out in the Green Book and Agrement alternative building methodologies certification processes.  Evidence suggests that  that incremental development outcomes may be positively influenced by balanced controls and enforcement (Gardner and Rubin, 2013).  For instance, in Cosmo City, the developer, in liaison with the municipality, undertook a development control function to ensure that only formal secondary (backyard) structures were constructed, and that these adhered to basic construction norms.</w:t>
      </w:r>
    </w:p>
    <w:p w14:paraId="555124E3" w14:textId="57FA212C" w:rsidR="00E665CF" w:rsidRPr="00E665CF" w:rsidRDefault="00E665CF" w:rsidP="00E665CF">
      <w:pPr>
        <w:pStyle w:val="ListParagraph"/>
        <w:numPr>
          <w:ilvl w:val="0"/>
          <w:numId w:val="16"/>
        </w:numPr>
        <w:ind w:left="720"/>
        <w:rPr>
          <w:rFonts w:cs="Arial"/>
        </w:rPr>
      </w:pPr>
      <w:r w:rsidRPr="00E665CF">
        <w:rPr>
          <w:rFonts w:cs="Arial"/>
          <w:b/>
        </w:rPr>
        <w:t xml:space="preserve">Municipal Assistance: </w:t>
      </w:r>
      <w:r w:rsidRPr="00E665CF">
        <w:rPr>
          <w:rFonts w:cs="Arial"/>
        </w:rPr>
        <w:t>For a well-resourced household, navigating the administrative and institutional hurdles at municipal sphere to gain approval of zoning or building plans required can be daunting. For low-income households, this can be a major impediment to legally pursuing house consolidation. Municipalities should therefore assist residents to access and obtain information, support and approvals for house construction requirements within UISP projects. This can substantially reduce transaction costs in the building process.</w:t>
      </w:r>
    </w:p>
    <w:p w14:paraId="5224ADD5" w14:textId="77777777" w:rsidR="00E665CF" w:rsidRDefault="00E665CF" w:rsidP="00E665CF">
      <w:pPr>
        <w:pStyle w:val="Heading3"/>
      </w:pPr>
      <w:r>
        <w:t>Community Capacitation</w:t>
      </w:r>
    </w:p>
    <w:p w14:paraId="4F07C0B6" w14:textId="77777777" w:rsidR="00540DD7" w:rsidRPr="00540DD7" w:rsidRDefault="00540DD7" w:rsidP="00540DD7">
      <w:pPr>
        <w:spacing w:line="360" w:lineRule="auto"/>
        <w:rPr>
          <w:rFonts w:cs="Arial"/>
          <w:szCs w:val="22"/>
        </w:rPr>
      </w:pPr>
      <w:r w:rsidRPr="00540DD7">
        <w:rPr>
          <w:rFonts w:cs="Arial"/>
          <w:szCs w:val="22"/>
        </w:rPr>
        <w:t>Deep participative modes in which all parties to the process reach agreement on what, how, and when actions are implemented are fundamental to the process, and considered implicit to the success of all upgrading projects, whichever implementation mode they follow. However, the complexity and interrelatedness of inputs from the state, households themselves, support agencies and the private sector in the blended mode places a heightened requirement on good participative and capacitation processe to ensure success.</w:t>
      </w:r>
    </w:p>
    <w:p w14:paraId="28053A6D" w14:textId="77777777" w:rsidR="00B00057" w:rsidRDefault="00B00057" w:rsidP="000F2975">
      <w:pPr>
        <w:pStyle w:val="Heading3"/>
      </w:pPr>
      <w:bookmarkStart w:id="290" w:name="_Toc262041228"/>
      <w:bookmarkStart w:id="291" w:name="_Toc262067880"/>
      <w:bookmarkStart w:id="292" w:name="_Toc262068206"/>
      <w:r>
        <w:t>Suggested Implementation Arrangements</w:t>
      </w:r>
      <w:bookmarkEnd w:id="290"/>
      <w:bookmarkEnd w:id="291"/>
      <w:bookmarkEnd w:id="292"/>
    </w:p>
    <w:p w14:paraId="6B9F20EA" w14:textId="77777777" w:rsidR="00B00057" w:rsidRPr="005123D5" w:rsidRDefault="00B00057" w:rsidP="00250EA9">
      <w:pPr>
        <w:spacing w:line="360" w:lineRule="auto"/>
        <w:rPr>
          <w:rFonts w:cs="Arial"/>
          <w:szCs w:val="22"/>
        </w:rPr>
      </w:pPr>
      <w:r w:rsidRPr="005123D5">
        <w:rPr>
          <w:rFonts w:cs="Arial"/>
          <w:szCs w:val="22"/>
        </w:rPr>
        <w:t xml:space="preserve">Many of the above considerations occur at </w:t>
      </w:r>
      <w:r>
        <w:rPr>
          <w:rFonts w:cs="Arial"/>
          <w:szCs w:val="22"/>
        </w:rPr>
        <w:t xml:space="preserve">three </w:t>
      </w:r>
      <w:r w:rsidRPr="005123D5">
        <w:rPr>
          <w:rFonts w:cs="Arial"/>
          <w:szCs w:val="22"/>
        </w:rPr>
        <w:t>levels:</w:t>
      </w:r>
    </w:p>
    <w:p w14:paraId="52BEAF7C" w14:textId="3D8CF694" w:rsidR="00B00057" w:rsidRDefault="00B00057" w:rsidP="0055634E">
      <w:pPr>
        <w:pStyle w:val="ListParagraph"/>
        <w:numPr>
          <w:ilvl w:val="0"/>
          <w:numId w:val="7"/>
        </w:numPr>
        <w:ind w:left="720"/>
        <w:rPr>
          <w:rFonts w:cs="Arial"/>
        </w:rPr>
      </w:pPr>
      <w:r w:rsidRPr="00745FFE">
        <w:rPr>
          <w:rFonts w:cs="Arial"/>
        </w:rPr>
        <w:lastRenderedPageBreak/>
        <w:t xml:space="preserve">Firstly, at the </w:t>
      </w:r>
      <w:r w:rsidRPr="00745FFE">
        <w:rPr>
          <w:rFonts w:cs="Arial"/>
          <w:b/>
        </w:rPr>
        <w:t>national level</w:t>
      </w:r>
      <w:r>
        <w:rPr>
          <w:rFonts w:cs="Arial"/>
        </w:rPr>
        <w:t>, where the NHBRC requirements</w:t>
      </w:r>
      <w:r w:rsidR="00E259B9">
        <w:rPr>
          <w:rFonts w:cs="Arial"/>
        </w:rPr>
        <w:t xml:space="preserve"> and National Building Regulations </w:t>
      </w:r>
      <w:r>
        <w:rPr>
          <w:rFonts w:cs="Arial"/>
        </w:rPr>
        <w:t>require critical review to ensure that they support, rather than hinder incremental house building processes within the context of UISP development.</w:t>
      </w:r>
    </w:p>
    <w:p w14:paraId="785F1943" w14:textId="1800A900" w:rsidR="00B00057" w:rsidRPr="004F7869" w:rsidRDefault="00B00057" w:rsidP="0055634E">
      <w:pPr>
        <w:pStyle w:val="ListParagraph"/>
        <w:numPr>
          <w:ilvl w:val="0"/>
          <w:numId w:val="7"/>
        </w:numPr>
        <w:ind w:left="720"/>
        <w:rPr>
          <w:rFonts w:cs="Arial"/>
        </w:rPr>
      </w:pPr>
      <w:r w:rsidRPr="004F7869">
        <w:rPr>
          <w:rFonts w:cs="Arial"/>
        </w:rPr>
        <w:t xml:space="preserve">Secondly, at the </w:t>
      </w:r>
      <w:r w:rsidRPr="004F7869">
        <w:rPr>
          <w:rFonts w:cs="Arial"/>
          <w:b/>
        </w:rPr>
        <w:t>municipal level</w:t>
      </w:r>
      <w:r w:rsidRPr="004F7869">
        <w:rPr>
          <w:rFonts w:cs="Arial"/>
        </w:rPr>
        <w:t xml:space="preserve">, where current Town Planning Schemes, Regulations, Norms and Standards need to be adjusted to meet the new requirements of incremental development, and then implemented and upheld within a new understanding of, and spirit of </w:t>
      </w:r>
      <w:r w:rsidR="0005267E" w:rsidRPr="004F7869">
        <w:rPr>
          <w:rFonts w:cs="Arial"/>
        </w:rPr>
        <w:t>instrumentalism</w:t>
      </w:r>
      <w:r w:rsidRPr="004F7869">
        <w:rPr>
          <w:rFonts w:cs="Arial"/>
        </w:rPr>
        <w:t>. What is critical for this process to be successful</w:t>
      </w:r>
      <w:r w:rsidR="007229A3">
        <w:rPr>
          <w:rFonts w:cs="Arial"/>
        </w:rPr>
        <w:t xml:space="preserve"> is</w:t>
      </w:r>
      <w:r w:rsidRPr="004F7869">
        <w:rPr>
          <w:rFonts w:cs="Arial"/>
        </w:rPr>
        <w:t xml:space="preserve"> for municipalities to review their planning frameworks in line with the new Spatial Planning and Land </w:t>
      </w:r>
      <w:r>
        <w:rPr>
          <w:rFonts w:cs="Arial"/>
        </w:rPr>
        <w:t>U</w:t>
      </w:r>
      <w:r w:rsidRPr="004F7869">
        <w:rPr>
          <w:rFonts w:cs="Arial"/>
        </w:rPr>
        <w:t xml:space="preserve">se Management Act (2013). </w:t>
      </w:r>
    </w:p>
    <w:p w14:paraId="73590AC9" w14:textId="25EFE809" w:rsidR="00B00057" w:rsidRPr="00745FFE" w:rsidRDefault="00B00057" w:rsidP="0055634E">
      <w:pPr>
        <w:pStyle w:val="ListParagraph"/>
        <w:numPr>
          <w:ilvl w:val="0"/>
          <w:numId w:val="7"/>
        </w:numPr>
        <w:ind w:left="720"/>
        <w:rPr>
          <w:rFonts w:cs="Arial"/>
        </w:rPr>
      </w:pPr>
      <w:r>
        <w:rPr>
          <w:rFonts w:cs="Arial"/>
        </w:rPr>
        <w:t xml:space="preserve">Thirdly, at the </w:t>
      </w:r>
      <w:r w:rsidRPr="004F7869">
        <w:rPr>
          <w:rFonts w:cs="Arial"/>
          <w:b/>
        </w:rPr>
        <w:t>project level</w:t>
      </w:r>
      <w:r>
        <w:rPr>
          <w:rFonts w:cs="Arial"/>
        </w:rPr>
        <w:t xml:space="preserve"> </w:t>
      </w:r>
      <w:r w:rsidRPr="00745FFE">
        <w:rPr>
          <w:rFonts w:cs="Arial"/>
        </w:rPr>
        <w:t>during the process of negotiating an</w:t>
      </w:r>
      <w:r>
        <w:rPr>
          <w:rFonts w:cs="Arial"/>
        </w:rPr>
        <w:t>d</w:t>
      </w:r>
      <w:r w:rsidRPr="00745FFE">
        <w:rPr>
          <w:rFonts w:cs="Arial"/>
        </w:rPr>
        <w:t xml:space="preserve"> agree</w:t>
      </w:r>
      <w:r>
        <w:rPr>
          <w:rFonts w:cs="Arial"/>
        </w:rPr>
        <w:t xml:space="preserve">ing an affected informal settlement’s </w:t>
      </w:r>
      <w:r w:rsidRPr="00745FFE">
        <w:rPr>
          <w:rFonts w:cs="Arial"/>
          <w:b/>
        </w:rPr>
        <w:t>Settlement Plan</w:t>
      </w:r>
      <w:r w:rsidRPr="00745FFE">
        <w:rPr>
          <w:rFonts w:cs="Arial"/>
        </w:rPr>
        <w:t xml:space="preserve"> with the affected dwellers</w:t>
      </w:r>
      <w:r>
        <w:rPr>
          <w:rFonts w:cs="Arial"/>
        </w:rPr>
        <w:t xml:space="preserve"> during Phase </w:t>
      </w:r>
      <w:r w:rsidR="007229A3">
        <w:rPr>
          <w:rFonts w:cs="Arial"/>
        </w:rPr>
        <w:t>1</w:t>
      </w:r>
      <w:r>
        <w:rPr>
          <w:rFonts w:cs="Arial"/>
        </w:rPr>
        <w:t xml:space="preserve"> of the UISP</w:t>
      </w:r>
      <w:r w:rsidRPr="00745FFE">
        <w:rPr>
          <w:rFonts w:cs="Arial"/>
        </w:rPr>
        <w:t xml:space="preserve"> </w:t>
      </w:r>
      <w:r>
        <w:rPr>
          <w:rFonts w:cs="Arial"/>
        </w:rPr>
        <w:t xml:space="preserve">and </w:t>
      </w:r>
      <w:r w:rsidRPr="00745FFE">
        <w:rPr>
          <w:rFonts w:cs="Arial"/>
        </w:rPr>
        <w:t xml:space="preserve">the project implementation </w:t>
      </w:r>
      <w:r>
        <w:rPr>
          <w:rFonts w:cs="Arial"/>
        </w:rPr>
        <w:t>phase</w:t>
      </w:r>
      <w:r w:rsidRPr="00745FFE">
        <w:rPr>
          <w:rFonts w:cs="Arial"/>
        </w:rPr>
        <w:t xml:space="preserve">, where the </w:t>
      </w:r>
      <w:r>
        <w:rPr>
          <w:rFonts w:cs="Arial"/>
        </w:rPr>
        <w:t xml:space="preserve">municipality, </w:t>
      </w:r>
      <w:r w:rsidRPr="00745FFE">
        <w:rPr>
          <w:rFonts w:cs="Arial"/>
        </w:rPr>
        <w:t>Implementing Agents</w:t>
      </w:r>
      <w:r>
        <w:rPr>
          <w:rFonts w:cs="Arial"/>
        </w:rPr>
        <w:t xml:space="preserve">, contractors, NPOs and community </w:t>
      </w:r>
      <w:r w:rsidR="008B47BF">
        <w:rPr>
          <w:rFonts w:cs="Arial"/>
        </w:rPr>
        <w:t>organization</w:t>
      </w:r>
      <w:r>
        <w:rPr>
          <w:rFonts w:cs="Arial"/>
        </w:rPr>
        <w:t xml:space="preserve">s need to work together through </w:t>
      </w:r>
      <w:r w:rsidRPr="00745FFE">
        <w:rPr>
          <w:rFonts w:cs="Arial"/>
          <w:b/>
        </w:rPr>
        <w:t>established facilitative support processes</w:t>
      </w:r>
      <w:r>
        <w:rPr>
          <w:rFonts w:cs="Arial"/>
        </w:rPr>
        <w:t xml:space="preserve"> to sensitively implement, support and guide / control incremental home building and consolidation activity.</w:t>
      </w:r>
      <w:r w:rsidRPr="00745FFE">
        <w:rPr>
          <w:rFonts w:cs="Arial"/>
        </w:rPr>
        <w:t xml:space="preserve"> </w:t>
      </w:r>
    </w:p>
    <w:p w14:paraId="39FFAD24" w14:textId="77777777" w:rsidR="00B00057" w:rsidRPr="00C94358" w:rsidRDefault="00B00057" w:rsidP="000F2975">
      <w:pPr>
        <w:pStyle w:val="Heading3"/>
        <w:rPr>
          <w:highlight w:val="yellow"/>
        </w:rPr>
      </w:pPr>
      <w:bookmarkStart w:id="293" w:name="_Toc262041229"/>
      <w:bookmarkStart w:id="294" w:name="_Toc262067881"/>
      <w:bookmarkStart w:id="295" w:name="_Toc262068207"/>
      <w:r w:rsidRPr="00C94358">
        <w:rPr>
          <w:highlight w:val="yellow"/>
        </w:rPr>
        <w:t>Sources of Financing &amp; Support</w:t>
      </w:r>
      <w:bookmarkEnd w:id="293"/>
      <w:bookmarkEnd w:id="294"/>
      <w:bookmarkEnd w:id="295"/>
    </w:p>
    <w:p w14:paraId="20A21C1E" w14:textId="05A829F1" w:rsidR="00B00057" w:rsidRPr="00C94358" w:rsidRDefault="00B00057" w:rsidP="0055634E">
      <w:pPr>
        <w:pStyle w:val="ListParagraph"/>
        <w:numPr>
          <w:ilvl w:val="0"/>
          <w:numId w:val="7"/>
        </w:numPr>
        <w:ind w:left="720"/>
        <w:rPr>
          <w:rFonts w:cs="Arial"/>
          <w:highlight w:val="yellow"/>
        </w:rPr>
      </w:pPr>
      <w:r w:rsidRPr="00C94358">
        <w:rPr>
          <w:rFonts w:cs="Arial"/>
          <w:highlight w:val="yellow"/>
        </w:rPr>
        <w:t>At the project level it is clear that the UISP Code provides for the funding of the project level processes of land titling, house type development, layout formulation and re blocking where necessary</w:t>
      </w:r>
      <w:r w:rsidR="008B47BF" w:rsidRPr="00C94358">
        <w:rPr>
          <w:rFonts w:cs="Arial"/>
          <w:highlight w:val="yellow"/>
        </w:rPr>
        <w:t>,</w:t>
      </w:r>
      <w:r w:rsidRPr="00C94358">
        <w:rPr>
          <w:rFonts w:cs="Arial"/>
          <w:highlight w:val="yellow"/>
        </w:rPr>
        <w:t xml:space="preserve"> although the adequacy of the amounts provided for in complex project environments still needs to be scrutinised. </w:t>
      </w:r>
    </w:p>
    <w:p w14:paraId="061D5CCE" w14:textId="16447EBD" w:rsidR="00B00057" w:rsidRPr="00C94358" w:rsidRDefault="00B00057" w:rsidP="0055634E">
      <w:pPr>
        <w:pStyle w:val="ListParagraph"/>
        <w:numPr>
          <w:ilvl w:val="0"/>
          <w:numId w:val="7"/>
        </w:numPr>
        <w:ind w:left="720"/>
        <w:rPr>
          <w:rFonts w:cs="Arial"/>
          <w:highlight w:val="yellow"/>
        </w:rPr>
      </w:pPr>
      <w:r w:rsidRPr="00C94358">
        <w:rPr>
          <w:rFonts w:cs="Arial"/>
          <w:highlight w:val="yellow"/>
        </w:rPr>
        <w:t>The funding of the critical city wide processes needed to adjust the town planning regulation systems, regulations, bye-laws and to implement new supportive mechanisms of building controls suited to incremental housing contexts falls beyond the scope of specific UISP project funding. Many municipalities will be unable to fund these processes through the general municipal revenue sources, and it is possible that a programme funding gap in this area exists.</w:t>
      </w:r>
    </w:p>
    <w:p w14:paraId="19BC615A" w14:textId="77777777" w:rsidR="00540DD7" w:rsidRDefault="00540DD7" w:rsidP="00540DD7">
      <w:pPr>
        <w:pStyle w:val="Heading2"/>
      </w:pPr>
      <w:bookmarkStart w:id="296" w:name="_Toc270946049"/>
      <w:bookmarkStart w:id="297" w:name="_Toc262041238"/>
      <w:bookmarkStart w:id="298" w:name="_Toc262067890"/>
      <w:bookmarkStart w:id="299" w:name="_Toc262041230"/>
      <w:bookmarkStart w:id="300" w:name="_Toc262067882"/>
      <w:r>
        <w:t>Elements of a Support Framework for Incremental Housing</w:t>
      </w:r>
      <w:bookmarkEnd w:id="296"/>
      <w:r>
        <w:t xml:space="preserve"> </w:t>
      </w:r>
    </w:p>
    <w:p w14:paraId="6AEF890B" w14:textId="77777777" w:rsidR="00540DD7" w:rsidRDefault="00540DD7" w:rsidP="00540DD7">
      <w:pPr>
        <w:spacing w:line="360" w:lineRule="auto"/>
        <w:rPr>
          <w:rFonts w:cs="Arial"/>
          <w:szCs w:val="22"/>
        </w:rPr>
      </w:pPr>
      <w:bookmarkStart w:id="301" w:name="_Toc261701430"/>
      <w:r w:rsidRPr="00EC1273">
        <w:rPr>
          <w:rFonts w:cs="Arial"/>
          <w:szCs w:val="22"/>
        </w:rPr>
        <w:t xml:space="preserve">Drawing from </w:t>
      </w:r>
      <w:r>
        <w:rPr>
          <w:rFonts w:cs="Arial"/>
          <w:szCs w:val="22"/>
        </w:rPr>
        <w:t xml:space="preserve">the conceptual framework in Chapter 3 </w:t>
      </w:r>
      <w:r w:rsidRPr="00EC1273">
        <w:rPr>
          <w:rFonts w:cs="Arial"/>
          <w:szCs w:val="22"/>
        </w:rPr>
        <w:t xml:space="preserve">it becomes evident that the following set of </w:t>
      </w:r>
      <w:r>
        <w:rPr>
          <w:rFonts w:cs="Arial"/>
          <w:szCs w:val="22"/>
        </w:rPr>
        <w:t>six</w:t>
      </w:r>
      <w:r w:rsidRPr="00EC1273">
        <w:rPr>
          <w:rFonts w:cs="Arial"/>
          <w:szCs w:val="22"/>
        </w:rPr>
        <w:t xml:space="preserve"> </w:t>
      </w:r>
      <w:r>
        <w:rPr>
          <w:rFonts w:cs="Arial"/>
          <w:szCs w:val="22"/>
        </w:rPr>
        <w:t xml:space="preserve">elements, or </w:t>
      </w:r>
      <w:r w:rsidRPr="00EC1273">
        <w:rPr>
          <w:rFonts w:cs="Arial"/>
          <w:szCs w:val="22"/>
        </w:rPr>
        <w:t>work streams</w:t>
      </w:r>
      <w:r>
        <w:rPr>
          <w:rFonts w:cs="Arial"/>
          <w:szCs w:val="22"/>
        </w:rPr>
        <w:t xml:space="preserve">, or areas of facilitation, form the framework for an enablement approach for incremental house consolidation through </w:t>
      </w:r>
      <w:r w:rsidRPr="00EC1273">
        <w:rPr>
          <w:rFonts w:cs="Arial"/>
          <w:szCs w:val="22"/>
        </w:rPr>
        <w:t>the blended consolidation mode:</w:t>
      </w:r>
      <w:bookmarkEnd w:id="301"/>
      <w:r>
        <w:rPr>
          <w:rFonts w:cs="Arial"/>
          <w:szCs w:val="22"/>
        </w:rPr>
        <w:t xml:space="preserve">  </w:t>
      </w:r>
    </w:p>
    <w:p w14:paraId="0269528D" w14:textId="77777777" w:rsidR="00540DD7" w:rsidRPr="00A82B82" w:rsidRDefault="00540DD7" w:rsidP="00540DD7">
      <w:pPr>
        <w:pStyle w:val="ListParagraph"/>
        <w:numPr>
          <w:ilvl w:val="0"/>
          <w:numId w:val="34"/>
        </w:numPr>
        <w:tabs>
          <w:tab w:val="left" w:pos="284"/>
        </w:tabs>
        <w:ind w:left="709" w:hanging="567"/>
        <w:rPr>
          <w:rFonts w:cs="Arial"/>
        </w:rPr>
      </w:pPr>
      <w:r>
        <w:rPr>
          <w:rFonts w:cs="Arial"/>
          <w:b/>
        </w:rPr>
        <w:lastRenderedPageBreak/>
        <w:t xml:space="preserve">House </w:t>
      </w:r>
      <w:r w:rsidRPr="00EC1273">
        <w:rPr>
          <w:rFonts w:cs="Arial"/>
          <w:b/>
        </w:rPr>
        <w:t xml:space="preserve">Subsidy </w:t>
      </w:r>
      <w:r>
        <w:rPr>
          <w:rFonts w:cs="Arial"/>
          <w:b/>
        </w:rPr>
        <w:t>A</w:t>
      </w:r>
      <w:r w:rsidRPr="00EC1273">
        <w:rPr>
          <w:rFonts w:cs="Arial"/>
          <w:b/>
        </w:rPr>
        <w:t>ssistance</w:t>
      </w:r>
      <w:r>
        <w:rPr>
          <w:rFonts w:cs="Arial"/>
        </w:rPr>
        <w:t>:</w:t>
      </w:r>
      <w:r w:rsidRPr="00A82B82">
        <w:rPr>
          <w:rFonts w:cs="Arial"/>
        </w:rPr>
        <w:t xml:space="preserve"> </w:t>
      </w:r>
      <w:r>
        <w:rPr>
          <w:rFonts w:cs="Arial"/>
        </w:rPr>
        <w:t>Provision of a subsidy support to households sufficient to create the basic platforms required for safe and healthy house consolidation that enables appropriate accommodation design paradigms for each upgrading context.</w:t>
      </w:r>
    </w:p>
    <w:p w14:paraId="1D909FE6" w14:textId="77777777" w:rsidR="00540DD7" w:rsidRPr="00A82B82" w:rsidRDefault="00540DD7" w:rsidP="00540DD7">
      <w:pPr>
        <w:pStyle w:val="ListParagraph"/>
        <w:numPr>
          <w:ilvl w:val="0"/>
          <w:numId w:val="34"/>
        </w:numPr>
        <w:tabs>
          <w:tab w:val="left" w:pos="284"/>
        </w:tabs>
        <w:ind w:left="709" w:hanging="567"/>
        <w:rPr>
          <w:rFonts w:cs="Arial"/>
        </w:rPr>
      </w:pPr>
      <w:r>
        <w:rPr>
          <w:rFonts w:cs="Arial"/>
          <w:b/>
        </w:rPr>
        <w:t>Facilitating Household</w:t>
      </w:r>
      <w:r w:rsidRPr="008A73D4">
        <w:rPr>
          <w:rFonts w:cs="Arial"/>
          <w:b/>
        </w:rPr>
        <w:t xml:space="preserve"> investment</w:t>
      </w:r>
      <w:r>
        <w:rPr>
          <w:rFonts w:cs="Arial"/>
          <w:b/>
        </w:rPr>
        <w:t xml:space="preserve"> In Housing: </w:t>
      </w:r>
      <w:r w:rsidRPr="00A82B82">
        <w:rPr>
          <w:rFonts w:cs="Arial"/>
        </w:rPr>
        <w:t>Facilitating private</w:t>
      </w:r>
      <w:r>
        <w:rPr>
          <w:rFonts w:cs="Arial"/>
        </w:rPr>
        <w:t xml:space="preserve"> or </w:t>
      </w:r>
      <w:r w:rsidRPr="00A82B82">
        <w:rPr>
          <w:rFonts w:cs="Arial"/>
        </w:rPr>
        <w:t xml:space="preserve">household investment in </w:t>
      </w:r>
      <w:r>
        <w:rPr>
          <w:rFonts w:cs="Arial"/>
        </w:rPr>
        <w:t xml:space="preserve">their own </w:t>
      </w:r>
      <w:r w:rsidRPr="00A82B82">
        <w:rPr>
          <w:rFonts w:cs="Arial"/>
        </w:rPr>
        <w:t xml:space="preserve">house </w:t>
      </w:r>
      <w:r>
        <w:rPr>
          <w:rFonts w:cs="Arial"/>
        </w:rPr>
        <w:t>development process.</w:t>
      </w:r>
    </w:p>
    <w:p w14:paraId="505308A2" w14:textId="77777777" w:rsidR="00540DD7" w:rsidRPr="008A73D4" w:rsidRDefault="00540DD7" w:rsidP="00540DD7">
      <w:pPr>
        <w:pStyle w:val="ListParagraph"/>
        <w:numPr>
          <w:ilvl w:val="0"/>
          <w:numId w:val="34"/>
        </w:numPr>
        <w:tabs>
          <w:tab w:val="left" w:pos="284"/>
        </w:tabs>
        <w:ind w:left="709" w:hanging="567"/>
        <w:rPr>
          <w:rFonts w:cs="Arial"/>
          <w:b/>
        </w:rPr>
      </w:pPr>
      <w:r w:rsidRPr="00EC1273">
        <w:rPr>
          <w:rFonts w:cs="Arial"/>
          <w:b/>
        </w:rPr>
        <w:t xml:space="preserve">Supporting </w:t>
      </w:r>
      <w:r>
        <w:rPr>
          <w:rFonts w:cs="Arial"/>
          <w:b/>
        </w:rPr>
        <w:t xml:space="preserve">Private </w:t>
      </w:r>
      <w:r w:rsidRPr="00EC1273">
        <w:rPr>
          <w:rFonts w:cs="Arial"/>
          <w:b/>
        </w:rPr>
        <w:t>Finance Market Access</w:t>
      </w:r>
      <w:r>
        <w:rPr>
          <w:rFonts w:cs="Arial"/>
          <w:b/>
        </w:rPr>
        <w:t xml:space="preserve"> for Households</w:t>
      </w:r>
      <w:r w:rsidRPr="00EC1273">
        <w:rPr>
          <w:rFonts w:cs="Arial"/>
          <w:b/>
        </w:rPr>
        <w:t xml:space="preserve">: </w:t>
      </w:r>
      <w:r>
        <w:rPr>
          <w:rFonts w:cs="Arial"/>
        </w:rPr>
        <w:t xml:space="preserve">Implementing approaches to extend the access frontier for </w:t>
      </w:r>
      <w:r w:rsidRPr="008A73D4">
        <w:rPr>
          <w:rFonts w:cs="Arial"/>
        </w:rPr>
        <w:t xml:space="preserve">locally appropriate </w:t>
      </w:r>
      <w:r>
        <w:rPr>
          <w:rFonts w:cs="Arial"/>
        </w:rPr>
        <w:t>financial services</w:t>
      </w:r>
      <w:r w:rsidRPr="008A73D4">
        <w:rPr>
          <w:rFonts w:cs="Arial"/>
          <w:b/>
        </w:rPr>
        <w:t xml:space="preserve"> </w:t>
      </w:r>
      <w:r>
        <w:rPr>
          <w:rFonts w:cs="Arial"/>
        </w:rPr>
        <w:t xml:space="preserve">suited to household consolidation. </w:t>
      </w:r>
    </w:p>
    <w:p w14:paraId="1C7F03AC" w14:textId="77777777" w:rsidR="00540DD7" w:rsidRPr="00A82B82" w:rsidRDefault="00540DD7" w:rsidP="00540DD7">
      <w:pPr>
        <w:pStyle w:val="ListParagraph"/>
        <w:numPr>
          <w:ilvl w:val="0"/>
          <w:numId w:val="34"/>
        </w:numPr>
        <w:tabs>
          <w:tab w:val="left" w:pos="284"/>
        </w:tabs>
        <w:ind w:left="709" w:hanging="567"/>
        <w:rPr>
          <w:rFonts w:cs="Arial"/>
        </w:rPr>
      </w:pPr>
      <w:r>
        <w:rPr>
          <w:rFonts w:cs="Arial"/>
          <w:b/>
        </w:rPr>
        <w:t xml:space="preserve">Home Building </w:t>
      </w:r>
      <w:r w:rsidRPr="00EC1273">
        <w:rPr>
          <w:rFonts w:cs="Arial"/>
          <w:b/>
        </w:rPr>
        <w:t>Technical support</w:t>
      </w:r>
      <w:r>
        <w:rPr>
          <w:rFonts w:cs="Arial"/>
        </w:rPr>
        <w:t xml:space="preserve">:  Providing support </w:t>
      </w:r>
      <w:r w:rsidRPr="00A82B82">
        <w:rPr>
          <w:rFonts w:cs="Arial"/>
        </w:rPr>
        <w:t>to households regarding the home building process</w:t>
      </w:r>
      <w:r>
        <w:rPr>
          <w:rFonts w:cs="Arial"/>
        </w:rPr>
        <w:t>es that they may not be sufficiently skilled to understand or access.</w:t>
      </w:r>
    </w:p>
    <w:p w14:paraId="4FBCA8A3" w14:textId="77777777" w:rsidR="00540DD7" w:rsidRDefault="00540DD7" w:rsidP="00540DD7">
      <w:pPr>
        <w:pStyle w:val="ListParagraph"/>
        <w:numPr>
          <w:ilvl w:val="0"/>
          <w:numId w:val="34"/>
        </w:numPr>
        <w:tabs>
          <w:tab w:val="left" w:pos="284"/>
        </w:tabs>
        <w:ind w:left="709" w:hanging="567"/>
        <w:rPr>
          <w:rFonts w:cs="Arial"/>
          <w:b/>
        </w:rPr>
      </w:pPr>
      <w:r w:rsidRPr="00EC1273">
        <w:rPr>
          <w:rFonts w:cs="Arial"/>
          <w:b/>
        </w:rPr>
        <w:t xml:space="preserve">Construction </w:t>
      </w:r>
      <w:r>
        <w:rPr>
          <w:rFonts w:cs="Arial"/>
          <w:b/>
        </w:rPr>
        <w:t>S</w:t>
      </w:r>
      <w:r w:rsidRPr="00EC1273">
        <w:rPr>
          <w:rFonts w:cs="Arial"/>
          <w:b/>
        </w:rPr>
        <w:t xml:space="preserve">ector </w:t>
      </w:r>
      <w:r>
        <w:rPr>
          <w:rFonts w:cs="Arial"/>
          <w:b/>
        </w:rPr>
        <w:t>C</w:t>
      </w:r>
      <w:r w:rsidRPr="00EC1273">
        <w:rPr>
          <w:rFonts w:cs="Arial"/>
          <w:b/>
        </w:rPr>
        <w:t xml:space="preserve">apacity </w:t>
      </w:r>
      <w:r>
        <w:rPr>
          <w:rFonts w:cs="Arial"/>
          <w:b/>
        </w:rPr>
        <w:t>D</w:t>
      </w:r>
      <w:r w:rsidRPr="00EC1273">
        <w:rPr>
          <w:rFonts w:cs="Arial"/>
          <w:b/>
        </w:rPr>
        <w:t>evelopment</w:t>
      </w:r>
      <w:r>
        <w:rPr>
          <w:rFonts w:cs="Arial"/>
        </w:rPr>
        <w:t>:  Facilitating the development and availability of suitably skilled, efficient and cost competitive contractors and building materials suppliers</w:t>
      </w:r>
      <w:r w:rsidRPr="00A82B82">
        <w:rPr>
          <w:rFonts w:cs="Arial"/>
        </w:rPr>
        <w:t>.</w:t>
      </w:r>
      <w:r w:rsidRPr="00504BB6">
        <w:rPr>
          <w:rFonts w:cs="Arial"/>
          <w:b/>
        </w:rPr>
        <w:t xml:space="preserve"> </w:t>
      </w:r>
    </w:p>
    <w:p w14:paraId="139E562D" w14:textId="77777777" w:rsidR="00540DD7" w:rsidRDefault="00540DD7" w:rsidP="00540DD7">
      <w:pPr>
        <w:pStyle w:val="ListParagraph"/>
        <w:numPr>
          <w:ilvl w:val="0"/>
          <w:numId w:val="34"/>
        </w:numPr>
        <w:tabs>
          <w:tab w:val="left" w:pos="284"/>
        </w:tabs>
        <w:ind w:left="709" w:hanging="567"/>
        <w:rPr>
          <w:rFonts w:cs="Arial"/>
        </w:rPr>
      </w:pPr>
      <w:r>
        <w:rPr>
          <w:rFonts w:cs="Arial"/>
          <w:b/>
        </w:rPr>
        <w:t>Special Needs Su</w:t>
      </w:r>
      <w:r w:rsidRPr="00504BB6">
        <w:rPr>
          <w:rFonts w:cs="Arial"/>
          <w:b/>
        </w:rPr>
        <w:t xml:space="preserve">pplementary </w:t>
      </w:r>
      <w:r>
        <w:rPr>
          <w:rFonts w:cs="Arial"/>
          <w:b/>
        </w:rPr>
        <w:t>F</w:t>
      </w:r>
      <w:r w:rsidRPr="00504BB6">
        <w:rPr>
          <w:rFonts w:cs="Arial"/>
          <w:b/>
        </w:rPr>
        <w:t xml:space="preserve">inancial </w:t>
      </w:r>
      <w:r>
        <w:rPr>
          <w:rFonts w:cs="Arial"/>
          <w:b/>
        </w:rPr>
        <w:t>S</w:t>
      </w:r>
      <w:r w:rsidRPr="00504BB6">
        <w:rPr>
          <w:rFonts w:cs="Arial"/>
          <w:b/>
        </w:rPr>
        <w:t xml:space="preserve">upport: </w:t>
      </w:r>
      <w:r w:rsidRPr="00504BB6">
        <w:rPr>
          <w:rFonts w:cs="Arial"/>
        </w:rPr>
        <w:t>Specific targeted assistance to those households or individuals who are unable to participate in the consolidation mode (such as the aged and child headed households</w:t>
      </w:r>
      <w:r>
        <w:rPr>
          <w:rFonts w:cs="Arial"/>
        </w:rPr>
        <w:t>.</w:t>
      </w:r>
    </w:p>
    <w:p w14:paraId="3C5CB179" w14:textId="77777777" w:rsidR="00540DD7" w:rsidRPr="00583FB7" w:rsidRDefault="00540DD7" w:rsidP="00540DD7">
      <w:pPr>
        <w:spacing w:line="360" w:lineRule="auto"/>
        <w:rPr>
          <w:rFonts w:cs="Arial"/>
          <w:b/>
          <w:szCs w:val="22"/>
        </w:rPr>
      </w:pPr>
      <w:r>
        <w:rPr>
          <w:rFonts w:cs="Arial"/>
          <w:szCs w:val="22"/>
        </w:rPr>
        <w:t xml:space="preserve"> The </w:t>
      </w:r>
      <w:r w:rsidRPr="00250EA9">
        <w:rPr>
          <w:rFonts w:cs="Arial"/>
          <w:szCs w:val="22"/>
        </w:rPr>
        <w:t>way</w:t>
      </w:r>
      <w:r>
        <w:rPr>
          <w:rFonts w:cs="Arial"/>
          <w:szCs w:val="22"/>
        </w:rPr>
        <w:t xml:space="preserve"> in which each of these elements are established or facilitated needs to be given equal prominence whilst still noting that the blended incremental mode places co-production at its centre. </w:t>
      </w:r>
    </w:p>
    <w:p w14:paraId="4B11407B" w14:textId="77777777" w:rsidR="00540DD7" w:rsidRDefault="00540DD7" w:rsidP="00540DD7">
      <w:pPr>
        <w:spacing w:line="360" w:lineRule="auto"/>
        <w:rPr>
          <w:rFonts w:cs="Arial"/>
          <w:bCs/>
          <w:iCs/>
          <w:spacing w:val="-6"/>
          <w:szCs w:val="22"/>
        </w:rPr>
      </w:pPr>
      <w:r w:rsidRPr="00A82B82">
        <w:rPr>
          <w:rFonts w:cs="Arial"/>
          <w:szCs w:val="22"/>
        </w:rPr>
        <w:t xml:space="preserve">Each of these elements </w:t>
      </w:r>
      <w:r>
        <w:rPr>
          <w:rFonts w:cs="Arial"/>
          <w:szCs w:val="22"/>
        </w:rPr>
        <w:t xml:space="preserve">is discussed in the following sections, in respect of the potential forms of assistance that can be considered to foster house construction and consolidation; suggested implementation arrangements in UISP projects or programmes; and potential sources of financing that could be used to support these interventions. </w:t>
      </w:r>
    </w:p>
    <w:p w14:paraId="04D16730" w14:textId="77777777" w:rsidR="00540DD7" w:rsidRDefault="00540DD7" w:rsidP="00540DD7">
      <w:pPr>
        <w:spacing w:line="360" w:lineRule="auto"/>
        <w:rPr>
          <w:rFonts w:cs="Arial"/>
          <w:szCs w:val="22"/>
        </w:rPr>
      </w:pPr>
      <w:r>
        <w:rPr>
          <w:rFonts w:cs="Arial"/>
          <w:szCs w:val="22"/>
        </w:rPr>
        <w:t>Each element of the incremental upgrading support framework proposed here will require mechanisms for implementation, and sources of funding support.  Figure 15 below shows the actors engaged in this mode of house consolidation, namely the household, community representatives / NPOs, private sector organizations, project implementing agents and the public sector. The outlined overleaf is also a generic implementation framework for in-situ upgrading projects, relating to the needs outlined here to support the consolidation of the house.  This will be used as a template on which to indicate the most likely responsibilities, relationships and funding sources for each element of the incremental housing support framework.</w:t>
      </w:r>
    </w:p>
    <w:p w14:paraId="4060B183" w14:textId="77777777" w:rsidR="00A4087D" w:rsidRPr="003221EB" w:rsidRDefault="00A4087D" w:rsidP="00540DD7">
      <w:pPr>
        <w:pStyle w:val="Heading2"/>
      </w:pPr>
      <w:bookmarkStart w:id="302" w:name="_Toc270946050"/>
      <w:r>
        <w:lastRenderedPageBreak/>
        <w:t>Subsidy Assistance for Incremental House Development</w:t>
      </w:r>
      <w:bookmarkEnd w:id="297"/>
      <w:bookmarkEnd w:id="298"/>
      <w:bookmarkEnd w:id="302"/>
    </w:p>
    <w:p w14:paraId="5886D6BD" w14:textId="77777777" w:rsidR="00A4087D" w:rsidRDefault="00A4087D" w:rsidP="007006C3">
      <w:pPr>
        <w:spacing w:line="360" w:lineRule="auto"/>
        <w:rPr>
          <w:rFonts w:cs="Arial"/>
          <w:szCs w:val="22"/>
        </w:rPr>
      </w:pPr>
      <w:r w:rsidRPr="00FC5CFC">
        <w:rPr>
          <w:rFonts w:cs="Arial"/>
          <w:szCs w:val="22"/>
        </w:rPr>
        <w:t xml:space="preserve">The subsidy-dominant approach to house provision in UISP developments has been covered in </w:t>
      </w:r>
      <w:r w:rsidRPr="00CF1919">
        <w:rPr>
          <w:rFonts w:cs="Arial"/>
          <w:szCs w:val="22"/>
        </w:rPr>
        <w:t>Chapter 4</w:t>
      </w:r>
      <w:r w:rsidRPr="00FC5CFC">
        <w:rPr>
          <w:rFonts w:cs="Arial"/>
          <w:szCs w:val="22"/>
        </w:rPr>
        <w:t>.  In this section, we turn attention to subsidy approaches that may facilitate house consolidation or construction activity within upgraded areas, without providing standard, fully</w:t>
      </w:r>
      <w:r>
        <w:rPr>
          <w:rFonts w:cs="Arial"/>
          <w:szCs w:val="22"/>
        </w:rPr>
        <w:t xml:space="preserve"> subsidized</w:t>
      </w:r>
      <w:r w:rsidRPr="00FC5CFC">
        <w:rPr>
          <w:rFonts w:cs="Arial"/>
          <w:szCs w:val="22"/>
        </w:rPr>
        <w:t xml:space="preserve"> housing products</w:t>
      </w:r>
      <w:r>
        <w:rPr>
          <w:rFonts w:cs="Arial"/>
          <w:szCs w:val="22"/>
        </w:rPr>
        <w:t xml:space="preserve">.  </w:t>
      </w:r>
    </w:p>
    <w:p w14:paraId="47E8FCEE" w14:textId="77777777" w:rsidR="00A4087D" w:rsidRDefault="00A4087D" w:rsidP="00A4087D">
      <w:pPr>
        <w:pStyle w:val="Heading3"/>
      </w:pPr>
      <w:bookmarkStart w:id="303" w:name="_Toc262041239"/>
      <w:bookmarkStart w:id="304" w:name="_Toc262067891"/>
      <w:bookmarkStart w:id="305" w:name="_Toc262068217"/>
      <w:r>
        <w:t>Potential Forms of Household Assistance</w:t>
      </w:r>
      <w:bookmarkEnd w:id="303"/>
      <w:bookmarkEnd w:id="304"/>
      <w:bookmarkEnd w:id="305"/>
    </w:p>
    <w:p w14:paraId="503C225B" w14:textId="77777777" w:rsidR="00A4087D" w:rsidRPr="00E030D7" w:rsidRDefault="00A4087D" w:rsidP="00A4087D">
      <w:pPr>
        <w:spacing w:line="360" w:lineRule="auto"/>
        <w:ind w:left="567"/>
        <w:rPr>
          <w:rFonts w:cs="Arial"/>
          <w:szCs w:val="22"/>
        </w:rPr>
      </w:pPr>
      <w:r>
        <w:rPr>
          <w:rFonts w:cs="Arial"/>
          <w:szCs w:val="22"/>
        </w:rPr>
        <w:t>A wide range of potential interventions exist that can assist households to more rapidly undertake house construction, and/or to meet required planning, safety or building standards. Four key types are defined below.</w:t>
      </w:r>
    </w:p>
    <w:p w14:paraId="2DFEEC7A" w14:textId="77777777" w:rsidR="00A4087D" w:rsidRPr="00E95279" w:rsidRDefault="00A4087D" w:rsidP="00A4087D">
      <w:pPr>
        <w:pStyle w:val="ListParagraph"/>
        <w:numPr>
          <w:ilvl w:val="0"/>
          <w:numId w:val="21"/>
        </w:numPr>
        <w:ind w:left="1080"/>
        <w:jc w:val="left"/>
        <w:rPr>
          <w:highlight w:val="yellow"/>
        </w:rPr>
      </w:pPr>
      <w:r w:rsidRPr="00E95279">
        <w:rPr>
          <w:b/>
          <w:highlight w:val="yellow"/>
        </w:rPr>
        <w:t>Wet Service Core</w:t>
      </w:r>
      <w:r w:rsidRPr="00E95279">
        <w:rPr>
          <w:highlight w:val="yellow"/>
        </w:rPr>
        <w:t xml:space="preserve">: Provision of a basic wet core nucleus, consisting of a combination of toilet, basin and/or shower in a basic formwork is one of the key household-level infrastructure provided in ISU schemes.  This ensures all households have access to municipal infrastructure networks and covers one of the largest and most complex aspects of house construction. </w:t>
      </w:r>
    </w:p>
    <w:p w14:paraId="27C2E1FC" w14:textId="77777777" w:rsidR="00A4087D" w:rsidRPr="00E95279" w:rsidRDefault="00A4087D" w:rsidP="00A4087D">
      <w:pPr>
        <w:pStyle w:val="ListParagraph"/>
        <w:numPr>
          <w:ilvl w:val="0"/>
          <w:numId w:val="21"/>
        </w:numPr>
        <w:ind w:left="1080"/>
        <w:jc w:val="left"/>
        <w:rPr>
          <w:highlight w:val="yellow"/>
        </w:rPr>
      </w:pPr>
      <w:r w:rsidRPr="00E95279">
        <w:rPr>
          <w:b/>
          <w:highlight w:val="yellow"/>
        </w:rPr>
        <w:t>House nucleus</w:t>
      </w:r>
      <w:r w:rsidRPr="00E95279">
        <w:rPr>
          <w:highlight w:val="yellow"/>
        </w:rPr>
        <w:t>:  Where funding exists, providing a basic starter house nucleus, with the wet core, offers a basic starting point from which households can extend and improve their housing. This may take the form of a complete (foundation, walls, roof, doors, window) unit, but is often rather provided as sound foundation base or slab, supports and a solid roof structure that can be filled in and expanded by residents. Figure 19 gives some indicative core structure options developed as a part of Ekurhuleni’s Upgrading For Growth project, which was one of the first initiatives to upgrade informal settlement conditions in South Africa. These specific unit designs were intended for backyard rooms, but in a no-subsidy or limited-subsidy context could be the basis of a pre-approved house plan for primary structures as well. Unfortunately, the project was not implemented.</w:t>
      </w:r>
    </w:p>
    <w:p w14:paraId="65E64701" w14:textId="77777777" w:rsidR="005E7A1C" w:rsidRDefault="005E7A1C" w:rsidP="00A4087D">
      <w:pPr>
        <w:jc w:val="left"/>
        <w:rPr>
          <w:b/>
          <w:szCs w:val="22"/>
        </w:rPr>
      </w:pPr>
    </w:p>
    <w:p w14:paraId="4E3ED398" w14:textId="77777777" w:rsidR="005E7A1C" w:rsidRDefault="005E7A1C" w:rsidP="00A4087D">
      <w:pPr>
        <w:jc w:val="left"/>
        <w:rPr>
          <w:b/>
          <w:szCs w:val="22"/>
        </w:rPr>
      </w:pPr>
    </w:p>
    <w:p w14:paraId="5B484D14" w14:textId="77777777" w:rsidR="005E7A1C" w:rsidRDefault="005E7A1C" w:rsidP="00A4087D">
      <w:pPr>
        <w:jc w:val="left"/>
        <w:rPr>
          <w:b/>
          <w:szCs w:val="22"/>
        </w:rPr>
      </w:pPr>
    </w:p>
    <w:p w14:paraId="7FC1D074" w14:textId="77777777" w:rsidR="005E7A1C" w:rsidRDefault="005E7A1C" w:rsidP="00A4087D">
      <w:pPr>
        <w:jc w:val="left"/>
        <w:rPr>
          <w:b/>
          <w:szCs w:val="22"/>
        </w:rPr>
      </w:pPr>
    </w:p>
    <w:p w14:paraId="4966EA53" w14:textId="77777777" w:rsidR="005E7A1C" w:rsidRDefault="005E7A1C" w:rsidP="00A4087D">
      <w:pPr>
        <w:jc w:val="left"/>
        <w:rPr>
          <w:b/>
          <w:szCs w:val="22"/>
        </w:rPr>
      </w:pPr>
    </w:p>
    <w:p w14:paraId="0C38597B" w14:textId="77777777" w:rsidR="005E7A1C" w:rsidRDefault="005E7A1C" w:rsidP="00A4087D">
      <w:pPr>
        <w:jc w:val="left"/>
        <w:rPr>
          <w:b/>
          <w:szCs w:val="22"/>
        </w:rPr>
      </w:pPr>
    </w:p>
    <w:p w14:paraId="68CD89AA" w14:textId="77777777" w:rsidR="005E7A1C" w:rsidRDefault="005E7A1C" w:rsidP="00A4087D">
      <w:pPr>
        <w:jc w:val="left"/>
        <w:rPr>
          <w:b/>
          <w:szCs w:val="22"/>
        </w:rPr>
      </w:pPr>
    </w:p>
    <w:p w14:paraId="5C66DC8D" w14:textId="77777777" w:rsidR="00A4087D" w:rsidRDefault="00A4087D" w:rsidP="00A4087D">
      <w:pPr>
        <w:jc w:val="left"/>
        <w:rPr>
          <w:b/>
        </w:rPr>
      </w:pPr>
      <w:bookmarkStart w:id="306" w:name="_Toc270945526"/>
      <w:r w:rsidRPr="003A65E2">
        <w:rPr>
          <w:b/>
          <w:szCs w:val="22"/>
        </w:rPr>
        <w:lastRenderedPageBreak/>
        <w:t xml:space="preserve">Figure </w:t>
      </w:r>
      <w:r w:rsidRPr="003A65E2">
        <w:rPr>
          <w:b/>
          <w:szCs w:val="22"/>
        </w:rPr>
        <w:fldChar w:fldCharType="begin"/>
      </w:r>
      <w:r w:rsidRPr="003A65E2">
        <w:rPr>
          <w:b/>
          <w:szCs w:val="22"/>
        </w:rPr>
        <w:instrText xml:space="preserve"> SEQ Figure \* ARABIC </w:instrText>
      </w:r>
      <w:r w:rsidRPr="003A65E2">
        <w:rPr>
          <w:b/>
          <w:szCs w:val="22"/>
        </w:rPr>
        <w:fldChar w:fldCharType="separate"/>
      </w:r>
      <w:r w:rsidR="00E9048A">
        <w:rPr>
          <w:b/>
          <w:noProof/>
          <w:szCs w:val="22"/>
        </w:rPr>
        <w:t>23</w:t>
      </w:r>
      <w:r w:rsidRPr="003A65E2">
        <w:rPr>
          <w:b/>
          <w:noProof/>
          <w:szCs w:val="22"/>
        </w:rPr>
        <w:fldChar w:fldCharType="end"/>
      </w:r>
      <w:r w:rsidRPr="003A65E2">
        <w:rPr>
          <w:b/>
          <w:szCs w:val="22"/>
        </w:rPr>
        <w:t xml:space="preserve">: </w:t>
      </w:r>
      <w:r w:rsidRPr="003A65E2">
        <w:rPr>
          <w:rFonts w:cs="Arial"/>
          <w:b/>
          <w:szCs w:val="22"/>
        </w:rPr>
        <w:t xml:space="preserve">Generic </w:t>
      </w:r>
      <w:r w:rsidRPr="003A65E2">
        <w:rPr>
          <w:b/>
        </w:rPr>
        <w:t>Small Unit Options (Ekurhuleni E4G Project)</w:t>
      </w:r>
      <w:bookmarkEnd w:id="306"/>
      <w:r>
        <w:rPr>
          <w:b/>
        </w:rPr>
        <w:t xml:space="preserve"> </w:t>
      </w:r>
    </w:p>
    <w:p w14:paraId="7127EF73" w14:textId="77777777" w:rsidR="00A4087D" w:rsidRPr="000F6CD0" w:rsidRDefault="00A4087D" w:rsidP="00A4087D">
      <w:pPr>
        <w:spacing w:line="360" w:lineRule="auto"/>
        <w:ind w:left="567"/>
        <w:rPr>
          <w:rFonts w:cs="Arial"/>
          <w:szCs w:val="22"/>
        </w:rPr>
      </w:pPr>
      <w:r w:rsidRPr="000F6CD0">
        <w:rPr>
          <w:rFonts w:cs="Arial"/>
          <w:szCs w:val="22"/>
        </w:rPr>
        <w:t>(Gardner &amp; Rubin, 2013, p29)</w:t>
      </w:r>
    </w:p>
    <w:p w14:paraId="241A1400" w14:textId="77777777" w:rsidR="00A4087D" w:rsidRDefault="00A4087D" w:rsidP="00A4087D">
      <w:pPr>
        <w:jc w:val="left"/>
      </w:pPr>
      <w:r>
        <w:rPr>
          <w:i/>
          <w:noProof/>
          <w:lang w:val="en-US"/>
        </w:rPr>
        <w:drawing>
          <wp:inline distT="0" distB="0" distL="0" distR="0" wp14:anchorId="5C9EFDE4" wp14:editId="5A7F0113">
            <wp:extent cx="5691352" cy="2632841"/>
            <wp:effectExtent l="19050" t="19050" r="2413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686316" cy="2630511"/>
                    </a:xfrm>
                    <a:prstGeom prst="rect">
                      <a:avLst/>
                    </a:prstGeom>
                    <a:noFill/>
                    <a:ln>
                      <a:solidFill>
                        <a:schemeClr val="tx1"/>
                      </a:solidFill>
                    </a:ln>
                  </pic:spPr>
                </pic:pic>
              </a:graphicData>
            </a:graphic>
          </wp:inline>
        </w:drawing>
      </w:r>
    </w:p>
    <w:p w14:paraId="177E1C58" w14:textId="77777777" w:rsidR="00A4087D" w:rsidRPr="00E95279" w:rsidRDefault="00A4087D" w:rsidP="00A4087D">
      <w:pPr>
        <w:pStyle w:val="ListParagraph"/>
        <w:numPr>
          <w:ilvl w:val="0"/>
          <w:numId w:val="21"/>
        </w:numPr>
        <w:ind w:left="1080"/>
        <w:jc w:val="left"/>
        <w:rPr>
          <w:highlight w:val="yellow"/>
        </w:rPr>
      </w:pPr>
      <w:r w:rsidRPr="00E95279">
        <w:rPr>
          <w:b/>
          <w:highlight w:val="yellow"/>
        </w:rPr>
        <w:t>Party Wall</w:t>
      </w:r>
      <w:r w:rsidRPr="00E95279">
        <w:rPr>
          <w:highlight w:val="yellow"/>
        </w:rPr>
        <w:t>: In high density upgrading situations, neighbouring households may face a range of constraints in developing their own accommodation within set planning and building parameters. Reasons include requirements for servitudes, fire proofing, light and ventilation controls.  Provision of a ‘party wall’, generally in the form of a crescent wall on adjoining boundaries of four properties, can overcome many of these constraints. Correctly implemented, this can limit building line requirements, ensure fireproofing, assist with noise abatement and provide a solid starting point for a house structure.</w:t>
      </w:r>
    </w:p>
    <w:p w14:paraId="5C12155D" w14:textId="77777777" w:rsidR="00A4087D" w:rsidRPr="00E95279" w:rsidRDefault="00A4087D" w:rsidP="00A4087D">
      <w:pPr>
        <w:pStyle w:val="ListParagraph"/>
        <w:numPr>
          <w:ilvl w:val="0"/>
          <w:numId w:val="21"/>
        </w:numPr>
        <w:ind w:left="1080"/>
        <w:jc w:val="left"/>
        <w:rPr>
          <w:highlight w:val="yellow"/>
        </w:rPr>
      </w:pPr>
      <w:r w:rsidRPr="0086327C">
        <w:rPr>
          <w:b/>
        </w:rPr>
        <w:t xml:space="preserve"> </w:t>
      </w:r>
      <w:r w:rsidRPr="00E95279">
        <w:rPr>
          <w:b/>
          <w:highlight w:val="yellow"/>
        </w:rPr>
        <w:t xml:space="preserve">House Frame: </w:t>
      </w:r>
      <w:r w:rsidRPr="00E95279">
        <w:rPr>
          <w:highlight w:val="yellow"/>
        </w:rPr>
        <w:t>In very high density settlements, where the ultimate built form will require vertical stacking of units or where properties are so small that double storey construction is likely, a basic foundation and house frame may be constructed as a sound footing for multi storey construction. This approach has been successfully piloted in other countries, such as Chile (Gardner and Rubin, 2013) and Mexico.</w:t>
      </w:r>
      <w:r w:rsidRPr="00E95279">
        <w:rPr>
          <w:b/>
          <w:highlight w:val="yellow"/>
        </w:rPr>
        <w:t xml:space="preserve"> </w:t>
      </w:r>
    </w:p>
    <w:tbl>
      <w:tblPr>
        <w:tblStyle w:val="TableGrid"/>
        <w:tblW w:w="0" w:type="auto"/>
        <w:jc w:val="center"/>
        <w:tblLook w:val="04A0" w:firstRow="1" w:lastRow="0" w:firstColumn="1" w:lastColumn="0" w:noHBand="0" w:noVBand="1"/>
      </w:tblPr>
      <w:tblGrid>
        <w:gridCol w:w="9576"/>
      </w:tblGrid>
      <w:tr w:rsidR="00A4087D" w14:paraId="3201FF0A" w14:textId="77777777" w:rsidTr="007006C3">
        <w:trPr>
          <w:jc w:val="center"/>
        </w:trPr>
        <w:tc>
          <w:tcPr>
            <w:tcW w:w="9576" w:type="dxa"/>
          </w:tcPr>
          <w:p w14:paraId="3CCA6FDF" w14:textId="77777777" w:rsidR="00A4087D" w:rsidRPr="00CF1919" w:rsidRDefault="00A4087D" w:rsidP="007006C3">
            <w:pPr>
              <w:ind w:left="567"/>
              <w:jc w:val="center"/>
              <w:rPr>
                <w:rFonts w:cs="Arial"/>
                <w:b/>
                <w:szCs w:val="22"/>
              </w:rPr>
            </w:pPr>
            <w:r>
              <w:rPr>
                <w:rFonts w:cs="Arial"/>
                <w:b/>
                <w:szCs w:val="22"/>
              </w:rPr>
              <w:t xml:space="preserve">Box 2: </w:t>
            </w:r>
            <w:r w:rsidRPr="00CF1919">
              <w:rPr>
                <w:rFonts w:cs="Arial"/>
                <w:b/>
                <w:szCs w:val="22"/>
              </w:rPr>
              <w:t xml:space="preserve">Case Study: </w:t>
            </w:r>
            <w:r>
              <w:rPr>
                <w:rFonts w:cs="Arial"/>
                <w:b/>
                <w:szCs w:val="22"/>
              </w:rPr>
              <w:t>Chile’s ‘Radicacion’ Programme – House Frame</w:t>
            </w:r>
          </w:p>
          <w:p w14:paraId="3D3284BF" w14:textId="77777777" w:rsidR="00A4087D" w:rsidRDefault="00A4087D" w:rsidP="007006C3">
            <w:pPr>
              <w:ind w:left="67"/>
              <w:rPr>
                <w:rFonts w:cs="Arial"/>
              </w:rPr>
            </w:pPr>
            <w:r>
              <w:rPr>
                <w:rFonts w:cs="Arial"/>
              </w:rPr>
              <w:t xml:space="preserve">Chile’s Radicacion programme was a response to encouraging higher urban densities on small plots, through the </w:t>
            </w:r>
            <w:r w:rsidRPr="006C1861">
              <w:rPr>
                <w:rFonts w:cs="Arial"/>
              </w:rPr>
              <w:t xml:space="preserve">construction of a </w:t>
            </w:r>
            <w:r>
              <w:rPr>
                <w:rFonts w:cs="Arial"/>
              </w:rPr>
              <w:t xml:space="preserve">government-subsidised </w:t>
            </w:r>
            <w:r w:rsidRPr="006C1861">
              <w:rPr>
                <w:rFonts w:cs="Arial"/>
              </w:rPr>
              <w:t>basic reinforced ‘space frame’</w:t>
            </w:r>
            <w:r>
              <w:rPr>
                <w:rFonts w:cs="Arial"/>
              </w:rPr>
              <w:t xml:space="preserve">.  This formed the basis for the </w:t>
            </w:r>
            <w:r w:rsidRPr="006C1861">
              <w:rPr>
                <w:rFonts w:cs="Arial"/>
              </w:rPr>
              <w:t xml:space="preserve">ground floor (32m2) </w:t>
            </w:r>
            <w:r>
              <w:rPr>
                <w:rFonts w:cs="Arial"/>
              </w:rPr>
              <w:t xml:space="preserve">to be filled in, </w:t>
            </w:r>
            <w:r w:rsidRPr="006C1861">
              <w:rPr>
                <w:rFonts w:cs="Arial"/>
              </w:rPr>
              <w:t xml:space="preserve"> </w:t>
            </w:r>
            <w:r>
              <w:rPr>
                <w:rFonts w:cs="Arial"/>
              </w:rPr>
              <w:t xml:space="preserve">completed and occupied by the owner, leaving </w:t>
            </w:r>
            <w:r w:rsidRPr="006C1861">
              <w:rPr>
                <w:rFonts w:cs="Arial"/>
              </w:rPr>
              <w:t xml:space="preserve">the second and third floors </w:t>
            </w:r>
            <w:r>
              <w:rPr>
                <w:rFonts w:cs="Arial"/>
              </w:rPr>
              <w:t xml:space="preserve">to be developed over time for additional households for rental purposes. </w:t>
            </w:r>
            <w:r w:rsidRPr="006C1861">
              <w:rPr>
                <w:rFonts w:cs="Arial"/>
              </w:rPr>
              <w:t xml:space="preserve"> </w:t>
            </w:r>
          </w:p>
          <w:p w14:paraId="561B58D8" w14:textId="77777777" w:rsidR="00A4087D" w:rsidRDefault="00A4087D" w:rsidP="007006C3">
            <w:pPr>
              <w:ind w:left="67"/>
              <w:rPr>
                <w:rFonts w:cs="Arial"/>
              </w:rPr>
            </w:pPr>
            <w:r>
              <w:rPr>
                <w:rFonts w:cs="Arial"/>
              </w:rPr>
              <w:t xml:space="preserve">The frame created the ability to ‘verticalise’ a settlement, while still providing space for owners to mobilise and invest their own resources in the primary building work.  The frame provided </w:t>
            </w:r>
            <w:r>
              <w:rPr>
                <w:rFonts w:cs="Arial"/>
              </w:rPr>
              <w:lastRenderedPageBreak/>
              <w:t xml:space="preserve">also ensured that the three storey construction was structurally sound and safe for occupation.  </w:t>
            </w:r>
          </w:p>
          <w:p w14:paraId="722C3EEB" w14:textId="77777777" w:rsidR="00A4087D" w:rsidRDefault="00A4087D" w:rsidP="007006C3">
            <w:pPr>
              <w:ind w:left="67"/>
              <w:rPr>
                <w:rFonts w:cs="Arial"/>
              </w:rPr>
            </w:pPr>
            <w:r>
              <w:rPr>
                <w:rFonts w:cs="Arial"/>
              </w:rPr>
              <w:t xml:space="preserve">This methodology has potential applicability in high-density informal settlements, where plot sizes may be very limited and the only option for accommodating a large proportion of the existing community is to ‘verticalise’ accommodation. </w:t>
            </w:r>
          </w:p>
          <w:p w14:paraId="26769F28" w14:textId="77777777" w:rsidR="00A4087D" w:rsidRDefault="00A4087D" w:rsidP="007006C3">
            <w:pPr>
              <w:ind w:left="67"/>
              <w:rPr>
                <w:rFonts w:cs="Arial"/>
              </w:rPr>
            </w:pPr>
            <w:r>
              <w:rPr>
                <w:rFonts w:cs="Arial"/>
              </w:rPr>
              <w:t>Importantly, this model indicates how basic investment by government can create a framework for longer term household asset creation. In addition, it can be adapted to provide opportunities for rental accommodation provision within dense areas.</w:t>
            </w:r>
          </w:p>
          <w:p w14:paraId="2FC476A8" w14:textId="77777777" w:rsidR="00A4087D" w:rsidRDefault="00A4087D" w:rsidP="007006C3">
            <w:pPr>
              <w:ind w:left="67"/>
              <w:rPr>
                <w:rFonts w:cs="Arial"/>
              </w:rPr>
            </w:pPr>
            <w:r>
              <w:rPr>
                <w:rFonts w:ascii="Times" w:hAnsi="Times" w:cs="Times"/>
                <w:noProof/>
                <w:lang w:val="en-US"/>
              </w:rPr>
              <w:drawing>
                <wp:inline distT="0" distB="0" distL="0" distR="0" wp14:anchorId="5559094C" wp14:editId="53C688D1">
                  <wp:extent cx="5975498" cy="2753832"/>
                  <wp:effectExtent l="0" t="0" r="6350" b="889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74474" cy="2753360"/>
                          </a:xfrm>
                          <a:prstGeom prst="rect">
                            <a:avLst/>
                          </a:prstGeom>
                          <a:noFill/>
                          <a:ln>
                            <a:noFill/>
                          </a:ln>
                        </pic:spPr>
                      </pic:pic>
                    </a:graphicData>
                  </a:graphic>
                </wp:inline>
              </w:drawing>
            </w:r>
          </w:p>
          <w:p w14:paraId="1F08DC8E" w14:textId="77777777" w:rsidR="00A4087D" w:rsidRDefault="00A4087D" w:rsidP="007006C3">
            <w:pPr>
              <w:ind w:left="67"/>
              <w:rPr>
                <w:rFonts w:cs="Arial"/>
                <w:szCs w:val="22"/>
              </w:rPr>
            </w:pPr>
            <w:r>
              <w:rPr>
                <w:rFonts w:cs="Arial"/>
                <w:szCs w:val="22"/>
              </w:rPr>
              <w:t>Source: Gardner and Rubin, 2013</w:t>
            </w:r>
          </w:p>
        </w:tc>
      </w:tr>
    </w:tbl>
    <w:p w14:paraId="11A1F91A" w14:textId="77777777" w:rsidR="00A4087D" w:rsidRPr="00CF24C2" w:rsidRDefault="00A4087D" w:rsidP="00A4087D">
      <w:pPr>
        <w:jc w:val="left"/>
      </w:pPr>
    </w:p>
    <w:p w14:paraId="0DDE2574" w14:textId="77777777" w:rsidR="00A4087D" w:rsidRPr="00E95279" w:rsidRDefault="00A4087D" w:rsidP="00A4087D">
      <w:pPr>
        <w:pStyle w:val="ListParagraph"/>
        <w:numPr>
          <w:ilvl w:val="0"/>
          <w:numId w:val="21"/>
        </w:numPr>
        <w:ind w:left="1080"/>
        <w:jc w:val="left"/>
        <w:rPr>
          <w:highlight w:val="yellow"/>
        </w:rPr>
      </w:pPr>
      <w:r w:rsidRPr="00E95279">
        <w:rPr>
          <w:b/>
          <w:highlight w:val="yellow"/>
        </w:rPr>
        <w:t>Additional Service Access Points:</w:t>
      </w:r>
      <w:r w:rsidRPr="00E95279">
        <w:rPr>
          <w:highlight w:val="yellow"/>
        </w:rPr>
        <w:t xml:space="preserve"> Many households will want to construct secondary structures on their properties over time, for secondary households or for rental units.  One of the most important facilitative steps that can be taken is to promote this is by providing additional service points for these secondary units. It is faster and cheaper to implement these arrangements while services are being installed, rather than as a secondary project.  Doing so can also facilitate urban development objectives such as densification (in low density settlements) and provision of rental accommodation for displaced households, as well as generation of much needed additional income by households.</w:t>
      </w:r>
    </w:p>
    <w:p w14:paraId="1E4F7FCD" w14:textId="77777777" w:rsidR="00A4087D" w:rsidRPr="002344E8" w:rsidRDefault="00A4087D" w:rsidP="00A4087D">
      <w:pPr>
        <w:pStyle w:val="ListParagraph"/>
        <w:numPr>
          <w:ilvl w:val="0"/>
          <w:numId w:val="21"/>
        </w:numPr>
        <w:ind w:left="1080"/>
        <w:jc w:val="left"/>
      </w:pPr>
      <w:r>
        <w:rPr>
          <w:b/>
        </w:rPr>
        <w:t>Additional Modules of House Construction:</w:t>
      </w:r>
      <w:r>
        <w:t xml:space="preserve"> Any additional programme that adds features or benefits to a house may offer opportunities for UISP house construction support. This includes house electricity connections and installations of solar geyser systems, </w:t>
      </w:r>
      <w:r w:rsidRPr="00CF1919">
        <w:t>for instance</w:t>
      </w:r>
      <w:r>
        <w:t>.</w:t>
      </w:r>
    </w:p>
    <w:p w14:paraId="6AE698D6" w14:textId="77777777" w:rsidR="00A4087D" w:rsidRDefault="00A4087D" w:rsidP="00A4087D">
      <w:pPr>
        <w:pStyle w:val="Heading3"/>
      </w:pPr>
      <w:bookmarkStart w:id="307" w:name="_Toc262041240"/>
      <w:bookmarkStart w:id="308" w:name="_Toc262067892"/>
      <w:bookmarkStart w:id="309" w:name="_Toc262068218"/>
      <w:r>
        <w:lastRenderedPageBreak/>
        <w:t>Suggested Implementation Arrangements</w:t>
      </w:r>
      <w:bookmarkEnd w:id="307"/>
      <w:bookmarkEnd w:id="308"/>
      <w:bookmarkEnd w:id="309"/>
    </w:p>
    <w:p w14:paraId="2B8240E1" w14:textId="77777777" w:rsidR="00A4087D" w:rsidRDefault="00A4087D" w:rsidP="00A4087D">
      <w:pPr>
        <w:spacing w:line="360" w:lineRule="auto"/>
        <w:ind w:left="567"/>
        <w:rPr>
          <w:rFonts w:cs="Arial"/>
          <w:szCs w:val="22"/>
        </w:rPr>
      </w:pPr>
      <w:r>
        <w:rPr>
          <w:rFonts w:cs="Arial"/>
          <w:szCs w:val="22"/>
        </w:rPr>
        <w:t xml:space="preserve">Implementing additional subsidies in an existing publicly subsidized upgrading project must be carefully managed. </w:t>
      </w:r>
    </w:p>
    <w:p w14:paraId="3EFFCA62" w14:textId="77777777" w:rsidR="00A4087D" w:rsidRPr="005E678E" w:rsidRDefault="00A4087D" w:rsidP="00A4087D">
      <w:pPr>
        <w:pStyle w:val="ListParagraph"/>
        <w:numPr>
          <w:ilvl w:val="0"/>
          <w:numId w:val="21"/>
        </w:numPr>
        <w:ind w:left="1080"/>
        <w:jc w:val="left"/>
        <w:rPr>
          <w:b/>
        </w:rPr>
      </w:pPr>
      <w:r>
        <w:t xml:space="preserve">Firstly, </w:t>
      </w:r>
      <w:r w:rsidRPr="00731008">
        <w:rPr>
          <w:b/>
        </w:rPr>
        <w:t>where capital funding subsidy improvements are available at the settlement level should be implemented durin</w:t>
      </w:r>
      <w:r>
        <w:rPr>
          <w:b/>
        </w:rPr>
        <w:t>g UISP</w:t>
      </w:r>
      <w:r>
        <w:t xml:space="preserve"> Phases 1, 2 and 3. This is the most convenient and cost effective time to plan and implement the installation of additional services, foundation slabs, cores, party walls or other improvements.</w:t>
      </w:r>
    </w:p>
    <w:p w14:paraId="7603F8DA" w14:textId="77777777" w:rsidR="00A4087D" w:rsidRDefault="00A4087D" w:rsidP="00A4087D">
      <w:pPr>
        <w:pStyle w:val="ListParagraph"/>
        <w:numPr>
          <w:ilvl w:val="0"/>
          <w:numId w:val="21"/>
        </w:numPr>
        <w:ind w:left="1080"/>
        <w:jc w:val="left"/>
      </w:pPr>
      <w:r w:rsidRPr="005E678E">
        <w:t xml:space="preserve">Should secondary subsidies be available for house construction </w:t>
      </w:r>
      <w:r>
        <w:t xml:space="preserve">an attempt should be made to </w:t>
      </w:r>
      <w:r w:rsidRPr="00731008">
        <w:rPr>
          <w:b/>
        </w:rPr>
        <w:t>implement these in parallel with phase 3 of the UISP</w:t>
      </w:r>
      <w:r>
        <w:t>.  This coordination of two separate projects can limit delays in households accessing top structures, and save costs on site establishment and other construction overheads.</w:t>
      </w:r>
    </w:p>
    <w:p w14:paraId="116EA894" w14:textId="77777777" w:rsidR="00A4087D" w:rsidRDefault="00A4087D" w:rsidP="00A4087D">
      <w:pPr>
        <w:pStyle w:val="ListParagraph"/>
        <w:numPr>
          <w:ilvl w:val="0"/>
          <w:numId w:val="21"/>
        </w:numPr>
        <w:ind w:left="1080"/>
        <w:jc w:val="left"/>
      </w:pPr>
      <w:r>
        <w:t xml:space="preserve">Should </w:t>
      </w:r>
      <w:r w:rsidRPr="00315183">
        <w:rPr>
          <w:b/>
        </w:rPr>
        <w:t>self-build methodologies</w:t>
      </w:r>
      <w:r>
        <w:t xml:space="preserve"> of subsidized or partially subsidized house construction be implemented, these need to be carefully managed by designated Implementing Agents and facilitative organizations.</w:t>
      </w:r>
    </w:p>
    <w:p w14:paraId="5D45E019" w14:textId="77777777" w:rsidR="00A4087D" w:rsidRDefault="00A4087D" w:rsidP="00A4087D">
      <w:pPr>
        <w:pStyle w:val="Heading3"/>
      </w:pPr>
      <w:bookmarkStart w:id="310" w:name="_Toc262041241"/>
      <w:bookmarkStart w:id="311" w:name="_Toc262067893"/>
      <w:bookmarkStart w:id="312" w:name="_Toc262068219"/>
      <w:r>
        <w:t>Sources of Subsidy Assistance</w:t>
      </w:r>
      <w:bookmarkEnd w:id="310"/>
      <w:bookmarkEnd w:id="311"/>
      <w:bookmarkEnd w:id="312"/>
    </w:p>
    <w:p w14:paraId="5CB310F9" w14:textId="77777777" w:rsidR="00A4087D" w:rsidRDefault="00A4087D" w:rsidP="00A4087D">
      <w:pPr>
        <w:spacing w:line="360" w:lineRule="auto"/>
        <w:rPr>
          <w:rFonts w:cs="Arial"/>
          <w:szCs w:val="22"/>
        </w:rPr>
      </w:pPr>
      <w:r w:rsidRPr="00142C60">
        <w:rPr>
          <w:rFonts w:cs="Arial"/>
          <w:szCs w:val="22"/>
        </w:rPr>
        <w:t xml:space="preserve">The UISP </w:t>
      </w:r>
      <w:r>
        <w:rPr>
          <w:rFonts w:cs="Arial"/>
          <w:szCs w:val="22"/>
        </w:rPr>
        <w:t xml:space="preserve">does not currently provide for capital funding for the elements outlined above, since it envisages the provision of completed top structures during Phase 4. No other existing funding programme makes explicit provision for these elements, although initial discussions with National Treasury indicate a willingness to consider how USDG funds may be applied to these purposes by the Metropolitan Municipalities.  Current work being undertaken for the backyarding sector may also provide clues as to potential sources of, and applications for existing funding channels in these contexts (personal communications with NDHS and CSP).  </w:t>
      </w:r>
    </w:p>
    <w:p w14:paraId="2F7DFD44" w14:textId="42EB0A9D" w:rsidR="00B00057" w:rsidRDefault="00B00057" w:rsidP="00540DD7">
      <w:pPr>
        <w:pStyle w:val="Heading2"/>
      </w:pPr>
      <w:bookmarkStart w:id="313" w:name="_Toc270946051"/>
      <w:r>
        <w:t xml:space="preserve">Facilitating </w:t>
      </w:r>
      <w:r w:rsidR="000E31C5">
        <w:t>Household</w:t>
      </w:r>
      <w:r>
        <w:t xml:space="preserve"> Investment in Housing</w:t>
      </w:r>
      <w:bookmarkEnd w:id="299"/>
      <w:bookmarkEnd w:id="300"/>
      <w:bookmarkEnd w:id="313"/>
    </w:p>
    <w:p w14:paraId="608179E7" w14:textId="77777777" w:rsidR="008B47BF" w:rsidRDefault="008B47BF" w:rsidP="00250EA9">
      <w:pPr>
        <w:spacing w:after="0"/>
        <w:rPr>
          <w:rFonts w:cs="Arial"/>
          <w:szCs w:val="22"/>
        </w:rPr>
      </w:pPr>
    </w:p>
    <w:p w14:paraId="0F69D68C" w14:textId="1F5DAC70" w:rsidR="00B00057" w:rsidRDefault="00B00057" w:rsidP="00250EA9">
      <w:pPr>
        <w:spacing w:line="360" w:lineRule="auto"/>
        <w:rPr>
          <w:rFonts w:cs="Arial"/>
          <w:szCs w:val="22"/>
        </w:rPr>
      </w:pPr>
      <w:r w:rsidRPr="005123D5">
        <w:rPr>
          <w:rFonts w:cs="Arial"/>
          <w:szCs w:val="22"/>
        </w:rPr>
        <w:t xml:space="preserve">Housing literature has for decades pointed to the fact that building or buying a house is the biggest single investment most households will make in their lifetime.  </w:t>
      </w:r>
      <w:r>
        <w:rPr>
          <w:rFonts w:cs="Arial"/>
          <w:szCs w:val="22"/>
        </w:rPr>
        <w:t xml:space="preserve">Under the blended approach, South African households will once again be placed at the centre of their own home building endeavours as is common practice in most developing nations. However, given that many households still expect a state-dominant approach where housing is delivered to them this shift will not be without difficulties. </w:t>
      </w:r>
    </w:p>
    <w:p w14:paraId="6A587F37" w14:textId="77777777" w:rsidR="00B00057" w:rsidRPr="00C80313" w:rsidRDefault="00B00057" w:rsidP="000F2975">
      <w:pPr>
        <w:pStyle w:val="Heading3"/>
      </w:pPr>
      <w:bookmarkStart w:id="314" w:name="_Toc262041231"/>
      <w:bookmarkStart w:id="315" w:name="_Toc262067883"/>
      <w:bookmarkStart w:id="316" w:name="_Toc262068209"/>
      <w:r>
        <w:lastRenderedPageBreak/>
        <w:t xml:space="preserve">Potential </w:t>
      </w:r>
      <w:r w:rsidRPr="00C80313">
        <w:t xml:space="preserve">Forms of </w:t>
      </w:r>
      <w:r>
        <w:t>Assistance</w:t>
      </w:r>
      <w:bookmarkEnd w:id="314"/>
      <w:bookmarkEnd w:id="315"/>
      <w:bookmarkEnd w:id="316"/>
      <w:r w:rsidRPr="00C80313">
        <w:t xml:space="preserve"> </w:t>
      </w:r>
    </w:p>
    <w:p w14:paraId="60155053" w14:textId="77777777" w:rsidR="00B00057" w:rsidRPr="0008088A" w:rsidRDefault="00B00057" w:rsidP="00250EA9">
      <w:pPr>
        <w:spacing w:line="360" w:lineRule="auto"/>
        <w:rPr>
          <w:rFonts w:cs="Arial"/>
          <w:szCs w:val="22"/>
        </w:rPr>
      </w:pPr>
      <w:r w:rsidRPr="0008088A">
        <w:rPr>
          <w:rFonts w:cs="Arial"/>
          <w:szCs w:val="22"/>
        </w:rPr>
        <w:t>Outlined below are the most important mechanisms through which households may be guided and supported to take ownership of their home building process, and to be supported through this process within the context of UISP projects.</w:t>
      </w:r>
    </w:p>
    <w:p w14:paraId="2CB756D9" w14:textId="5ED427C8" w:rsidR="00B00057" w:rsidRDefault="00B00057" w:rsidP="0055634E">
      <w:pPr>
        <w:pStyle w:val="ListParagraph"/>
        <w:numPr>
          <w:ilvl w:val="0"/>
          <w:numId w:val="7"/>
        </w:numPr>
        <w:ind w:left="720"/>
        <w:rPr>
          <w:rFonts w:cs="Arial"/>
          <w:b/>
        </w:rPr>
      </w:pPr>
      <w:r>
        <w:rPr>
          <w:rFonts w:cs="Arial"/>
          <w:b/>
        </w:rPr>
        <w:t xml:space="preserve">Political </w:t>
      </w:r>
      <w:r w:rsidR="008B47BF">
        <w:rPr>
          <w:rFonts w:cs="Arial"/>
          <w:b/>
        </w:rPr>
        <w:t xml:space="preserve">and </w:t>
      </w:r>
      <w:r>
        <w:rPr>
          <w:rFonts w:cs="Arial"/>
          <w:b/>
        </w:rPr>
        <w:t xml:space="preserve">Community Support: </w:t>
      </w:r>
      <w:r w:rsidRPr="00E95279">
        <w:rPr>
          <w:rFonts w:cs="Arial"/>
          <w:highlight w:val="yellow"/>
        </w:rPr>
        <w:t>A clear and consistent message is required from political office bearers, provincial and municipal officials and community representatives that the blended approach is the approach that will be followed in that specific community</w:t>
      </w:r>
      <w:r>
        <w:rPr>
          <w:rFonts w:cs="Arial"/>
        </w:rPr>
        <w:t xml:space="preserve"> (the problems with ‘mixed messaging’ from parallel, yet uneven subsidy systems have been discussed in </w:t>
      </w:r>
      <w:r w:rsidRPr="004F1CFD">
        <w:rPr>
          <w:rFonts w:cs="Arial"/>
        </w:rPr>
        <w:t>Section 3).</w:t>
      </w:r>
      <w:r>
        <w:rPr>
          <w:rFonts w:cs="Arial"/>
        </w:rPr>
        <w:t xml:space="preserve"> </w:t>
      </w:r>
      <w:r w:rsidRPr="00E95279">
        <w:rPr>
          <w:rFonts w:cs="Arial"/>
          <w:highlight w:val="yellow"/>
        </w:rPr>
        <w:t xml:space="preserve">It is clear that </w:t>
      </w:r>
      <w:r w:rsidR="008B47BF" w:rsidRPr="00E95279">
        <w:rPr>
          <w:rFonts w:cs="Arial"/>
          <w:highlight w:val="yellow"/>
        </w:rPr>
        <w:t xml:space="preserve">as </w:t>
      </w:r>
      <w:r w:rsidRPr="00E95279">
        <w:rPr>
          <w:rFonts w:cs="Arial"/>
          <w:highlight w:val="yellow"/>
        </w:rPr>
        <w:t>long as households are expecting government to provide houses in UISP Phase 4, they will not commit to managing their own house consolidation process</w:t>
      </w:r>
      <w:r>
        <w:rPr>
          <w:rFonts w:cs="Arial"/>
        </w:rPr>
        <w:t xml:space="preserve">. </w:t>
      </w:r>
      <w:r w:rsidR="008B47BF">
        <w:rPr>
          <w:rFonts w:cs="Arial"/>
        </w:rPr>
        <w:t>T</w:t>
      </w:r>
      <w:r>
        <w:rPr>
          <w:rFonts w:cs="Arial"/>
        </w:rPr>
        <w:t>his is perhaps the most fundamental impediment to house consolidation in UISP projects at present.</w:t>
      </w:r>
    </w:p>
    <w:p w14:paraId="108B7C61" w14:textId="3D8F3261" w:rsidR="00B00057" w:rsidRDefault="00B00057" w:rsidP="0055634E">
      <w:pPr>
        <w:pStyle w:val="ListParagraph"/>
        <w:numPr>
          <w:ilvl w:val="0"/>
          <w:numId w:val="7"/>
        </w:numPr>
        <w:ind w:left="720"/>
        <w:rPr>
          <w:rFonts w:cs="Arial"/>
          <w:b/>
        </w:rPr>
      </w:pPr>
      <w:r>
        <w:rPr>
          <w:rFonts w:cs="Arial"/>
          <w:b/>
        </w:rPr>
        <w:t xml:space="preserve">Protecting Prior Investment in Housing: </w:t>
      </w:r>
      <w:r>
        <w:rPr>
          <w:rFonts w:cs="Arial"/>
        </w:rPr>
        <w:t>A critical incentive to home building is to find ways of encouraging utilization, or re-utili</w:t>
      </w:r>
      <w:r w:rsidR="008B47BF">
        <w:rPr>
          <w:rFonts w:cs="Arial"/>
        </w:rPr>
        <w:t>z</w:t>
      </w:r>
      <w:r>
        <w:rPr>
          <w:rFonts w:cs="Arial"/>
        </w:rPr>
        <w:t xml:space="preserve">ation of investments already made by households in house construction. While the UISP currently dictates that existing structures should be eradicated when </w:t>
      </w:r>
      <w:r w:rsidR="00E01C9B">
        <w:rPr>
          <w:rFonts w:cs="Arial"/>
        </w:rPr>
        <w:t>subsidized</w:t>
      </w:r>
      <w:r>
        <w:rPr>
          <w:rFonts w:cs="Arial"/>
        </w:rPr>
        <w:t xml:space="preserve"> housing delivery in Phase 4 occurs, in the blended modality, existing structures constitute an important foundation for future house construction and consolidation. Profiling of informal settlements also indicate that the level of investment in structures varies significantly</w:t>
      </w:r>
      <w:r w:rsidR="008B47BF">
        <w:rPr>
          <w:rFonts w:cs="Arial"/>
        </w:rPr>
        <w:t xml:space="preserve"> (see Annexure C)</w:t>
      </w:r>
      <w:r>
        <w:rPr>
          <w:rFonts w:cs="Arial"/>
        </w:rPr>
        <w:t>. Some settlements may predominantly comprise the most basic shacks, while in others existing investments can be substantial and impressive. In many settlements, where residents feel secure in their tenure, some houses are replaced with formal structures even prior to a UISP project being established.  Even where new structures will be constructed, existing materials constitute a significant monetary investment</w:t>
      </w:r>
      <w:r w:rsidR="008B47BF">
        <w:rPr>
          <w:rFonts w:cs="Arial"/>
        </w:rPr>
        <w:t>,</w:t>
      </w:r>
      <w:r>
        <w:rPr>
          <w:rFonts w:cs="Arial"/>
        </w:rPr>
        <w:t xml:space="preserve"> which can be reused to extend shelters or during the construction process, or may be reformed into a secondary backyard structure for extended family or for the generation of much needed income as a retail space or backyard rental opportunity.</w:t>
      </w:r>
    </w:p>
    <w:p w14:paraId="522F5BE5" w14:textId="1518C042" w:rsidR="00B00057" w:rsidRPr="00974E6C" w:rsidRDefault="00B00057" w:rsidP="0055634E">
      <w:pPr>
        <w:pStyle w:val="ListParagraph"/>
        <w:numPr>
          <w:ilvl w:val="0"/>
          <w:numId w:val="7"/>
        </w:numPr>
        <w:ind w:left="720"/>
        <w:rPr>
          <w:rFonts w:cs="Arial"/>
          <w:b/>
        </w:rPr>
      </w:pPr>
      <w:r>
        <w:rPr>
          <w:rFonts w:cs="Arial"/>
          <w:b/>
        </w:rPr>
        <w:t xml:space="preserve">Knowledge and Capacity Development: </w:t>
      </w:r>
      <w:r>
        <w:rPr>
          <w:rFonts w:cs="Arial"/>
        </w:rPr>
        <w:t xml:space="preserve">Conceiving, planning, designing, costing, financing, contracting and implementing home building activities are not innate knowledge to most households. These are all complicated processes that households may not be adequately equipped to personally handle. Therefore, capacitation of communities and households with relevant knowledge is an important starting point in </w:t>
      </w:r>
      <w:r>
        <w:rPr>
          <w:rFonts w:cs="Arial"/>
        </w:rPr>
        <w:lastRenderedPageBreak/>
        <w:t xml:space="preserve">promoting house consolidation under the Blended Mode. General interventions here can include (other specific, technical inputs are outlined in </w:t>
      </w:r>
      <w:r w:rsidRPr="00C45EC3">
        <w:rPr>
          <w:rFonts w:cs="Arial"/>
        </w:rPr>
        <w:t xml:space="preserve">Section </w:t>
      </w:r>
      <w:r w:rsidR="00C45EC3">
        <w:rPr>
          <w:rFonts w:cs="Arial"/>
        </w:rPr>
        <w:fldChar w:fldCharType="begin"/>
      </w:r>
      <w:r w:rsidR="00C45EC3">
        <w:rPr>
          <w:rFonts w:cs="Arial"/>
        </w:rPr>
        <w:instrText xml:space="preserve"> REF _Ref262718969 \r \h </w:instrText>
      </w:r>
      <w:r w:rsidR="00C45EC3">
        <w:rPr>
          <w:rFonts w:cs="Arial"/>
        </w:rPr>
      </w:r>
      <w:r w:rsidR="00C45EC3">
        <w:rPr>
          <w:rFonts w:cs="Arial"/>
        </w:rPr>
        <w:fldChar w:fldCharType="separate"/>
      </w:r>
      <w:r w:rsidR="00E9048A">
        <w:rPr>
          <w:rFonts w:cs="Arial"/>
        </w:rPr>
        <w:t>0</w:t>
      </w:r>
      <w:r w:rsidR="00C45EC3">
        <w:rPr>
          <w:rFonts w:cs="Arial"/>
        </w:rPr>
        <w:fldChar w:fldCharType="end"/>
      </w:r>
      <w:r w:rsidRPr="00C45EC3">
        <w:rPr>
          <w:rFonts w:cs="Arial"/>
        </w:rPr>
        <w:t>):</w:t>
      </w:r>
    </w:p>
    <w:p w14:paraId="7DE5450B" w14:textId="77777777" w:rsidR="00B00057" w:rsidRPr="00974E6C" w:rsidRDefault="00B00057" w:rsidP="0055634E">
      <w:pPr>
        <w:pStyle w:val="ListParagraph"/>
        <w:numPr>
          <w:ilvl w:val="1"/>
          <w:numId w:val="7"/>
        </w:numPr>
        <w:ind w:left="1080"/>
        <w:rPr>
          <w:rFonts w:cs="Arial"/>
        </w:rPr>
      </w:pPr>
      <w:r w:rsidRPr="00974E6C">
        <w:rPr>
          <w:rFonts w:cs="Arial"/>
        </w:rPr>
        <w:t>Overall approach to household-driven home building</w:t>
      </w:r>
    </w:p>
    <w:p w14:paraId="5F96A391" w14:textId="77777777" w:rsidR="00B00057" w:rsidRPr="00974E6C" w:rsidRDefault="00B00057" w:rsidP="0055634E">
      <w:pPr>
        <w:pStyle w:val="ListParagraph"/>
        <w:numPr>
          <w:ilvl w:val="1"/>
          <w:numId w:val="7"/>
        </w:numPr>
        <w:ind w:left="1080"/>
        <w:rPr>
          <w:rFonts w:cs="Arial"/>
        </w:rPr>
      </w:pPr>
      <w:r w:rsidRPr="00974E6C">
        <w:rPr>
          <w:rFonts w:cs="Arial"/>
        </w:rPr>
        <w:t>Calculating housing affordability</w:t>
      </w:r>
      <w:r>
        <w:rPr>
          <w:rFonts w:cs="Arial"/>
        </w:rPr>
        <w:t xml:space="preserve"> and access to credit</w:t>
      </w:r>
    </w:p>
    <w:p w14:paraId="310DD329" w14:textId="77777777" w:rsidR="00B00057" w:rsidRDefault="00B00057" w:rsidP="0055634E">
      <w:pPr>
        <w:pStyle w:val="ListParagraph"/>
        <w:numPr>
          <w:ilvl w:val="1"/>
          <w:numId w:val="7"/>
        </w:numPr>
        <w:ind w:left="1080"/>
        <w:rPr>
          <w:rFonts w:cs="Arial"/>
        </w:rPr>
      </w:pPr>
      <w:r w:rsidRPr="00974E6C">
        <w:rPr>
          <w:rFonts w:cs="Arial"/>
        </w:rPr>
        <w:t xml:space="preserve">What resources can be mobilized </w:t>
      </w:r>
      <w:r>
        <w:rPr>
          <w:rFonts w:cs="Arial"/>
        </w:rPr>
        <w:t xml:space="preserve">for house construction </w:t>
      </w:r>
      <w:r w:rsidRPr="00974E6C">
        <w:rPr>
          <w:rFonts w:cs="Arial"/>
        </w:rPr>
        <w:t>and from where</w:t>
      </w:r>
    </w:p>
    <w:p w14:paraId="7A6A8B6E" w14:textId="77777777" w:rsidR="00B00057" w:rsidRDefault="00B00057" w:rsidP="0055634E">
      <w:pPr>
        <w:pStyle w:val="ListParagraph"/>
        <w:numPr>
          <w:ilvl w:val="1"/>
          <w:numId w:val="7"/>
        </w:numPr>
        <w:ind w:left="1080"/>
        <w:rPr>
          <w:rFonts w:cs="Arial"/>
        </w:rPr>
      </w:pPr>
      <w:r>
        <w:rPr>
          <w:rFonts w:cs="Arial"/>
        </w:rPr>
        <w:t>Technical construction skills</w:t>
      </w:r>
    </w:p>
    <w:p w14:paraId="6473FC5C" w14:textId="77777777" w:rsidR="00B00057" w:rsidRPr="00C45EC3" w:rsidRDefault="00B00057" w:rsidP="0055634E">
      <w:pPr>
        <w:pStyle w:val="ListParagraph"/>
        <w:numPr>
          <w:ilvl w:val="1"/>
          <w:numId w:val="7"/>
        </w:numPr>
        <w:ind w:left="1080"/>
        <w:rPr>
          <w:rFonts w:cs="Arial"/>
        </w:rPr>
      </w:pPr>
      <w:r w:rsidRPr="00C45EC3">
        <w:rPr>
          <w:rFonts w:cs="Arial"/>
        </w:rPr>
        <w:t>Contractor management skills</w:t>
      </w:r>
    </w:p>
    <w:p w14:paraId="50A549EF" w14:textId="77777777" w:rsidR="00B00057" w:rsidRPr="00C45EC3" w:rsidRDefault="00B00057" w:rsidP="0055634E">
      <w:pPr>
        <w:pStyle w:val="ListParagraph"/>
        <w:numPr>
          <w:ilvl w:val="1"/>
          <w:numId w:val="7"/>
        </w:numPr>
        <w:ind w:left="1080"/>
        <w:rPr>
          <w:rFonts w:cs="Arial"/>
        </w:rPr>
      </w:pPr>
      <w:r w:rsidRPr="00C45EC3">
        <w:rPr>
          <w:rFonts w:cs="Arial"/>
        </w:rPr>
        <w:t>Financial management</w:t>
      </w:r>
    </w:p>
    <w:p w14:paraId="701240F8" w14:textId="063F390A" w:rsidR="00B00057" w:rsidRPr="00E36AD0" w:rsidRDefault="00B00057" w:rsidP="0055634E">
      <w:pPr>
        <w:pStyle w:val="ListParagraph"/>
        <w:numPr>
          <w:ilvl w:val="0"/>
          <w:numId w:val="7"/>
        </w:numPr>
        <w:ind w:left="720"/>
        <w:rPr>
          <w:rFonts w:cs="Arial"/>
          <w:b/>
          <w:highlight w:val="yellow"/>
        </w:rPr>
      </w:pPr>
      <w:r w:rsidRPr="00E36AD0">
        <w:rPr>
          <w:rFonts w:cs="Arial"/>
          <w:b/>
          <w:highlight w:val="yellow"/>
        </w:rPr>
        <w:t xml:space="preserve">Arranged Home Building Programmes: </w:t>
      </w:r>
      <w:r w:rsidR="00262948" w:rsidRPr="00E36AD0">
        <w:rPr>
          <w:rFonts w:cs="Arial"/>
          <w:highlight w:val="yellow"/>
        </w:rPr>
        <w:t>T</w:t>
      </w:r>
      <w:r w:rsidRPr="00E36AD0">
        <w:rPr>
          <w:rFonts w:cs="Arial"/>
          <w:highlight w:val="yellow"/>
        </w:rPr>
        <w:t>ested method</w:t>
      </w:r>
      <w:r w:rsidR="00262948" w:rsidRPr="00E36AD0">
        <w:rPr>
          <w:rFonts w:cs="Arial"/>
          <w:highlight w:val="yellow"/>
        </w:rPr>
        <w:t>s</w:t>
      </w:r>
      <w:r w:rsidRPr="00E36AD0">
        <w:rPr>
          <w:rFonts w:cs="Arial"/>
          <w:highlight w:val="yellow"/>
        </w:rPr>
        <w:t xml:space="preserve"> of assisting households to construct their own dwellings </w:t>
      </w:r>
      <w:r w:rsidR="00262948" w:rsidRPr="00E36AD0">
        <w:rPr>
          <w:rFonts w:cs="Arial"/>
          <w:highlight w:val="yellow"/>
        </w:rPr>
        <w:t xml:space="preserve">are </w:t>
      </w:r>
      <w:r w:rsidRPr="00E36AD0">
        <w:rPr>
          <w:rFonts w:cs="Arial"/>
          <w:highlight w:val="yellow"/>
        </w:rPr>
        <w:t>via coordinated homebuilding programmes, either on an individual (self-build) or group (mutual build) basis. Method</w:t>
      </w:r>
      <w:r w:rsidR="00262948" w:rsidRPr="00E36AD0">
        <w:rPr>
          <w:rFonts w:cs="Arial"/>
          <w:highlight w:val="yellow"/>
        </w:rPr>
        <w:t>s</w:t>
      </w:r>
      <w:r w:rsidRPr="00E36AD0">
        <w:rPr>
          <w:rFonts w:cs="Arial"/>
          <w:highlight w:val="yellow"/>
        </w:rPr>
        <w:t xml:space="preserve"> implemented by international </w:t>
      </w:r>
      <w:r w:rsidR="008B47BF" w:rsidRPr="00E36AD0">
        <w:rPr>
          <w:rFonts w:cs="Arial"/>
          <w:highlight w:val="yellow"/>
        </w:rPr>
        <w:t>organization</w:t>
      </w:r>
      <w:r w:rsidRPr="00E36AD0">
        <w:rPr>
          <w:rFonts w:cs="Arial"/>
          <w:highlight w:val="yellow"/>
        </w:rPr>
        <w:t xml:space="preserve">s such as Slum Dwellers International (SDI) and Habitat for Humanity assist groups of households, with or without their own support to develop their own houses. </w:t>
      </w:r>
    </w:p>
    <w:p w14:paraId="0753608F" w14:textId="0DBC2483" w:rsidR="00B00057" w:rsidRPr="00974E6C" w:rsidRDefault="00B00057" w:rsidP="0055634E">
      <w:pPr>
        <w:pStyle w:val="ListParagraph"/>
        <w:numPr>
          <w:ilvl w:val="1"/>
          <w:numId w:val="7"/>
        </w:numPr>
        <w:ind w:left="1080"/>
        <w:rPr>
          <w:rFonts w:cs="Arial"/>
        </w:rPr>
      </w:pPr>
      <w:r>
        <w:rPr>
          <w:rFonts w:cs="Arial"/>
        </w:rPr>
        <w:t>Self-Build programmes</w:t>
      </w:r>
      <w:r w:rsidR="00C45EC3">
        <w:rPr>
          <w:rFonts w:cs="Arial"/>
        </w:rPr>
        <w:t>; and</w:t>
      </w:r>
      <w:r>
        <w:rPr>
          <w:rFonts w:cs="Arial"/>
        </w:rPr>
        <w:t xml:space="preserve"> </w:t>
      </w:r>
    </w:p>
    <w:p w14:paraId="24AC082C" w14:textId="5FF9C59C" w:rsidR="00B00057" w:rsidRPr="00974E6C" w:rsidRDefault="00B00057" w:rsidP="0055634E">
      <w:pPr>
        <w:pStyle w:val="ListParagraph"/>
        <w:numPr>
          <w:ilvl w:val="1"/>
          <w:numId w:val="7"/>
        </w:numPr>
        <w:ind w:left="1080"/>
        <w:rPr>
          <w:rFonts w:cs="Arial"/>
        </w:rPr>
      </w:pPr>
      <w:r w:rsidRPr="00974E6C">
        <w:rPr>
          <w:rFonts w:cs="Arial"/>
        </w:rPr>
        <w:t>Mutual Build Programmes</w:t>
      </w:r>
      <w:r w:rsidR="00C45EC3">
        <w:rPr>
          <w:rFonts w:cs="Arial"/>
        </w:rPr>
        <w:t xml:space="preserve">. </w:t>
      </w:r>
      <w:r w:rsidRPr="00974E6C">
        <w:rPr>
          <w:rFonts w:cs="Arial"/>
        </w:rPr>
        <w:t xml:space="preserve"> </w:t>
      </w:r>
    </w:p>
    <w:p w14:paraId="76C238A1" w14:textId="77777777" w:rsidR="00B00057" w:rsidRPr="00E655C6" w:rsidRDefault="00B00057" w:rsidP="0055634E">
      <w:pPr>
        <w:pStyle w:val="ListParagraph"/>
        <w:numPr>
          <w:ilvl w:val="0"/>
          <w:numId w:val="7"/>
        </w:numPr>
        <w:ind w:left="720"/>
        <w:rPr>
          <w:rFonts w:cs="Arial"/>
          <w:b/>
        </w:rPr>
      </w:pPr>
      <w:r w:rsidRPr="00E655C6">
        <w:rPr>
          <w:rFonts w:cs="Arial"/>
          <w:b/>
        </w:rPr>
        <w:t xml:space="preserve">Income Generation: </w:t>
      </w:r>
      <w:r w:rsidRPr="00E655C6">
        <w:rPr>
          <w:rFonts w:cs="Arial"/>
        </w:rPr>
        <w:t>Low incomes are one of the largest impediments to house consolidation.  Therefore, any mechanisms that improve income generation within the target community will increase disposable income for house development. Possibilities include:</w:t>
      </w:r>
    </w:p>
    <w:p w14:paraId="14035E9E" w14:textId="77777777" w:rsidR="00B00057" w:rsidRPr="00E655C6" w:rsidRDefault="00B00057" w:rsidP="0055634E">
      <w:pPr>
        <w:pStyle w:val="ListParagraph"/>
        <w:numPr>
          <w:ilvl w:val="1"/>
          <w:numId w:val="7"/>
        </w:numPr>
        <w:ind w:left="1170"/>
        <w:rPr>
          <w:rFonts w:cs="Arial"/>
          <w:b/>
        </w:rPr>
      </w:pPr>
      <w:r w:rsidRPr="00E655C6">
        <w:rPr>
          <w:rFonts w:cs="Arial"/>
          <w:b/>
        </w:rPr>
        <w:t xml:space="preserve">Local employment </w:t>
      </w:r>
      <w:r w:rsidRPr="00E655C6">
        <w:rPr>
          <w:rFonts w:cs="Arial"/>
        </w:rPr>
        <w:t>for community members in the project process.</w:t>
      </w:r>
    </w:p>
    <w:p w14:paraId="60519D0D" w14:textId="77777777" w:rsidR="00B00057" w:rsidRPr="00E655C6" w:rsidRDefault="00B00057" w:rsidP="0055634E">
      <w:pPr>
        <w:pStyle w:val="ListParagraph"/>
        <w:numPr>
          <w:ilvl w:val="1"/>
          <w:numId w:val="7"/>
        </w:numPr>
        <w:ind w:left="1170"/>
        <w:rPr>
          <w:rFonts w:cs="Arial"/>
          <w:b/>
        </w:rPr>
      </w:pPr>
      <w:r w:rsidRPr="00E655C6">
        <w:rPr>
          <w:rFonts w:cs="Arial"/>
        </w:rPr>
        <w:t xml:space="preserve">Facilitating the provision of </w:t>
      </w:r>
      <w:r w:rsidRPr="00E655C6">
        <w:rPr>
          <w:rFonts w:cs="Arial"/>
          <w:b/>
        </w:rPr>
        <w:t>secondary business or rental income</w:t>
      </w:r>
      <w:r w:rsidRPr="001D178D">
        <w:rPr>
          <w:rFonts w:cs="Arial"/>
        </w:rPr>
        <w:t xml:space="preserve"> by settlement dwellers, as a secondary income source.</w:t>
      </w:r>
    </w:p>
    <w:p w14:paraId="3602EAC4" w14:textId="6A131C1F" w:rsidR="00B00057" w:rsidRPr="00E655C6" w:rsidRDefault="00B00057" w:rsidP="0055634E">
      <w:pPr>
        <w:pStyle w:val="ListParagraph"/>
        <w:numPr>
          <w:ilvl w:val="1"/>
          <w:numId w:val="7"/>
        </w:numPr>
        <w:ind w:left="1170"/>
        <w:rPr>
          <w:rFonts w:cs="Arial"/>
          <w:b/>
        </w:rPr>
      </w:pPr>
      <w:r w:rsidRPr="00E655C6">
        <w:rPr>
          <w:rFonts w:cs="Arial"/>
        </w:rPr>
        <w:t xml:space="preserve">Stimulating </w:t>
      </w:r>
      <w:r w:rsidRPr="00E655C6">
        <w:rPr>
          <w:rFonts w:cs="Arial"/>
          <w:b/>
        </w:rPr>
        <w:t>small business development</w:t>
      </w:r>
      <w:r w:rsidRPr="00E655C6">
        <w:rPr>
          <w:rFonts w:cs="Arial"/>
        </w:rPr>
        <w:t xml:space="preserve"> activities, especially in the construction trades, to support consolidation activity (See Section </w:t>
      </w:r>
      <w:r w:rsidR="00C45EC3">
        <w:rPr>
          <w:rFonts w:cs="Arial"/>
        </w:rPr>
        <w:t>6.7</w:t>
      </w:r>
      <w:r w:rsidRPr="00E655C6">
        <w:rPr>
          <w:rFonts w:cs="Arial"/>
        </w:rPr>
        <w:t>)</w:t>
      </w:r>
    </w:p>
    <w:p w14:paraId="28F54263" w14:textId="27E40B31" w:rsidR="00B00057" w:rsidRDefault="00B00057" w:rsidP="0055634E">
      <w:pPr>
        <w:pStyle w:val="ListParagraph"/>
        <w:numPr>
          <w:ilvl w:val="0"/>
          <w:numId w:val="7"/>
        </w:numPr>
        <w:ind w:left="720"/>
        <w:rPr>
          <w:rFonts w:cs="Arial"/>
          <w:b/>
        </w:rPr>
      </w:pPr>
      <w:r>
        <w:rPr>
          <w:rFonts w:cs="Arial"/>
          <w:b/>
        </w:rPr>
        <w:t xml:space="preserve">Effective Demand Supports: </w:t>
      </w:r>
      <w:r>
        <w:rPr>
          <w:rFonts w:cs="Arial"/>
        </w:rPr>
        <w:t xml:space="preserve">Assisting households to improve their </w:t>
      </w:r>
      <w:r w:rsidRPr="00BC4745">
        <w:rPr>
          <w:rFonts w:cs="Arial"/>
        </w:rPr>
        <w:t xml:space="preserve">effective demand for housing </w:t>
      </w:r>
      <w:r>
        <w:rPr>
          <w:rFonts w:cs="Arial"/>
        </w:rPr>
        <w:t>“</w:t>
      </w:r>
      <w:r w:rsidRPr="00BC4745">
        <w:rPr>
          <w:rFonts w:cs="Arial"/>
        </w:rPr>
        <w:t>through financing tools and livelihood integration</w:t>
      </w:r>
      <w:r>
        <w:rPr>
          <w:rFonts w:cs="Arial"/>
        </w:rPr>
        <w:t xml:space="preserve">” </w:t>
      </w:r>
      <w:r w:rsidRPr="00E259B9">
        <w:rPr>
          <w:rFonts w:cs="Arial"/>
        </w:rPr>
        <w:t>(ACC).</w:t>
      </w:r>
    </w:p>
    <w:tbl>
      <w:tblPr>
        <w:tblStyle w:val="TableGrid"/>
        <w:tblW w:w="0" w:type="auto"/>
        <w:tblInd w:w="817" w:type="dxa"/>
        <w:tblLook w:val="04A0" w:firstRow="1" w:lastRow="0" w:firstColumn="1" w:lastColumn="0" w:noHBand="0" w:noVBand="1"/>
      </w:tblPr>
      <w:tblGrid>
        <w:gridCol w:w="8647"/>
      </w:tblGrid>
      <w:tr w:rsidR="004B65F4" w14:paraId="4912FCD8" w14:textId="77777777" w:rsidTr="004B65F4">
        <w:tc>
          <w:tcPr>
            <w:tcW w:w="8647" w:type="dxa"/>
            <w:vAlign w:val="center"/>
          </w:tcPr>
          <w:p w14:paraId="7587E8E8" w14:textId="2383FEAB" w:rsidR="004B65F4" w:rsidRDefault="004B65F4" w:rsidP="00355BA7">
            <w:pPr>
              <w:tabs>
                <w:tab w:val="left" w:pos="34"/>
              </w:tabs>
              <w:ind w:left="176"/>
              <w:jc w:val="center"/>
              <w:rPr>
                <w:rFonts w:cs="Arial"/>
                <w:b/>
              </w:rPr>
            </w:pPr>
            <w:r w:rsidRPr="000056C2">
              <w:rPr>
                <w:rFonts w:cs="Arial"/>
                <w:b/>
              </w:rPr>
              <w:t>BOX</w:t>
            </w:r>
            <w:r w:rsidR="007006C3">
              <w:rPr>
                <w:rFonts w:cs="Arial"/>
                <w:b/>
              </w:rPr>
              <w:t xml:space="preserve"> 3</w:t>
            </w:r>
            <w:r w:rsidRPr="000056C2">
              <w:rPr>
                <w:rFonts w:cs="Arial"/>
                <w:b/>
              </w:rPr>
              <w:t xml:space="preserve">: </w:t>
            </w:r>
            <w:r>
              <w:rPr>
                <w:rFonts w:cs="Arial"/>
                <w:b/>
              </w:rPr>
              <w:t>S</w:t>
            </w:r>
            <w:r w:rsidR="00355BA7">
              <w:rPr>
                <w:rFonts w:cs="Arial"/>
                <w:b/>
              </w:rPr>
              <w:t>lum / Shack Dwellers International (SDI)</w:t>
            </w:r>
            <w:r>
              <w:rPr>
                <w:rFonts w:cs="Arial"/>
                <w:b/>
              </w:rPr>
              <w:t xml:space="preserve"> Savings Scheme</w:t>
            </w:r>
          </w:p>
          <w:p w14:paraId="5A50FF14" w14:textId="71D216B2" w:rsidR="00355BA7" w:rsidRDefault="00355BA7" w:rsidP="00355BA7">
            <w:pPr>
              <w:rPr>
                <w:rFonts w:cs="Arial"/>
              </w:rPr>
            </w:pPr>
            <w:r>
              <w:rPr>
                <w:rFonts w:cs="Arial"/>
              </w:rPr>
              <w:t xml:space="preserve">SDI is a network of international NPO active in 33 active countries that assists communities to develop alternatives to eviction from informal settlement areas. One of the core services they offer is a managed savings programme, which is at the core of their ‘federations’ of savings groups that agglomerate on a city-wide or national scale.  SDI’s philosophy is that </w:t>
            </w:r>
            <w:r w:rsidRPr="00355BA7">
              <w:rPr>
                <w:rFonts w:cs="Arial"/>
                <w:i/>
              </w:rPr>
              <w:t>“From a developmental perspective, however, the basic equity inherent in savings is the cohesion, understanding, trust and confidence generated”</w:t>
            </w:r>
            <w:r w:rsidR="004A2E64">
              <w:rPr>
                <w:rFonts w:cs="Arial"/>
                <w:i/>
              </w:rPr>
              <w:t xml:space="preserve"> (SDI Website)</w:t>
            </w:r>
            <w:r w:rsidRPr="00355BA7">
              <w:rPr>
                <w:rFonts w:cs="Arial"/>
                <w:i/>
              </w:rPr>
              <w:t xml:space="preserve"> </w:t>
            </w:r>
            <w:r w:rsidRPr="00355BA7">
              <w:rPr>
                <w:rFonts w:cs="Arial"/>
              </w:rPr>
              <w:t>within communities.</w:t>
            </w:r>
            <w:r>
              <w:rPr>
                <w:rFonts w:cs="Arial"/>
              </w:rPr>
              <w:t xml:space="preserve"> The trust generated is critical to foster pro-poor </w:t>
            </w:r>
            <w:r>
              <w:rPr>
                <w:rFonts w:cs="Arial"/>
              </w:rPr>
              <w:lastRenderedPageBreak/>
              <w:t>development initiatives on scale, as this trust is the same that is applied to other developmental initiative.</w:t>
            </w:r>
          </w:p>
          <w:p w14:paraId="7E778ACD" w14:textId="38FD8911" w:rsidR="00355BA7" w:rsidRDefault="00355BA7" w:rsidP="00355BA7">
            <w:pPr>
              <w:rPr>
                <w:rFonts w:cs="Arial"/>
              </w:rPr>
            </w:pPr>
            <w:r>
              <w:rPr>
                <w:rFonts w:cs="Arial"/>
              </w:rPr>
              <w:t>SDI’s Urban Poor Fund International (UPFI) works with national savings groups to accumulate their own developmental resources by combining savings of low income households with external contributions on a national scale to generate community development funds for securing tenure, infrastructure and house development.</w:t>
            </w:r>
          </w:p>
          <w:p w14:paraId="13204A91" w14:textId="4E3148D8" w:rsidR="004B65F4" w:rsidRDefault="004A2E64" w:rsidP="004A2E64">
            <w:pPr>
              <w:rPr>
                <w:rFonts w:cs="Arial"/>
              </w:rPr>
            </w:pPr>
            <w:r>
              <w:rPr>
                <w:rFonts w:cs="Arial"/>
              </w:rPr>
              <w:t xml:space="preserve">The Federation of the Urban Poor (FEDUP) in South Africa </w:t>
            </w:r>
            <w:r w:rsidR="00E259B9">
              <w:rPr>
                <w:rFonts w:cs="Arial"/>
              </w:rPr>
              <w:t>claim</w:t>
            </w:r>
            <w:r>
              <w:rPr>
                <w:rFonts w:cs="Arial"/>
              </w:rPr>
              <w:t xml:space="preserve"> over 40 000 savers in 700 settlements, across 45 cities and towns in all nine provinces</w:t>
            </w:r>
            <w:r w:rsidR="00E259B9">
              <w:rPr>
                <w:rFonts w:cs="Arial"/>
              </w:rPr>
              <w:t>.</w:t>
            </w:r>
            <w:r>
              <w:rPr>
                <w:rFonts w:cs="Arial"/>
              </w:rPr>
              <w:t xml:space="preserve"> FEDUP receives 9000 subsidies per annum, due to an agreement with the National Department of Human Settlements.  Through its relationships with national and metropolitan governments, FEDUP (in association with the Community Organisation Resource Centre (CORC) and the uTshani Fund can provide development finance, social support and developmental support for land access, infrastructure and housing development.</w:t>
            </w:r>
          </w:p>
          <w:p w14:paraId="79FF0FED" w14:textId="56FC20C7" w:rsidR="004A2E64" w:rsidRPr="004B65F4" w:rsidRDefault="004A2E64" w:rsidP="004A2E64">
            <w:pPr>
              <w:rPr>
                <w:rFonts w:cs="Arial"/>
              </w:rPr>
            </w:pPr>
            <w:r>
              <w:rPr>
                <w:rFonts w:cs="Arial"/>
              </w:rPr>
              <w:t>SDI claims to have assisted nearly 16 000 households with access to services, nearly 13 000 houses completed or improved, have completed profiles of over 1000 settlements, and to have regular daily savings of nearly R160 000</w:t>
            </w:r>
            <w:r w:rsidR="00A431B9">
              <w:rPr>
                <w:rFonts w:cs="Arial"/>
              </w:rPr>
              <w:t xml:space="preserve"> from just under 22 000 active savers.</w:t>
            </w:r>
          </w:p>
        </w:tc>
      </w:tr>
    </w:tbl>
    <w:p w14:paraId="2BDC76E1" w14:textId="77777777" w:rsidR="004B65F4" w:rsidRPr="004B65F4" w:rsidRDefault="004B65F4" w:rsidP="004B65F4">
      <w:pPr>
        <w:rPr>
          <w:rFonts w:cs="Arial"/>
          <w:b/>
        </w:rPr>
      </w:pPr>
    </w:p>
    <w:p w14:paraId="33BD61D7" w14:textId="7A2ACB04" w:rsidR="00B00057" w:rsidRPr="00987847" w:rsidRDefault="00B00057" w:rsidP="0055634E">
      <w:pPr>
        <w:pStyle w:val="ListParagraph"/>
        <w:numPr>
          <w:ilvl w:val="0"/>
          <w:numId w:val="7"/>
        </w:numPr>
      </w:pPr>
      <w:r w:rsidRPr="00987847">
        <w:rPr>
          <w:b/>
        </w:rPr>
        <w:t xml:space="preserve">Time: </w:t>
      </w:r>
      <w:r w:rsidR="00E655C6">
        <w:t>Incremental home improvement</w:t>
      </w:r>
      <w:r w:rsidR="00E655C6" w:rsidRPr="00987847">
        <w:t xml:space="preserve"> is an on-going, long-term process that requires a generational, rather than project life cycle view. </w:t>
      </w:r>
      <w:r w:rsidR="00E655C6">
        <w:t xml:space="preserve"> In addition, it is necessary to consider how house consolidation may be facilitated during the project life cycle, given that on average UISP projects have life cycles of five to seven years. As </w:t>
      </w:r>
      <w:r w:rsidR="00E655C6" w:rsidRPr="00987847">
        <w:t xml:space="preserve">Greene and Rojas, </w:t>
      </w:r>
      <w:r w:rsidR="00E655C6">
        <w:t>(2008,</w:t>
      </w:r>
      <w:r w:rsidR="00C45EC3">
        <w:t xml:space="preserve"> </w:t>
      </w:r>
      <w:r w:rsidR="00E655C6" w:rsidRPr="00987847">
        <w:t>p92</w:t>
      </w:r>
      <w:r w:rsidR="00E655C6">
        <w:t>)</w:t>
      </w:r>
      <w:r w:rsidR="00E655C6" w:rsidRPr="00987847">
        <w:t xml:space="preserve"> </w:t>
      </w:r>
      <w:r w:rsidR="00E655C6">
        <w:t>argue</w:t>
      </w:r>
      <w:r w:rsidR="00E655C6" w:rsidRPr="00987847">
        <w:t>:</w:t>
      </w:r>
    </w:p>
    <w:p w14:paraId="035F4F06" w14:textId="2284434A" w:rsidR="00B00057" w:rsidRPr="00FF6E22" w:rsidRDefault="00B00057" w:rsidP="00250EA9">
      <w:pPr>
        <w:spacing w:after="0" w:line="360" w:lineRule="auto"/>
        <w:ind w:left="1642"/>
        <w:rPr>
          <w:rFonts w:cs="Arial"/>
          <w:b/>
        </w:rPr>
      </w:pPr>
      <w:r w:rsidRPr="00FF6E22">
        <w:t xml:space="preserve"> </w:t>
      </w:r>
      <w:r w:rsidR="00E655C6">
        <w:t>‘</w:t>
      </w:r>
      <w:r w:rsidRPr="00FF6E22">
        <w:rPr>
          <w:rFonts w:cs="Arial"/>
          <w:i/>
        </w:rPr>
        <w:t>An essential requirement for facilitating the incremental building of homes is to fully incorporate into the design and execution of public programmes its process based nature. This is a process that lasts for many years and, in many cases, never ends. Many families work on the improvement and extension of their homes throughout an entire family cycle, first to obtain the minimum standards in size and quality, and later to accommodate changes in family structure or to get an income from their investment in the house</w:t>
      </w:r>
      <w:r w:rsidR="00E655C6">
        <w:rPr>
          <w:rFonts w:cs="Arial"/>
          <w:i/>
        </w:rPr>
        <w:t>’</w:t>
      </w:r>
      <w:r w:rsidRPr="00FF6E22">
        <w:rPr>
          <w:rFonts w:cs="Arial"/>
          <w:i/>
        </w:rPr>
        <w:t>.</w:t>
      </w:r>
    </w:p>
    <w:p w14:paraId="7A674B74" w14:textId="77777777" w:rsidR="00B00057" w:rsidRDefault="00B00057" w:rsidP="000F2975">
      <w:pPr>
        <w:pStyle w:val="Heading3"/>
      </w:pPr>
      <w:bookmarkStart w:id="317" w:name="_Toc262041232"/>
      <w:bookmarkStart w:id="318" w:name="_Toc262067884"/>
      <w:bookmarkStart w:id="319" w:name="_Toc262068210"/>
      <w:r>
        <w:t>Suggested Implementation Arrangements</w:t>
      </w:r>
      <w:bookmarkEnd w:id="317"/>
      <w:bookmarkEnd w:id="318"/>
      <w:bookmarkEnd w:id="319"/>
    </w:p>
    <w:p w14:paraId="67C69CC5" w14:textId="77777777" w:rsidR="00B00057" w:rsidRDefault="00B00057" w:rsidP="00250EA9">
      <w:pPr>
        <w:spacing w:line="360" w:lineRule="auto"/>
        <w:rPr>
          <w:rFonts w:cs="Arial"/>
          <w:szCs w:val="22"/>
        </w:rPr>
      </w:pPr>
      <w:r>
        <w:rPr>
          <w:rFonts w:cs="Arial"/>
          <w:szCs w:val="22"/>
        </w:rPr>
        <w:t>The following levels of involvement in this element are required:</w:t>
      </w:r>
    </w:p>
    <w:p w14:paraId="497926AE" w14:textId="55A0D9EF" w:rsidR="00B00057" w:rsidRPr="007857E8" w:rsidRDefault="00E655C6" w:rsidP="0055634E">
      <w:pPr>
        <w:pStyle w:val="ListParagraph"/>
        <w:numPr>
          <w:ilvl w:val="0"/>
          <w:numId w:val="51"/>
        </w:numPr>
        <w:ind w:left="720"/>
        <w:rPr>
          <w:rFonts w:cs="Arial"/>
        </w:rPr>
      </w:pPr>
      <w:r>
        <w:rPr>
          <w:rFonts w:cs="Arial"/>
          <w:b/>
        </w:rPr>
        <w:t>N</w:t>
      </w:r>
      <w:r w:rsidR="00B00057" w:rsidRPr="007857E8">
        <w:rPr>
          <w:rFonts w:cs="Arial"/>
          <w:b/>
        </w:rPr>
        <w:t>ational, provincial and local political support</w:t>
      </w:r>
      <w:r w:rsidR="00B00057" w:rsidRPr="007857E8">
        <w:rPr>
          <w:rFonts w:cs="Arial"/>
        </w:rPr>
        <w:t xml:space="preserve"> and office bearers, in order to ensure consistent messages regarding the incremental development mode.</w:t>
      </w:r>
    </w:p>
    <w:p w14:paraId="47CDB761" w14:textId="16D59BC4" w:rsidR="00B00057" w:rsidRPr="007857E8" w:rsidRDefault="00E655C6" w:rsidP="0055634E">
      <w:pPr>
        <w:pStyle w:val="ListParagraph"/>
        <w:numPr>
          <w:ilvl w:val="0"/>
          <w:numId w:val="51"/>
        </w:numPr>
        <w:ind w:left="720"/>
        <w:rPr>
          <w:rFonts w:cs="Arial"/>
        </w:rPr>
      </w:pPr>
      <w:r>
        <w:rPr>
          <w:rFonts w:cs="Arial"/>
        </w:rPr>
        <w:lastRenderedPageBreak/>
        <w:t>S</w:t>
      </w:r>
      <w:r w:rsidR="00B00057" w:rsidRPr="007857E8">
        <w:rPr>
          <w:rFonts w:cs="Arial"/>
        </w:rPr>
        <w:t xml:space="preserve">trong </w:t>
      </w:r>
      <w:r w:rsidR="00B00057" w:rsidRPr="007857E8">
        <w:rPr>
          <w:rFonts w:cs="Arial"/>
          <w:b/>
        </w:rPr>
        <w:t>Implementing Agent capacity</w:t>
      </w:r>
      <w:r w:rsidR="00B00057" w:rsidRPr="007857E8">
        <w:rPr>
          <w:rFonts w:cs="Arial"/>
        </w:rPr>
        <w:t xml:space="preserve"> to devise, implement and maintain capacity building programmes in affected settlements</w:t>
      </w:r>
      <w:r w:rsidR="00B00057">
        <w:rPr>
          <w:rFonts w:cs="Arial"/>
        </w:rPr>
        <w:t xml:space="preserve"> during Phases 1 to 3 of the UISP project, and to establish capacity that may exist beyond Phase 4</w:t>
      </w:r>
      <w:r w:rsidR="00B00057" w:rsidRPr="007857E8">
        <w:rPr>
          <w:rFonts w:cs="Arial"/>
        </w:rPr>
        <w:t>.</w:t>
      </w:r>
    </w:p>
    <w:p w14:paraId="3A00D9BB" w14:textId="7DB16858" w:rsidR="00B00057" w:rsidRDefault="00B00057" w:rsidP="0055634E">
      <w:pPr>
        <w:pStyle w:val="ListParagraph"/>
        <w:numPr>
          <w:ilvl w:val="0"/>
          <w:numId w:val="51"/>
        </w:numPr>
        <w:ind w:left="720"/>
        <w:rPr>
          <w:rFonts w:cs="Arial"/>
        </w:rPr>
      </w:pPr>
      <w:r w:rsidRPr="007857E8">
        <w:rPr>
          <w:rFonts w:cs="Arial"/>
          <w:b/>
        </w:rPr>
        <w:t xml:space="preserve">Non-Profit </w:t>
      </w:r>
      <w:r w:rsidR="008B47BF">
        <w:rPr>
          <w:rFonts w:cs="Arial"/>
          <w:b/>
        </w:rPr>
        <w:t>Organization</w:t>
      </w:r>
      <w:r>
        <w:rPr>
          <w:rFonts w:cs="Arial"/>
        </w:rPr>
        <w:t xml:space="preserve"> Capacity to engage with the community and </w:t>
      </w:r>
      <w:r w:rsidRPr="007857E8">
        <w:rPr>
          <w:rFonts w:cs="Arial"/>
        </w:rPr>
        <w:t>assist to implement required capacitation programmes</w:t>
      </w:r>
      <w:r>
        <w:rPr>
          <w:rFonts w:cs="Arial"/>
        </w:rPr>
        <w:t>.  Specialist NPOs who operate home building assistance programmes should also be encouraged to engage with the community where relevant.</w:t>
      </w:r>
    </w:p>
    <w:p w14:paraId="4DADBE70" w14:textId="19FD05F6" w:rsidR="00B00057" w:rsidRDefault="00B00057" w:rsidP="000F2975">
      <w:pPr>
        <w:pStyle w:val="Heading3"/>
      </w:pPr>
      <w:bookmarkStart w:id="320" w:name="_Toc262041233"/>
      <w:bookmarkStart w:id="321" w:name="_Toc262067885"/>
      <w:bookmarkStart w:id="322" w:name="_Toc262068211"/>
      <w:r>
        <w:t xml:space="preserve">Sources of Financing </w:t>
      </w:r>
      <w:r w:rsidR="00E655C6">
        <w:t xml:space="preserve">and </w:t>
      </w:r>
      <w:r>
        <w:t>Support</w:t>
      </w:r>
      <w:bookmarkEnd w:id="320"/>
      <w:bookmarkEnd w:id="321"/>
      <w:bookmarkEnd w:id="322"/>
    </w:p>
    <w:p w14:paraId="1D6FB0EC" w14:textId="53C46387" w:rsidR="00B00057" w:rsidRPr="00D66191" w:rsidRDefault="00B00057" w:rsidP="00250EA9">
      <w:pPr>
        <w:spacing w:line="360" w:lineRule="auto"/>
        <w:rPr>
          <w:rFonts w:cs="Arial"/>
          <w:szCs w:val="22"/>
        </w:rPr>
      </w:pPr>
      <w:r w:rsidRPr="00D66191">
        <w:rPr>
          <w:rFonts w:cs="Arial"/>
          <w:szCs w:val="22"/>
        </w:rPr>
        <w:t xml:space="preserve">The UISP makes some limited provision for facilitative assistance at the project level </w:t>
      </w:r>
      <w:r w:rsidR="00E655C6">
        <w:rPr>
          <w:rFonts w:cs="Arial"/>
          <w:szCs w:val="22"/>
        </w:rPr>
        <w:t xml:space="preserve">for sourcing financing and support </w:t>
      </w:r>
      <w:r w:rsidRPr="00D66191">
        <w:rPr>
          <w:rFonts w:cs="Arial"/>
          <w:szCs w:val="22"/>
        </w:rPr>
        <w:t xml:space="preserve">within the 3% allowed for Facilitation support. The adequacy of this provision in complex in situ </w:t>
      </w:r>
      <w:r w:rsidR="007157D6" w:rsidRPr="00D66191">
        <w:rPr>
          <w:rFonts w:cs="Arial"/>
          <w:szCs w:val="22"/>
        </w:rPr>
        <w:t>upgrading,</w:t>
      </w:r>
      <w:r w:rsidRPr="00D66191">
        <w:rPr>
          <w:rFonts w:cs="Arial"/>
          <w:szCs w:val="22"/>
        </w:rPr>
        <w:t xml:space="preserve"> and over the longer periods associated with the incremental housing mode needs to be </w:t>
      </w:r>
      <w:r>
        <w:rPr>
          <w:rFonts w:cs="Arial"/>
          <w:szCs w:val="22"/>
        </w:rPr>
        <w:t xml:space="preserve">assessed. </w:t>
      </w:r>
    </w:p>
    <w:p w14:paraId="1CFD6EF9" w14:textId="027B9C76" w:rsidR="00B00057" w:rsidRPr="00883D13" w:rsidRDefault="00B00057" w:rsidP="00540DD7">
      <w:pPr>
        <w:pStyle w:val="Heading2"/>
      </w:pPr>
      <w:bookmarkStart w:id="323" w:name="_Toc262067886"/>
      <w:bookmarkStart w:id="324" w:name="_Toc270946052"/>
      <w:bookmarkStart w:id="325" w:name="_Toc262041234"/>
      <w:bookmarkStart w:id="326" w:name="_Ref262056683"/>
      <w:r>
        <w:t xml:space="preserve">Supporting Private </w:t>
      </w:r>
      <w:r w:rsidRPr="00883D13">
        <w:t>Finance</w:t>
      </w:r>
      <w:r>
        <w:t xml:space="preserve"> Market Access</w:t>
      </w:r>
      <w:bookmarkEnd w:id="323"/>
      <w:bookmarkEnd w:id="324"/>
      <w:r>
        <w:t xml:space="preserve"> </w:t>
      </w:r>
      <w:bookmarkEnd w:id="325"/>
      <w:bookmarkEnd w:id="326"/>
    </w:p>
    <w:bookmarkEnd w:id="289"/>
    <w:p w14:paraId="41970B04" w14:textId="77777777" w:rsidR="00B00057" w:rsidRDefault="00B00057" w:rsidP="00250EA9">
      <w:pPr>
        <w:spacing w:line="360" w:lineRule="auto"/>
        <w:rPr>
          <w:rFonts w:cs="Arial"/>
          <w:szCs w:val="22"/>
        </w:rPr>
      </w:pPr>
      <w:r w:rsidRPr="00833E87">
        <w:rPr>
          <w:rFonts w:cs="Arial"/>
          <w:szCs w:val="22"/>
        </w:rPr>
        <w:t>This section explores the types of finance that can be applied to upgrading housing, as well as mechanisms that can be used to enhance households’ access to and sustainable use of private financing.</w:t>
      </w:r>
      <w:r>
        <w:rPr>
          <w:rFonts w:cs="Arial"/>
          <w:szCs w:val="22"/>
        </w:rPr>
        <w:t xml:space="preserve"> </w:t>
      </w:r>
      <w:r w:rsidRPr="00D81A2C">
        <w:rPr>
          <w:rFonts w:cs="Arial"/>
          <w:szCs w:val="22"/>
        </w:rPr>
        <w:t xml:space="preserve">The availability of finance for housing consolidation is a critical element in households’ ability to improve housing, the speed at which this can happen, and the nature and scale of improvements that can be made.  </w:t>
      </w:r>
      <w:r>
        <w:rPr>
          <w:rFonts w:cs="Arial"/>
          <w:szCs w:val="22"/>
        </w:rPr>
        <w:t xml:space="preserve">However, informal settlement residents face a unique set of constraints in accessing formal financial products. </w:t>
      </w:r>
    </w:p>
    <w:p w14:paraId="26EB8B99" w14:textId="0C0621BD" w:rsidR="00B00057" w:rsidRDefault="00B00057" w:rsidP="00250EA9">
      <w:pPr>
        <w:spacing w:line="360" w:lineRule="auto"/>
        <w:rPr>
          <w:rFonts w:cs="Arial"/>
          <w:szCs w:val="22"/>
        </w:rPr>
      </w:pPr>
      <w:r>
        <w:rPr>
          <w:rFonts w:cs="Arial"/>
          <w:szCs w:val="22"/>
        </w:rPr>
        <w:t xml:space="preserve">Most importantly, the combined impact of generally low household incomes, very low levels of disposable income for housing expenditure </w:t>
      </w:r>
      <w:r w:rsidR="005D4986">
        <w:rPr>
          <w:rFonts w:cs="Arial"/>
          <w:szCs w:val="22"/>
        </w:rPr>
        <w:t xml:space="preserve">(see Annexure C) </w:t>
      </w:r>
      <w:r>
        <w:rPr>
          <w:rFonts w:cs="Arial"/>
          <w:szCs w:val="22"/>
        </w:rPr>
        <w:t xml:space="preserve">and the increase in living costs often associated with a formalised dwelling severely limit the number of households able to free up disposable income for </w:t>
      </w:r>
      <w:r w:rsidR="005D4986">
        <w:rPr>
          <w:rFonts w:cs="Arial"/>
          <w:szCs w:val="22"/>
        </w:rPr>
        <w:t xml:space="preserve">the </w:t>
      </w:r>
      <w:r>
        <w:rPr>
          <w:rFonts w:cs="Arial"/>
          <w:szCs w:val="22"/>
        </w:rPr>
        <w:t>repayment of housing loans.</w:t>
      </w:r>
    </w:p>
    <w:p w14:paraId="35574380" w14:textId="2FC5DC7C" w:rsidR="00B00057" w:rsidRPr="000C610A" w:rsidRDefault="00B00057" w:rsidP="0055634E">
      <w:pPr>
        <w:pStyle w:val="ListParagraph"/>
        <w:numPr>
          <w:ilvl w:val="0"/>
          <w:numId w:val="7"/>
        </w:numPr>
        <w:ind w:left="720"/>
        <w:rPr>
          <w:rFonts w:cs="Arial"/>
          <w:b/>
        </w:rPr>
      </w:pPr>
      <w:r>
        <w:rPr>
          <w:rFonts w:cs="Arial"/>
          <w:b/>
        </w:rPr>
        <w:t>Incomes:</w:t>
      </w:r>
      <w:r w:rsidRPr="000C610A">
        <w:rPr>
          <w:rFonts w:cs="Arial"/>
          <w:b/>
        </w:rPr>
        <w:t xml:space="preserve"> </w:t>
      </w:r>
      <w:r w:rsidR="005D4986">
        <w:rPr>
          <w:rFonts w:cs="Arial"/>
        </w:rPr>
        <w:t>A</w:t>
      </w:r>
      <w:r w:rsidRPr="000C610A">
        <w:rPr>
          <w:rFonts w:cs="Arial"/>
        </w:rPr>
        <w:t xml:space="preserve">verage household income levels are low in informal settlements. However, it is incorrect to assume that all households have low incomes. It is important to establish the income profile </w:t>
      </w:r>
      <w:r>
        <w:rPr>
          <w:rFonts w:cs="Arial"/>
        </w:rPr>
        <w:t xml:space="preserve">of a community </w:t>
      </w:r>
      <w:r w:rsidRPr="000C610A">
        <w:rPr>
          <w:rFonts w:cs="Arial"/>
        </w:rPr>
        <w:t>in order to understand potential affordability for</w:t>
      </w:r>
      <w:r w:rsidRPr="000C610A">
        <w:rPr>
          <w:rFonts w:cs="Arial"/>
          <w:b/>
        </w:rPr>
        <w:t xml:space="preserve"> </w:t>
      </w:r>
      <w:r w:rsidRPr="000C610A">
        <w:rPr>
          <w:rFonts w:cs="Arial"/>
        </w:rPr>
        <w:t>housing goods and services</w:t>
      </w:r>
      <w:r>
        <w:rPr>
          <w:rFonts w:cs="Arial"/>
          <w:b/>
        </w:rPr>
        <w:t xml:space="preserve">. </w:t>
      </w:r>
      <w:r w:rsidR="00E259B9" w:rsidRPr="00E259B9">
        <w:rPr>
          <w:rFonts w:cs="Arial"/>
        </w:rPr>
        <w:t>In addition</w:t>
      </w:r>
      <w:r w:rsidR="00E259B9">
        <w:rPr>
          <w:rFonts w:cs="Arial"/>
        </w:rPr>
        <w:t>, the impact of rental income from within the settlement is an important determinant for consideration.</w:t>
      </w:r>
    </w:p>
    <w:p w14:paraId="6FC553F3" w14:textId="7A3A7167" w:rsidR="00B00057" w:rsidRPr="008B064B" w:rsidRDefault="00B00057" w:rsidP="0055634E">
      <w:pPr>
        <w:pStyle w:val="ListParagraph"/>
        <w:numPr>
          <w:ilvl w:val="0"/>
          <w:numId w:val="7"/>
        </w:numPr>
        <w:ind w:left="720"/>
      </w:pPr>
      <w:r w:rsidRPr="00C80313">
        <w:rPr>
          <w:rFonts w:cs="Arial"/>
          <w:b/>
        </w:rPr>
        <w:t xml:space="preserve">Affordability: </w:t>
      </w:r>
      <w:r>
        <w:rPr>
          <w:rFonts w:cs="Arial"/>
        </w:rPr>
        <w:t xml:space="preserve">High costs of living, the relative importance of other categories of household expenditure (such as </w:t>
      </w:r>
      <w:r w:rsidR="005D4986">
        <w:rPr>
          <w:rFonts w:cs="Arial"/>
        </w:rPr>
        <w:t xml:space="preserve">food, </w:t>
      </w:r>
      <w:r>
        <w:rPr>
          <w:rFonts w:cs="Arial"/>
        </w:rPr>
        <w:t>education and transport) conspire to limit disposable income for credit repayments.</w:t>
      </w:r>
    </w:p>
    <w:p w14:paraId="003271F0" w14:textId="55A8B6B1" w:rsidR="00B00057" w:rsidRDefault="00B00057" w:rsidP="0055634E">
      <w:pPr>
        <w:pStyle w:val="ListParagraph"/>
        <w:numPr>
          <w:ilvl w:val="0"/>
          <w:numId w:val="7"/>
        </w:numPr>
        <w:ind w:left="720"/>
      </w:pPr>
      <w:r w:rsidRPr="008B064B">
        <w:rPr>
          <w:b/>
        </w:rPr>
        <w:lastRenderedPageBreak/>
        <w:t>Over-Indebtedness</w:t>
      </w:r>
      <w:r>
        <w:t>: A high proportion of employed households have already accessed credit, and many are already highly indebted.  Until the recent credit amnesty in 2014</w:t>
      </w:r>
      <w:r>
        <w:rPr>
          <w:rStyle w:val="FootnoteReference"/>
        </w:rPr>
        <w:footnoteReference w:id="18"/>
      </w:r>
      <w:r>
        <w:t xml:space="preserve">, many households were lodged on the Credit </w:t>
      </w:r>
      <w:r w:rsidR="00E259B9">
        <w:t>Bureau</w:t>
      </w:r>
      <w:r>
        <w:t xml:space="preserve">, limiting their access to further finance.  </w:t>
      </w:r>
    </w:p>
    <w:p w14:paraId="2A49C3F4" w14:textId="77777777" w:rsidR="00B00057" w:rsidRPr="00C80313" w:rsidRDefault="00B00057" w:rsidP="000F2975">
      <w:pPr>
        <w:pStyle w:val="Heading3"/>
      </w:pPr>
      <w:bookmarkStart w:id="327" w:name="_Toc262041235"/>
      <w:bookmarkStart w:id="328" w:name="_Toc262067887"/>
      <w:bookmarkStart w:id="329" w:name="_Toc262068213"/>
      <w:r>
        <w:t xml:space="preserve">Potential </w:t>
      </w:r>
      <w:r w:rsidRPr="00C80313">
        <w:t xml:space="preserve">Forms of Finance </w:t>
      </w:r>
      <w:r>
        <w:t xml:space="preserve">Suitable </w:t>
      </w:r>
      <w:r w:rsidRPr="00C80313">
        <w:t>for House Consolidation</w:t>
      </w:r>
      <w:bookmarkEnd w:id="327"/>
      <w:bookmarkEnd w:id="328"/>
      <w:bookmarkEnd w:id="329"/>
      <w:r w:rsidRPr="00C80313">
        <w:t xml:space="preserve"> </w:t>
      </w:r>
    </w:p>
    <w:p w14:paraId="6AEF3138" w14:textId="09A46A9D" w:rsidR="00B00057" w:rsidRPr="00D81A2C" w:rsidRDefault="00B00057" w:rsidP="00250EA9">
      <w:pPr>
        <w:spacing w:line="360" w:lineRule="auto"/>
        <w:rPr>
          <w:rFonts w:cs="Arial"/>
          <w:szCs w:val="22"/>
        </w:rPr>
      </w:pPr>
      <w:r w:rsidRPr="007B12AC">
        <w:rPr>
          <w:rFonts w:cs="Arial"/>
          <w:szCs w:val="22"/>
        </w:rPr>
        <w:t>All initiatives that assist households to mobilise resources (in finance and in kind) for house construction are considered here</w:t>
      </w:r>
      <w:r w:rsidR="007157D6">
        <w:rPr>
          <w:rFonts w:cs="Arial"/>
          <w:szCs w:val="22"/>
        </w:rPr>
        <w:t>.</w:t>
      </w:r>
      <w:r w:rsidRPr="00D81A2C">
        <w:rPr>
          <w:rFonts w:cs="Arial"/>
          <w:szCs w:val="22"/>
        </w:rPr>
        <w:t xml:space="preserve"> Finance for consolidation can take the following forms:</w:t>
      </w:r>
    </w:p>
    <w:p w14:paraId="754027CD" w14:textId="6D394BB5" w:rsidR="00B00057" w:rsidRPr="00D81A2C" w:rsidRDefault="00B00057" w:rsidP="0055634E">
      <w:pPr>
        <w:pStyle w:val="ListParagraph"/>
        <w:numPr>
          <w:ilvl w:val="0"/>
          <w:numId w:val="7"/>
        </w:numPr>
        <w:ind w:left="720"/>
        <w:rPr>
          <w:rFonts w:cs="Arial"/>
          <w:b/>
        </w:rPr>
      </w:pPr>
      <w:r w:rsidRPr="00D81A2C">
        <w:rPr>
          <w:rFonts w:cs="Arial"/>
          <w:b/>
        </w:rPr>
        <w:t>Borrowing from family</w:t>
      </w:r>
      <w:r>
        <w:rPr>
          <w:rFonts w:cs="Arial"/>
          <w:b/>
        </w:rPr>
        <w:t xml:space="preserve">: </w:t>
      </w:r>
      <w:r w:rsidR="00C45EC3" w:rsidRPr="00C45EC3">
        <w:rPr>
          <w:rFonts w:cs="Arial"/>
        </w:rPr>
        <w:t>T</w:t>
      </w:r>
      <w:r>
        <w:rPr>
          <w:rFonts w:cs="Arial"/>
        </w:rPr>
        <w:t xml:space="preserve">he close financial ties that operate between extended family in low income communities is described in many publications </w:t>
      </w:r>
      <w:r w:rsidRPr="00E259B9">
        <w:rPr>
          <w:rFonts w:cs="Arial"/>
        </w:rPr>
        <w:t>(FinScope, etc).</w:t>
      </w:r>
      <w:r>
        <w:rPr>
          <w:rFonts w:cs="Arial"/>
        </w:rPr>
        <w:t xml:space="preserve"> Raising loans from family and friends is one important source of capital for consolidation.</w:t>
      </w:r>
    </w:p>
    <w:p w14:paraId="3943EA6B" w14:textId="2C800647" w:rsidR="00B00057" w:rsidRPr="00A42835" w:rsidRDefault="00B00057" w:rsidP="0055634E">
      <w:pPr>
        <w:pStyle w:val="ListParagraph"/>
        <w:numPr>
          <w:ilvl w:val="0"/>
          <w:numId w:val="7"/>
        </w:numPr>
        <w:ind w:left="720"/>
        <w:rPr>
          <w:rFonts w:cs="Arial"/>
          <w:b/>
          <w:highlight w:val="yellow"/>
        </w:rPr>
      </w:pPr>
      <w:r w:rsidRPr="00A42835">
        <w:rPr>
          <w:rFonts w:cs="Arial"/>
          <w:b/>
          <w:highlight w:val="yellow"/>
        </w:rPr>
        <w:t xml:space="preserve">Revolving Credit ‘Stokvel’ Finance: </w:t>
      </w:r>
      <w:r w:rsidRPr="00A42835">
        <w:rPr>
          <w:rFonts w:cs="Arial"/>
          <w:highlight w:val="yellow"/>
        </w:rPr>
        <w:t xml:space="preserve">Many low-income households contribute regularly to revolving savings clubs, through which regular savings results in a periodic payout of a lump sum of money that may be applied to housing upgrading. Certain </w:t>
      </w:r>
      <w:r w:rsidR="00C45EC3" w:rsidRPr="00A42835">
        <w:rPr>
          <w:rFonts w:cs="Arial"/>
          <w:highlight w:val="yellow"/>
        </w:rPr>
        <w:t>stokvels</w:t>
      </w:r>
      <w:r w:rsidRPr="00A42835">
        <w:rPr>
          <w:rFonts w:cs="Arial"/>
          <w:highlight w:val="yellow"/>
        </w:rPr>
        <w:t xml:space="preserve"> are specifically housing focused, and may also blend in other support aspects such as access to materials.</w:t>
      </w:r>
    </w:p>
    <w:p w14:paraId="0753DAA4" w14:textId="02E706C1" w:rsidR="004B65F4" w:rsidRPr="00A84D64" w:rsidRDefault="00B00057" w:rsidP="00A84D64">
      <w:pPr>
        <w:pStyle w:val="ListParagraph"/>
        <w:numPr>
          <w:ilvl w:val="0"/>
          <w:numId w:val="7"/>
        </w:numPr>
        <w:ind w:left="720"/>
        <w:rPr>
          <w:rFonts w:cs="Arial"/>
          <w:b/>
        </w:rPr>
      </w:pPr>
      <w:r w:rsidRPr="00A84D64">
        <w:rPr>
          <w:rFonts w:cs="Arial"/>
          <w:b/>
        </w:rPr>
        <w:t xml:space="preserve">Materials Supplier Credit: </w:t>
      </w:r>
      <w:r w:rsidRPr="00A84D64">
        <w:rPr>
          <w:rFonts w:cs="Arial"/>
        </w:rPr>
        <w:t>One of the most readily available forms of credit for house consolidation is credit provided on building materials purchases. Several large building materials merchants, such as Cashbuild and Builders Warehouse either have in-house finance departments, or partner with registered credit providers to provide in-store credit facilities.  This type of finance has the benefit of being directly related to the procurement of necessary supplies (and many building materials companies assist with design and bill of quantities questions). Furthermore, in most cases materials are delivered directly on-site.</w:t>
      </w:r>
    </w:p>
    <w:tbl>
      <w:tblPr>
        <w:tblStyle w:val="TableGrid"/>
        <w:tblW w:w="0" w:type="auto"/>
        <w:tblInd w:w="817" w:type="dxa"/>
        <w:tblLook w:val="04A0" w:firstRow="1" w:lastRow="0" w:firstColumn="1" w:lastColumn="0" w:noHBand="0" w:noVBand="1"/>
      </w:tblPr>
      <w:tblGrid>
        <w:gridCol w:w="8647"/>
      </w:tblGrid>
      <w:tr w:rsidR="004B65F4" w14:paraId="2C1651BC" w14:textId="77777777" w:rsidTr="004B65F4">
        <w:tc>
          <w:tcPr>
            <w:tcW w:w="8647" w:type="dxa"/>
            <w:vAlign w:val="center"/>
          </w:tcPr>
          <w:p w14:paraId="36F7862B" w14:textId="19CDBADE" w:rsidR="004B65F4" w:rsidRPr="000056C2" w:rsidRDefault="004B65F4" w:rsidP="004B65F4">
            <w:pPr>
              <w:ind w:left="927"/>
              <w:rPr>
                <w:rFonts w:cs="Arial"/>
                <w:b/>
              </w:rPr>
            </w:pPr>
            <w:r w:rsidRPr="000056C2">
              <w:rPr>
                <w:rFonts w:cs="Arial"/>
                <w:b/>
              </w:rPr>
              <w:t>BOX</w:t>
            </w:r>
            <w:r w:rsidR="007006C3">
              <w:rPr>
                <w:rFonts w:cs="Arial"/>
                <w:b/>
              </w:rPr>
              <w:t xml:space="preserve"> 4</w:t>
            </w:r>
            <w:r w:rsidRPr="000056C2">
              <w:rPr>
                <w:rFonts w:cs="Arial"/>
                <w:b/>
              </w:rPr>
              <w:t xml:space="preserve">: </w:t>
            </w:r>
            <w:r>
              <w:rPr>
                <w:rFonts w:cs="Arial"/>
                <w:b/>
              </w:rPr>
              <w:t xml:space="preserve">Building Materials Credit </w:t>
            </w:r>
            <w:r w:rsidR="00A84D64">
              <w:rPr>
                <w:rFonts w:cs="Arial"/>
                <w:b/>
              </w:rPr>
              <w:t xml:space="preserve">At Source </w:t>
            </w:r>
            <w:r>
              <w:rPr>
                <w:rFonts w:cs="Arial"/>
                <w:b/>
              </w:rPr>
              <w:t>from Lendcor</w:t>
            </w:r>
          </w:p>
          <w:p w14:paraId="3A021BDC" w14:textId="06E6C4F4" w:rsidR="004B65F4" w:rsidRDefault="00A431B9" w:rsidP="00A431B9">
            <w:pPr>
              <w:rPr>
                <w:rFonts w:cs="Arial"/>
              </w:rPr>
            </w:pPr>
            <w:r>
              <w:rPr>
                <w:rFonts w:cs="Arial"/>
              </w:rPr>
              <w:t>Lendcor is a microloan provider that focuses on establishing relationships with building materials suppliers, who in turn act as a conduit for extending small loans to customers who are purchasing building materials. Lendcor’s vision is to be a household name through financing home improvements via a network of building materials supply merchants.</w:t>
            </w:r>
          </w:p>
          <w:p w14:paraId="453C8DA7" w14:textId="6E409109" w:rsidR="00A431B9" w:rsidRDefault="00A431B9" w:rsidP="00A431B9">
            <w:pPr>
              <w:rPr>
                <w:rFonts w:cs="Arial"/>
              </w:rPr>
            </w:pPr>
            <w:r>
              <w:rPr>
                <w:rFonts w:cs="Arial"/>
              </w:rPr>
              <w:t>Currently, Lendcor has strategic partnerships with over ten merchant brands, including BuildI</w:t>
            </w:r>
            <w:r w:rsidR="00A84D64">
              <w:rPr>
                <w:rFonts w:cs="Arial"/>
              </w:rPr>
              <w:t>t</w:t>
            </w:r>
            <w:r>
              <w:rPr>
                <w:rFonts w:cs="Arial"/>
              </w:rPr>
              <w:t>,</w:t>
            </w:r>
            <w:r w:rsidR="00A84D64">
              <w:rPr>
                <w:rFonts w:cs="Arial"/>
              </w:rPr>
              <w:t xml:space="preserve"> </w:t>
            </w:r>
            <w:r>
              <w:rPr>
                <w:rFonts w:cs="Arial"/>
              </w:rPr>
              <w:t xml:space="preserve"> Essential Hardware, Builders Trade Depot and Cashbuild</w:t>
            </w:r>
            <w:r w:rsidR="00A84D64">
              <w:rPr>
                <w:rFonts w:cs="Arial"/>
              </w:rPr>
              <w:t>)</w:t>
            </w:r>
            <w:r>
              <w:rPr>
                <w:rFonts w:cs="Arial"/>
              </w:rPr>
              <w:t xml:space="preserve">. </w:t>
            </w:r>
            <w:r w:rsidR="00A84D64">
              <w:rPr>
                <w:rFonts w:cs="Arial"/>
              </w:rPr>
              <w:t xml:space="preserve">This gives Lendcor </w:t>
            </w:r>
            <w:r w:rsidR="00A84D64">
              <w:rPr>
                <w:rFonts w:cs="Arial"/>
              </w:rPr>
              <w:lastRenderedPageBreak/>
              <w:t xml:space="preserve">a coverage of </w:t>
            </w:r>
            <w:r w:rsidR="00E259B9">
              <w:rPr>
                <w:rFonts w:cs="Arial"/>
              </w:rPr>
              <w:t>hundreds of</w:t>
            </w:r>
            <w:r w:rsidR="00A84D64">
              <w:rPr>
                <w:rFonts w:cs="Arial"/>
              </w:rPr>
              <w:t xml:space="preserve"> merchant stores. </w:t>
            </w:r>
            <w:r>
              <w:rPr>
                <w:rFonts w:cs="Arial"/>
              </w:rPr>
              <w:t xml:space="preserve">Lendcor originates loans with clients of the participating merchants’ </w:t>
            </w:r>
            <w:r w:rsidR="00A84D64">
              <w:rPr>
                <w:rFonts w:cs="Arial"/>
              </w:rPr>
              <w:t>stores. Merchant stores also support purchasers with basic planning, quantity calculations and delivery of materials to site. Lendcor has also produced a ‘Builders Handbook’ which is available to clients to assist them in the home building process.</w:t>
            </w:r>
          </w:p>
          <w:p w14:paraId="50E2E920" w14:textId="7972B6E9" w:rsidR="00A431B9" w:rsidRPr="004B65F4" w:rsidRDefault="00A431B9" w:rsidP="00E259B9">
            <w:pPr>
              <w:rPr>
                <w:rFonts w:cs="Arial"/>
              </w:rPr>
            </w:pPr>
            <w:r>
              <w:rPr>
                <w:rFonts w:cs="Arial"/>
              </w:rPr>
              <w:t>Loans can vary from very small amounts (such as sufficient for some paint for a pensioner-headed household), through to larger amounts to support the construction of housing (interview, John Aitken).</w:t>
            </w:r>
          </w:p>
        </w:tc>
      </w:tr>
    </w:tbl>
    <w:p w14:paraId="6F4A5C5B" w14:textId="77777777" w:rsidR="004B65F4" w:rsidRPr="004B65F4" w:rsidRDefault="004B65F4" w:rsidP="004B65F4">
      <w:pPr>
        <w:ind w:left="720"/>
        <w:rPr>
          <w:rFonts w:cs="Arial"/>
          <w:b/>
        </w:rPr>
      </w:pPr>
    </w:p>
    <w:p w14:paraId="6F1022BC" w14:textId="77777777" w:rsidR="00B00057" w:rsidRDefault="00B00057" w:rsidP="0055634E">
      <w:pPr>
        <w:pStyle w:val="ListParagraph"/>
        <w:numPr>
          <w:ilvl w:val="0"/>
          <w:numId w:val="7"/>
        </w:numPr>
        <w:ind w:left="720"/>
        <w:rPr>
          <w:rFonts w:cs="Arial"/>
          <w:b/>
        </w:rPr>
      </w:pPr>
      <w:r>
        <w:rPr>
          <w:rFonts w:cs="Arial"/>
          <w:b/>
        </w:rPr>
        <w:t xml:space="preserve">Informal Money Lenders: </w:t>
      </w:r>
      <w:r>
        <w:rPr>
          <w:rFonts w:cs="Arial"/>
        </w:rPr>
        <w:t>‘Mashonisas’ are widespread throughout South Africa, offering small loans at extremely high interest rates. While many of these loans are of the ‘payday bridging’ type (less than 30 days), some offer longer terms, which may be used by households to procure materials or services required for incremental upgrading.</w:t>
      </w:r>
    </w:p>
    <w:p w14:paraId="5911721E" w14:textId="467DA56A" w:rsidR="00B00057" w:rsidRPr="006E5A1C" w:rsidRDefault="00B00057" w:rsidP="0055634E">
      <w:pPr>
        <w:pStyle w:val="ListParagraph"/>
        <w:numPr>
          <w:ilvl w:val="0"/>
          <w:numId w:val="7"/>
        </w:numPr>
        <w:ind w:left="720"/>
        <w:rPr>
          <w:rFonts w:cs="Arial"/>
          <w:b/>
        </w:rPr>
      </w:pPr>
      <w:r>
        <w:rPr>
          <w:rFonts w:cs="Arial"/>
          <w:b/>
        </w:rPr>
        <w:t xml:space="preserve">Unspecified Small Loans / Credit: </w:t>
      </w:r>
      <w:r>
        <w:rPr>
          <w:rFonts w:cs="Arial"/>
        </w:rPr>
        <w:t>Small loans are widely available through non-bank financial institutions (such as African Bank, Blue,</w:t>
      </w:r>
      <w:r w:rsidR="001D178D">
        <w:rPr>
          <w:rFonts w:cs="Arial"/>
        </w:rPr>
        <w:t xml:space="preserve"> and Letsatsi</w:t>
      </w:r>
      <w:r>
        <w:rPr>
          <w:rFonts w:cs="Arial"/>
        </w:rPr>
        <w:t xml:space="preserve">) and registered banks (including the ‘Big Four’ banks, namely ABSA, FNB, Standard and Nedbank).  People with relatively low incomes are able to access credit cards, overdrafts or designated, non-specific small loans.  </w:t>
      </w:r>
    </w:p>
    <w:p w14:paraId="0D53D16D" w14:textId="77777777" w:rsidR="00B00057" w:rsidRDefault="00B00057" w:rsidP="0055634E">
      <w:pPr>
        <w:pStyle w:val="ListParagraph"/>
        <w:numPr>
          <w:ilvl w:val="0"/>
          <w:numId w:val="7"/>
        </w:numPr>
        <w:ind w:left="720"/>
        <w:rPr>
          <w:rFonts w:cs="Arial"/>
          <w:b/>
        </w:rPr>
      </w:pPr>
      <w:r>
        <w:rPr>
          <w:rFonts w:cs="Arial"/>
          <w:b/>
        </w:rPr>
        <w:t xml:space="preserve">Employer Loans: </w:t>
      </w:r>
      <w:r>
        <w:rPr>
          <w:rFonts w:cs="Arial"/>
        </w:rPr>
        <w:t xml:space="preserve">Some employers offer employees loans (and other housing supports such as guarantees or access to materials). </w:t>
      </w:r>
    </w:p>
    <w:p w14:paraId="639604FB" w14:textId="221BBAB8" w:rsidR="00B00057" w:rsidRDefault="00B00057" w:rsidP="0055634E">
      <w:pPr>
        <w:pStyle w:val="ListParagraph"/>
        <w:numPr>
          <w:ilvl w:val="0"/>
          <w:numId w:val="7"/>
        </w:numPr>
        <w:ind w:left="720"/>
        <w:rPr>
          <w:rFonts w:cs="Arial"/>
          <w:b/>
        </w:rPr>
      </w:pPr>
      <w:r>
        <w:rPr>
          <w:rFonts w:cs="Arial"/>
          <w:b/>
        </w:rPr>
        <w:t xml:space="preserve">Specified Use Microloans: </w:t>
      </w:r>
      <w:r w:rsidRPr="00633493">
        <w:rPr>
          <w:rFonts w:cs="Arial"/>
        </w:rPr>
        <w:t xml:space="preserve">There are a limited number of companies and </w:t>
      </w:r>
      <w:r w:rsidR="008B47BF">
        <w:rPr>
          <w:rFonts w:cs="Arial"/>
        </w:rPr>
        <w:t>organization</w:t>
      </w:r>
      <w:r w:rsidRPr="00633493">
        <w:rPr>
          <w:rFonts w:cs="Arial"/>
        </w:rPr>
        <w:t xml:space="preserve">s that offer microloan financing </w:t>
      </w:r>
      <w:r>
        <w:rPr>
          <w:rFonts w:cs="Arial"/>
        </w:rPr>
        <w:t>for specified housing purposes, such as an extension, rebuild or improvement</w:t>
      </w:r>
      <w:r>
        <w:rPr>
          <w:rFonts w:cs="Arial"/>
          <w:b/>
        </w:rPr>
        <w:t xml:space="preserve">. </w:t>
      </w:r>
    </w:p>
    <w:p w14:paraId="0D4A0ED7" w14:textId="71E378CD" w:rsidR="00B00057" w:rsidRDefault="00B00057" w:rsidP="0055634E">
      <w:pPr>
        <w:pStyle w:val="ListParagraph"/>
        <w:numPr>
          <w:ilvl w:val="0"/>
          <w:numId w:val="7"/>
        </w:numPr>
        <w:ind w:left="720"/>
        <w:rPr>
          <w:rFonts w:cs="Arial"/>
          <w:b/>
        </w:rPr>
      </w:pPr>
      <w:r>
        <w:rPr>
          <w:rFonts w:cs="Arial"/>
          <w:b/>
        </w:rPr>
        <w:t xml:space="preserve">Savings-Backed Microloans: </w:t>
      </w:r>
      <w:r>
        <w:rPr>
          <w:rFonts w:cs="Arial"/>
        </w:rPr>
        <w:t>Households are required to contribute regular savings into a</w:t>
      </w:r>
      <w:r w:rsidR="003E6D3F">
        <w:rPr>
          <w:rFonts w:cs="Arial"/>
        </w:rPr>
        <w:t xml:space="preserve">n account that is then </w:t>
      </w:r>
      <w:r>
        <w:rPr>
          <w:rFonts w:cs="Arial"/>
        </w:rPr>
        <w:t>linked</w:t>
      </w:r>
      <w:r w:rsidR="003E6D3F">
        <w:rPr>
          <w:rFonts w:cs="Arial"/>
        </w:rPr>
        <w:t xml:space="preserve"> to a loan account. A good savings record is a </w:t>
      </w:r>
      <w:r>
        <w:rPr>
          <w:rFonts w:cs="Arial"/>
        </w:rPr>
        <w:t>prerequisite of accessing credit for home construction.  Such schemes are not widespread, but some have been very successful in assisting property owners to build formal homes, such as the Kuyasa Fund</w:t>
      </w:r>
      <w:r w:rsidR="001D178D">
        <w:rPr>
          <w:rFonts w:cs="Arial"/>
        </w:rPr>
        <w:t xml:space="preserve"> (see Box 2)</w:t>
      </w:r>
      <w:r>
        <w:rPr>
          <w:rFonts w:cs="Arial"/>
        </w:rPr>
        <w:t xml:space="preserve">. </w:t>
      </w:r>
    </w:p>
    <w:p w14:paraId="6D281908" w14:textId="77777777" w:rsidR="00B00057" w:rsidRDefault="00B00057" w:rsidP="0055634E">
      <w:pPr>
        <w:pStyle w:val="ListParagraph"/>
        <w:numPr>
          <w:ilvl w:val="0"/>
          <w:numId w:val="7"/>
        </w:numPr>
        <w:ind w:left="720"/>
        <w:rPr>
          <w:rFonts w:cs="Arial"/>
          <w:b/>
        </w:rPr>
      </w:pPr>
      <w:r>
        <w:rPr>
          <w:rFonts w:cs="Arial"/>
          <w:b/>
        </w:rPr>
        <w:t xml:space="preserve">Pension-Backed Housing Loans: </w:t>
      </w:r>
      <w:r>
        <w:rPr>
          <w:rFonts w:cs="Arial"/>
        </w:rPr>
        <w:t xml:space="preserve">Many pension funds allow contributors to access loans against the accumulated withdrawal benefits in their personal pension portfolios.  These loans are secured against the pension, yet repaid with interest so as not to erode ultimate withdrawal benefits of the client.  Certain pension schemes specify such loans are only available for specific uses, such as house purchase or construction.  </w:t>
      </w:r>
    </w:p>
    <w:p w14:paraId="36553A53" w14:textId="77777777" w:rsidR="00B00057" w:rsidRDefault="00B00057" w:rsidP="0055634E">
      <w:pPr>
        <w:pStyle w:val="ListParagraph"/>
        <w:numPr>
          <w:ilvl w:val="0"/>
          <w:numId w:val="7"/>
        </w:numPr>
        <w:ind w:left="720"/>
        <w:rPr>
          <w:rFonts w:cs="Arial"/>
          <w:b/>
        </w:rPr>
      </w:pPr>
      <w:r>
        <w:rPr>
          <w:rFonts w:cs="Arial"/>
          <w:b/>
        </w:rPr>
        <w:t xml:space="preserve">Subsidy-Linked Credit: </w:t>
      </w:r>
      <w:r>
        <w:rPr>
          <w:rFonts w:cs="Arial"/>
        </w:rPr>
        <w:t xml:space="preserve">Some subsidy instruments (Finance-Linked Individual Subsidy Programme and Individual Credit-Linked Subsidy) require access to credit, linked to the </w:t>
      </w:r>
      <w:r>
        <w:rPr>
          <w:rFonts w:cs="Arial"/>
        </w:rPr>
        <w:lastRenderedPageBreak/>
        <w:t>subsidy, for households to afford to purchase accommodation. These are likely to only be options for households that cannot access any other type of subsidy programme, yet are still eligible for these instruments probably due to income levels.</w:t>
      </w:r>
    </w:p>
    <w:p w14:paraId="7EAB43B6" w14:textId="77777777" w:rsidR="00B00057" w:rsidRDefault="00B00057" w:rsidP="0055634E">
      <w:pPr>
        <w:pStyle w:val="ListParagraph"/>
        <w:numPr>
          <w:ilvl w:val="0"/>
          <w:numId w:val="7"/>
        </w:numPr>
        <w:ind w:left="720"/>
        <w:rPr>
          <w:rFonts w:cs="Arial"/>
          <w:b/>
        </w:rPr>
      </w:pPr>
      <w:r>
        <w:rPr>
          <w:rFonts w:cs="Arial"/>
          <w:b/>
        </w:rPr>
        <w:t xml:space="preserve">Mortgage Finance: </w:t>
      </w:r>
      <w:r>
        <w:rPr>
          <w:rFonts w:cs="Arial"/>
        </w:rPr>
        <w:t>Theoretically mortgage, or asset-backed finance could be applied in ISU areas. However, the high transaction costs (and therefore relatively high minimum mortgage banks will grant), as well as difficulties in claiming properties in the event of defaulted payments, make this finance option unlikely.</w:t>
      </w:r>
    </w:p>
    <w:p w14:paraId="0B519ADA" w14:textId="0B8E666B" w:rsidR="00B00057" w:rsidRPr="007B12AC" w:rsidRDefault="00B00057" w:rsidP="00250EA9">
      <w:pPr>
        <w:spacing w:line="360" w:lineRule="auto"/>
        <w:rPr>
          <w:rFonts w:cs="Arial"/>
          <w:szCs w:val="22"/>
        </w:rPr>
      </w:pPr>
      <w:r w:rsidRPr="007B12AC">
        <w:rPr>
          <w:rFonts w:cs="Arial"/>
          <w:szCs w:val="22"/>
        </w:rPr>
        <w:t xml:space="preserve">Each category of finance has different </w:t>
      </w:r>
      <w:r>
        <w:rPr>
          <w:rFonts w:cs="Arial"/>
          <w:szCs w:val="22"/>
        </w:rPr>
        <w:t xml:space="preserve">providers, </w:t>
      </w:r>
      <w:r w:rsidRPr="007B12AC">
        <w:rPr>
          <w:rFonts w:cs="Arial"/>
          <w:szCs w:val="22"/>
        </w:rPr>
        <w:t xml:space="preserve">conditions, and therefore different </w:t>
      </w:r>
      <w:r>
        <w:rPr>
          <w:rFonts w:cs="Arial"/>
          <w:szCs w:val="22"/>
        </w:rPr>
        <w:t>applications</w:t>
      </w:r>
      <w:r w:rsidRPr="007B12AC">
        <w:rPr>
          <w:rFonts w:cs="Arial"/>
          <w:szCs w:val="22"/>
        </w:rPr>
        <w:t xml:space="preserve"> to house consolidation in ISU programme</w:t>
      </w:r>
      <w:r>
        <w:rPr>
          <w:rFonts w:cs="Arial"/>
          <w:szCs w:val="22"/>
        </w:rPr>
        <w:t xml:space="preserve">. </w:t>
      </w:r>
      <w:r w:rsidRPr="0096547E">
        <w:rPr>
          <w:rFonts w:cs="Arial"/>
          <w:b/>
          <w:szCs w:val="22"/>
        </w:rPr>
        <w:t xml:space="preserve">Table </w:t>
      </w:r>
      <w:r w:rsidR="0096547E" w:rsidRPr="0096547E">
        <w:rPr>
          <w:rFonts w:cs="Arial"/>
          <w:b/>
          <w:szCs w:val="22"/>
        </w:rPr>
        <w:t>6</w:t>
      </w:r>
      <w:r w:rsidRPr="007B12AC">
        <w:rPr>
          <w:rFonts w:cs="Arial"/>
          <w:szCs w:val="22"/>
        </w:rPr>
        <w:t xml:space="preserve"> overleaf summarises the key features of each one, with respect to the ISU context.</w:t>
      </w:r>
      <w:r>
        <w:rPr>
          <w:rFonts w:cs="Arial"/>
          <w:szCs w:val="22"/>
        </w:rPr>
        <w:t xml:space="preserve"> </w:t>
      </w:r>
    </w:p>
    <w:p w14:paraId="54AE48E1" w14:textId="77777777" w:rsidR="00B00057" w:rsidRDefault="00B00057" w:rsidP="000F2975">
      <w:pPr>
        <w:pStyle w:val="Heading3"/>
      </w:pPr>
      <w:bookmarkStart w:id="330" w:name="_Toc262041236"/>
      <w:bookmarkStart w:id="331" w:name="_Toc262067888"/>
      <w:bookmarkStart w:id="332" w:name="_Toc262068214"/>
      <w:r>
        <w:t>Suggested Facilitation Arrangements</w:t>
      </w:r>
      <w:bookmarkEnd w:id="330"/>
      <w:bookmarkEnd w:id="331"/>
      <w:bookmarkEnd w:id="332"/>
    </w:p>
    <w:p w14:paraId="3D2EB59B" w14:textId="77777777" w:rsidR="00B00057" w:rsidRPr="008B064B" w:rsidRDefault="00B00057" w:rsidP="00250EA9">
      <w:pPr>
        <w:spacing w:line="360" w:lineRule="auto"/>
        <w:rPr>
          <w:rFonts w:cs="Arial"/>
          <w:szCs w:val="22"/>
        </w:rPr>
      </w:pPr>
      <w:r>
        <w:rPr>
          <w:rFonts w:cs="Arial"/>
          <w:szCs w:val="22"/>
        </w:rPr>
        <w:t>It is suggested that the primary route to assisting households to procure finance is to facilitate connections between households and reputable financial institutions.   Therefore, the following types of arrangements are suggested:</w:t>
      </w:r>
    </w:p>
    <w:p w14:paraId="43F9DB4B" w14:textId="77777777" w:rsidR="00B00057" w:rsidRPr="0096547E" w:rsidRDefault="00B00057" w:rsidP="0055634E">
      <w:pPr>
        <w:pStyle w:val="ListParagraph"/>
        <w:numPr>
          <w:ilvl w:val="0"/>
          <w:numId w:val="7"/>
        </w:numPr>
        <w:ind w:left="720"/>
        <w:rPr>
          <w:rFonts w:cs="Arial"/>
        </w:rPr>
      </w:pPr>
      <w:r w:rsidRPr="0096547E">
        <w:rPr>
          <w:rFonts w:cs="Arial"/>
        </w:rPr>
        <w:t>Household / Consumer Financial Education Programmes</w:t>
      </w:r>
    </w:p>
    <w:p w14:paraId="635E99DF" w14:textId="77777777" w:rsidR="00B00057" w:rsidRPr="0096547E" w:rsidRDefault="00B00057" w:rsidP="0055634E">
      <w:pPr>
        <w:pStyle w:val="ListParagraph"/>
        <w:numPr>
          <w:ilvl w:val="0"/>
          <w:numId w:val="7"/>
        </w:numPr>
        <w:ind w:left="720"/>
        <w:rPr>
          <w:rFonts w:cs="Arial"/>
        </w:rPr>
      </w:pPr>
      <w:r w:rsidRPr="0096547E">
        <w:rPr>
          <w:rFonts w:cs="Arial"/>
        </w:rPr>
        <w:t>Housing Affordability Assessments</w:t>
      </w:r>
    </w:p>
    <w:p w14:paraId="3F41E0BF" w14:textId="77777777" w:rsidR="00B00057" w:rsidRPr="0096547E" w:rsidRDefault="00B00057" w:rsidP="0055634E">
      <w:pPr>
        <w:pStyle w:val="ListParagraph"/>
        <w:numPr>
          <w:ilvl w:val="0"/>
          <w:numId w:val="7"/>
        </w:numPr>
        <w:ind w:left="720"/>
        <w:rPr>
          <w:rFonts w:cs="Arial"/>
        </w:rPr>
      </w:pPr>
      <w:r w:rsidRPr="0096547E">
        <w:rPr>
          <w:rFonts w:cs="Arial"/>
        </w:rPr>
        <w:t>Indebtedness Counselling</w:t>
      </w:r>
    </w:p>
    <w:p w14:paraId="5D57C5F8" w14:textId="77777777" w:rsidR="00B00057" w:rsidRPr="0096547E" w:rsidRDefault="00B00057" w:rsidP="0055634E">
      <w:pPr>
        <w:pStyle w:val="ListParagraph"/>
        <w:numPr>
          <w:ilvl w:val="0"/>
          <w:numId w:val="7"/>
        </w:numPr>
        <w:ind w:left="720"/>
        <w:rPr>
          <w:rFonts w:cs="Arial"/>
        </w:rPr>
      </w:pPr>
      <w:r w:rsidRPr="0096547E">
        <w:rPr>
          <w:rFonts w:cs="Arial"/>
        </w:rPr>
        <w:t>Recommendations of reputable finance suppliers</w:t>
      </w:r>
    </w:p>
    <w:p w14:paraId="0B5298FC" w14:textId="77777777" w:rsidR="00B00057" w:rsidRPr="0096547E" w:rsidRDefault="00B00057" w:rsidP="0055634E">
      <w:pPr>
        <w:pStyle w:val="ListParagraph"/>
        <w:numPr>
          <w:ilvl w:val="0"/>
          <w:numId w:val="7"/>
        </w:numPr>
        <w:ind w:left="720"/>
        <w:rPr>
          <w:rFonts w:cs="Arial"/>
        </w:rPr>
      </w:pPr>
      <w:r w:rsidRPr="0096547E">
        <w:rPr>
          <w:rFonts w:cs="Arial"/>
        </w:rPr>
        <w:t>Facilitation of savings groups or ‘housing clubs’.</w:t>
      </w:r>
    </w:p>
    <w:p w14:paraId="7AC39F82" w14:textId="77777777" w:rsidR="00B00057" w:rsidRPr="0096547E" w:rsidRDefault="00B00057" w:rsidP="0055634E">
      <w:pPr>
        <w:pStyle w:val="ListParagraph"/>
        <w:numPr>
          <w:ilvl w:val="0"/>
          <w:numId w:val="7"/>
        </w:numPr>
        <w:ind w:left="720"/>
        <w:rPr>
          <w:rFonts w:cs="Arial"/>
        </w:rPr>
      </w:pPr>
      <w:r w:rsidRPr="0096547E">
        <w:rPr>
          <w:rFonts w:cs="Arial"/>
        </w:rPr>
        <w:t>Introduction of, or offering office space to reputable finance institutions within community resource centres</w:t>
      </w:r>
    </w:p>
    <w:p w14:paraId="3DCB459F" w14:textId="1CD6F3E5" w:rsidR="00B00057" w:rsidRDefault="00B00057" w:rsidP="000F2975">
      <w:pPr>
        <w:pStyle w:val="Heading3"/>
      </w:pPr>
      <w:bookmarkStart w:id="333" w:name="_Toc262041237"/>
      <w:bookmarkStart w:id="334" w:name="_Toc262067889"/>
      <w:bookmarkStart w:id="335" w:name="_Toc262068215"/>
      <w:r>
        <w:t xml:space="preserve">Sources of Financing </w:t>
      </w:r>
      <w:r w:rsidR="001D178D">
        <w:t xml:space="preserve">and </w:t>
      </w:r>
      <w:r>
        <w:t>Support</w:t>
      </w:r>
      <w:bookmarkEnd w:id="333"/>
      <w:bookmarkEnd w:id="334"/>
      <w:bookmarkEnd w:id="335"/>
    </w:p>
    <w:p w14:paraId="3A3AC74B" w14:textId="0BB07BA5" w:rsidR="00B00057" w:rsidRDefault="00B00057" w:rsidP="00250EA9">
      <w:pPr>
        <w:spacing w:line="360" w:lineRule="auto"/>
        <w:rPr>
          <w:rFonts w:cs="Arial"/>
          <w:szCs w:val="22"/>
        </w:rPr>
      </w:pPr>
      <w:r w:rsidRPr="00CF1919">
        <w:rPr>
          <w:rFonts w:cs="Arial"/>
          <w:b/>
          <w:szCs w:val="22"/>
        </w:rPr>
        <w:t xml:space="preserve">Table </w:t>
      </w:r>
      <w:r w:rsidR="00CF1919" w:rsidRPr="00CF1919">
        <w:rPr>
          <w:rFonts w:cs="Arial"/>
          <w:b/>
          <w:szCs w:val="22"/>
        </w:rPr>
        <w:t>6</w:t>
      </w:r>
      <w:r>
        <w:rPr>
          <w:rFonts w:cs="Arial"/>
          <w:szCs w:val="22"/>
        </w:rPr>
        <w:t xml:space="preserve"> overleaf provides a summary of the main available types of </w:t>
      </w:r>
      <w:r w:rsidR="00CB0720">
        <w:rPr>
          <w:rFonts w:cs="Arial"/>
          <w:szCs w:val="22"/>
        </w:rPr>
        <w:t>housing</w:t>
      </w:r>
      <w:r w:rsidR="00142083">
        <w:rPr>
          <w:rFonts w:cs="Arial"/>
          <w:szCs w:val="22"/>
        </w:rPr>
        <w:t xml:space="preserve"> </w:t>
      </w:r>
      <w:r>
        <w:rPr>
          <w:rFonts w:cs="Arial"/>
          <w:szCs w:val="22"/>
        </w:rPr>
        <w:t xml:space="preserve">finance, key terms, </w:t>
      </w:r>
      <w:r w:rsidR="003E6D3F">
        <w:rPr>
          <w:rFonts w:cs="Arial"/>
          <w:szCs w:val="22"/>
        </w:rPr>
        <w:t xml:space="preserve">some common financial institutions providing each type of finance, </w:t>
      </w:r>
      <w:r>
        <w:rPr>
          <w:rFonts w:cs="Arial"/>
          <w:szCs w:val="22"/>
        </w:rPr>
        <w:t>and</w:t>
      </w:r>
      <w:r w:rsidR="003E6D3F">
        <w:rPr>
          <w:rFonts w:cs="Arial"/>
          <w:szCs w:val="22"/>
        </w:rPr>
        <w:t xml:space="preserve"> its</w:t>
      </w:r>
      <w:r>
        <w:rPr>
          <w:rFonts w:cs="Arial"/>
          <w:szCs w:val="22"/>
        </w:rPr>
        <w:t xml:space="preserve"> applicability to house consolidation</w:t>
      </w:r>
      <w:r w:rsidR="003E6D3F">
        <w:rPr>
          <w:rFonts w:cs="Arial"/>
          <w:szCs w:val="22"/>
        </w:rPr>
        <w:t xml:space="preserve"> in the context of ISU projects</w:t>
      </w:r>
      <w:r>
        <w:rPr>
          <w:rFonts w:cs="Arial"/>
          <w:szCs w:val="22"/>
        </w:rPr>
        <w:t xml:space="preserve">.  </w:t>
      </w:r>
    </w:p>
    <w:p w14:paraId="039AC97A" w14:textId="576B70F4" w:rsidR="007157D6" w:rsidRDefault="007157D6" w:rsidP="00250EA9">
      <w:pPr>
        <w:spacing w:line="360" w:lineRule="auto"/>
        <w:rPr>
          <w:rFonts w:cs="Arial"/>
          <w:szCs w:val="22"/>
        </w:rPr>
      </w:pPr>
      <w:r w:rsidRPr="00040BA3">
        <w:rPr>
          <w:rFonts w:cs="Arial"/>
          <w:szCs w:val="22"/>
        </w:rPr>
        <w:t>In respect of funding the facilitative activities described in 6.4.2 above</w:t>
      </w:r>
      <w:r w:rsidR="003E6D3F">
        <w:rPr>
          <w:rFonts w:cs="Arial"/>
          <w:szCs w:val="22"/>
        </w:rPr>
        <w:t>,</w:t>
      </w:r>
      <w:r w:rsidRPr="00040BA3">
        <w:rPr>
          <w:rFonts w:cs="Arial"/>
          <w:szCs w:val="22"/>
        </w:rPr>
        <w:t xml:space="preserve"> the UISP </w:t>
      </w:r>
      <w:r w:rsidR="00040BA3" w:rsidRPr="00040BA3">
        <w:rPr>
          <w:rFonts w:cs="Arial"/>
          <w:szCs w:val="22"/>
        </w:rPr>
        <w:t>does not make specific allowance for this set of activities and the 3% Community Facilitation allowance would in any event probabl</w:t>
      </w:r>
      <w:r w:rsidR="003E6D3F">
        <w:rPr>
          <w:rFonts w:cs="Arial"/>
          <w:szCs w:val="22"/>
        </w:rPr>
        <w:t>y</w:t>
      </w:r>
      <w:r w:rsidR="00040BA3" w:rsidRPr="00040BA3">
        <w:rPr>
          <w:rFonts w:cs="Arial"/>
          <w:szCs w:val="22"/>
        </w:rPr>
        <w:t xml:space="preserve"> be inadequate.</w:t>
      </w:r>
      <w:r w:rsidR="003E6D3F">
        <w:rPr>
          <w:rFonts w:cs="Arial"/>
          <w:szCs w:val="22"/>
        </w:rPr>
        <w:t xml:space="preserve"> This results in a significant funding gap in South Africa’s institutional framework for in-situ upgrading. </w:t>
      </w:r>
    </w:p>
    <w:p w14:paraId="4FD912E9" w14:textId="36A61EC0" w:rsidR="003E6D3F" w:rsidRDefault="003E6D3F" w:rsidP="00250EA9">
      <w:pPr>
        <w:spacing w:line="360" w:lineRule="auto"/>
        <w:rPr>
          <w:rFonts w:cs="Arial"/>
          <w:szCs w:val="22"/>
        </w:rPr>
      </w:pPr>
      <w:r>
        <w:rPr>
          <w:rFonts w:cs="Arial"/>
          <w:szCs w:val="22"/>
        </w:rPr>
        <w:t>Other potential sources of financing for these activities include:</w:t>
      </w:r>
    </w:p>
    <w:p w14:paraId="64852806" w14:textId="54876079" w:rsidR="003E6D3F" w:rsidRDefault="003E6D3F" w:rsidP="00DB038D">
      <w:pPr>
        <w:pStyle w:val="ListParagraph"/>
        <w:numPr>
          <w:ilvl w:val="0"/>
          <w:numId w:val="54"/>
        </w:numPr>
        <w:rPr>
          <w:rFonts w:cs="Arial"/>
        </w:rPr>
      </w:pPr>
      <w:r w:rsidRPr="003E6D3F">
        <w:rPr>
          <w:rFonts w:cs="Arial"/>
          <w:b/>
        </w:rPr>
        <w:lastRenderedPageBreak/>
        <w:t>Linking into existing programmes</w:t>
      </w:r>
      <w:r>
        <w:rPr>
          <w:rFonts w:cs="Arial"/>
        </w:rPr>
        <w:t xml:space="preserve"> of consumer education and support, such as those provided by many banks, the National Credit Regulator and the National Department of Human Settlements as a part of their processes of engaging with under-served communities;</w:t>
      </w:r>
    </w:p>
    <w:p w14:paraId="6195AEA3" w14:textId="3CF63E1A" w:rsidR="003E6D3F" w:rsidRDefault="003E6D3F" w:rsidP="00DB038D">
      <w:pPr>
        <w:pStyle w:val="ListParagraph"/>
        <w:numPr>
          <w:ilvl w:val="0"/>
          <w:numId w:val="54"/>
        </w:numPr>
        <w:rPr>
          <w:rFonts w:cs="Arial"/>
        </w:rPr>
      </w:pPr>
      <w:r w:rsidRPr="00CB0720">
        <w:rPr>
          <w:rFonts w:cs="Arial"/>
          <w:b/>
        </w:rPr>
        <w:t>CBO programmes</w:t>
      </w:r>
      <w:r w:rsidRPr="003E6D3F">
        <w:rPr>
          <w:rFonts w:cs="Arial"/>
        </w:rPr>
        <w:t xml:space="preserve"> aimed at improving financial literacy and indebtedness training</w:t>
      </w:r>
      <w:r w:rsidR="00CB0720">
        <w:rPr>
          <w:rFonts w:cs="Arial"/>
        </w:rPr>
        <w:t>, community savings, etc</w:t>
      </w:r>
      <w:r w:rsidRPr="003E6D3F">
        <w:rPr>
          <w:rFonts w:cs="Arial"/>
        </w:rPr>
        <w:t>.</w:t>
      </w:r>
    </w:p>
    <w:p w14:paraId="4DB93FE4" w14:textId="40E000AE" w:rsidR="00CB0720" w:rsidRPr="003E6D3F" w:rsidRDefault="00CB0720" w:rsidP="00DB038D">
      <w:pPr>
        <w:pStyle w:val="ListParagraph"/>
        <w:numPr>
          <w:ilvl w:val="0"/>
          <w:numId w:val="54"/>
        </w:numPr>
        <w:rPr>
          <w:rFonts w:cs="Arial"/>
        </w:rPr>
      </w:pPr>
      <w:r>
        <w:rPr>
          <w:rFonts w:cs="Arial"/>
          <w:b/>
        </w:rPr>
        <w:t>Donor agency programmes</w:t>
      </w:r>
      <w:r>
        <w:rPr>
          <w:rFonts w:cs="Arial"/>
        </w:rPr>
        <w:t xml:space="preserve"> specifically focused on financial literacy amongst low income groups.</w:t>
      </w:r>
      <w:r w:rsidR="00F1198B">
        <w:rPr>
          <w:rFonts w:cs="Arial"/>
        </w:rPr>
        <w:t xml:space="preserve"> </w:t>
      </w:r>
    </w:p>
    <w:tbl>
      <w:tblPr>
        <w:tblStyle w:val="TableGrid"/>
        <w:tblpPr w:leftFromText="181" w:rightFromText="181" w:vertAnchor="text" w:horzAnchor="margin" w:tblpXSpec="center" w:tblpY="670"/>
        <w:tblW w:w="0" w:type="auto"/>
        <w:tblLook w:val="04A0" w:firstRow="1" w:lastRow="0" w:firstColumn="1" w:lastColumn="0" w:noHBand="0" w:noVBand="1"/>
      </w:tblPr>
      <w:tblGrid>
        <w:gridCol w:w="8783"/>
      </w:tblGrid>
      <w:tr w:rsidR="006227D9" w14:paraId="24EF17D7" w14:textId="77777777" w:rsidTr="004B65F4">
        <w:tc>
          <w:tcPr>
            <w:tcW w:w="8783" w:type="dxa"/>
          </w:tcPr>
          <w:p w14:paraId="04A57A34" w14:textId="4090CB71" w:rsidR="001D178D" w:rsidRPr="00CF1919" w:rsidRDefault="00F1198B" w:rsidP="004B65F4">
            <w:pPr>
              <w:ind w:left="567"/>
              <w:jc w:val="center"/>
              <w:rPr>
                <w:rFonts w:cs="Arial"/>
                <w:b/>
                <w:szCs w:val="22"/>
              </w:rPr>
            </w:pPr>
            <w:r>
              <w:rPr>
                <w:rFonts w:cs="Arial"/>
                <w:b/>
                <w:szCs w:val="22"/>
              </w:rPr>
              <w:t xml:space="preserve"> </w:t>
            </w:r>
            <w:r w:rsidR="007006C3">
              <w:rPr>
                <w:rFonts w:cs="Arial"/>
                <w:b/>
                <w:szCs w:val="22"/>
              </w:rPr>
              <w:t>BOX 5</w:t>
            </w:r>
            <w:r w:rsidR="001D178D">
              <w:rPr>
                <w:rFonts w:cs="Arial"/>
                <w:b/>
                <w:szCs w:val="22"/>
              </w:rPr>
              <w:t xml:space="preserve">: </w:t>
            </w:r>
            <w:r w:rsidR="001D178D" w:rsidRPr="00CF1919">
              <w:rPr>
                <w:rFonts w:cs="Arial"/>
                <w:b/>
                <w:szCs w:val="22"/>
              </w:rPr>
              <w:t>Case Study: Kuy</w:t>
            </w:r>
            <w:r w:rsidR="003E6D3F">
              <w:rPr>
                <w:rFonts w:cs="Arial"/>
                <w:b/>
                <w:szCs w:val="22"/>
              </w:rPr>
              <w:t>sa</w:t>
            </w:r>
            <w:r w:rsidR="001D178D" w:rsidRPr="00CF1919">
              <w:rPr>
                <w:rFonts w:cs="Arial"/>
                <w:b/>
                <w:szCs w:val="22"/>
              </w:rPr>
              <w:t xml:space="preserve"> Fund</w:t>
            </w:r>
          </w:p>
          <w:p w14:paraId="5B4DCF51" w14:textId="77777777" w:rsidR="001D178D" w:rsidRPr="00CF1919" w:rsidRDefault="001D178D" w:rsidP="004B65F4">
            <w:pPr>
              <w:ind w:left="67"/>
              <w:rPr>
                <w:rFonts w:cs="Arial"/>
                <w:szCs w:val="22"/>
              </w:rPr>
            </w:pPr>
            <w:r w:rsidRPr="00CF1919">
              <w:rPr>
                <w:rFonts w:cs="Arial"/>
                <w:szCs w:val="22"/>
              </w:rPr>
              <w:t xml:space="preserve">The Kuyasa Fund (Kuyasa) is </w:t>
            </w:r>
            <w:r>
              <w:rPr>
                <w:rFonts w:cs="Arial"/>
                <w:szCs w:val="22"/>
              </w:rPr>
              <w:t xml:space="preserve">an NPO and NGO that has seen rapid growth in SA </w:t>
            </w:r>
            <w:r w:rsidRPr="00CF1919">
              <w:rPr>
                <w:rFonts w:cs="Arial"/>
                <w:szCs w:val="22"/>
              </w:rPr>
              <w:t xml:space="preserve">and is </w:t>
            </w:r>
            <w:r>
              <w:rPr>
                <w:rFonts w:cs="Arial"/>
                <w:szCs w:val="22"/>
              </w:rPr>
              <w:t xml:space="preserve">considered </w:t>
            </w:r>
            <w:r w:rsidRPr="00CF1919">
              <w:rPr>
                <w:rFonts w:cs="Arial"/>
                <w:szCs w:val="22"/>
              </w:rPr>
              <w:t>a significant housing microfinance role-player in South Africa</w:t>
            </w:r>
            <w:r>
              <w:rPr>
                <w:rFonts w:cs="Arial"/>
                <w:szCs w:val="22"/>
              </w:rPr>
              <w:t>n housing landscape</w:t>
            </w:r>
            <w:r w:rsidRPr="00CF1919">
              <w:rPr>
                <w:rFonts w:cs="Arial"/>
                <w:szCs w:val="22"/>
              </w:rPr>
              <w:t>. Kuyasa</w:t>
            </w:r>
            <w:r>
              <w:rPr>
                <w:rFonts w:cs="Arial"/>
                <w:szCs w:val="22"/>
              </w:rPr>
              <w:t xml:space="preserve">’s main focus is the provision of </w:t>
            </w:r>
            <w:r w:rsidRPr="00CF1919">
              <w:rPr>
                <w:rFonts w:cs="Arial"/>
                <w:szCs w:val="22"/>
              </w:rPr>
              <w:t>housing microfinance to the lower end of the microfinance market</w:t>
            </w:r>
            <w:r>
              <w:rPr>
                <w:rFonts w:cs="Arial"/>
                <w:szCs w:val="22"/>
              </w:rPr>
              <w:t xml:space="preserve"> and has achieved some success: since 1999, when the organization was established, it has issued R76 million worth of loans in 15200 transactions</w:t>
            </w:r>
            <w:r w:rsidRPr="00CF1919">
              <w:rPr>
                <w:rFonts w:cs="Arial"/>
                <w:szCs w:val="22"/>
              </w:rPr>
              <w:t xml:space="preserve">.  </w:t>
            </w:r>
          </w:p>
          <w:p w14:paraId="531739A1" w14:textId="28722065" w:rsidR="001D178D" w:rsidRPr="00CF1919" w:rsidRDefault="001D178D" w:rsidP="004B65F4">
            <w:pPr>
              <w:ind w:left="67"/>
              <w:rPr>
                <w:rFonts w:cs="Arial"/>
                <w:szCs w:val="22"/>
              </w:rPr>
            </w:pPr>
            <w:r w:rsidRPr="00CF1919">
              <w:rPr>
                <w:rFonts w:cs="Arial"/>
                <w:szCs w:val="22"/>
              </w:rPr>
              <w:t xml:space="preserve">Kuyasa’s loans </w:t>
            </w:r>
            <w:r>
              <w:rPr>
                <w:rFonts w:cs="Arial"/>
                <w:szCs w:val="22"/>
              </w:rPr>
              <w:t xml:space="preserve">are used </w:t>
            </w:r>
            <w:r w:rsidRPr="00CF1919">
              <w:rPr>
                <w:rFonts w:cs="Arial"/>
                <w:szCs w:val="22"/>
              </w:rPr>
              <w:t>for home improvements</w:t>
            </w:r>
            <w:r>
              <w:rPr>
                <w:rFonts w:cs="Arial"/>
                <w:szCs w:val="22"/>
              </w:rPr>
              <w:t xml:space="preserve"> and even though</w:t>
            </w:r>
            <w:r w:rsidRPr="00CF1919">
              <w:rPr>
                <w:rFonts w:cs="Arial"/>
                <w:szCs w:val="22"/>
              </w:rPr>
              <w:t xml:space="preserve"> all loans are unsecured</w:t>
            </w:r>
            <w:r>
              <w:rPr>
                <w:rFonts w:cs="Arial"/>
                <w:szCs w:val="22"/>
              </w:rPr>
              <w:t xml:space="preserve">, their </w:t>
            </w:r>
            <w:r w:rsidRPr="00CF1919">
              <w:rPr>
                <w:rFonts w:cs="Arial"/>
                <w:szCs w:val="22"/>
              </w:rPr>
              <w:t xml:space="preserve">use is verified. </w:t>
            </w:r>
            <w:r>
              <w:rPr>
                <w:rFonts w:cs="Arial"/>
                <w:szCs w:val="22"/>
              </w:rPr>
              <w:t xml:space="preserve">However, that is the sum total of their engagement as they do </w:t>
            </w:r>
            <w:r w:rsidRPr="00CF1919">
              <w:rPr>
                <w:rFonts w:cs="Arial"/>
                <w:szCs w:val="22"/>
              </w:rPr>
              <w:t xml:space="preserve">not provide advice, assistance or support and </w:t>
            </w:r>
            <w:r>
              <w:rPr>
                <w:rFonts w:cs="Arial"/>
                <w:szCs w:val="22"/>
              </w:rPr>
              <w:t>it is up to</w:t>
            </w:r>
            <w:r w:rsidRPr="00CF1919">
              <w:rPr>
                <w:rFonts w:cs="Arial"/>
                <w:szCs w:val="22"/>
              </w:rPr>
              <w:t xml:space="preserve"> the client to </w:t>
            </w:r>
            <w:r>
              <w:rPr>
                <w:rFonts w:cs="Arial"/>
                <w:szCs w:val="22"/>
              </w:rPr>
              <w:t>use</w:t>
            </w:r>
            <w:r w:rsidRPr="00CF1919">
              <w:rPr>
                <w:rFonts w:cs="Arial"/>
                <w:szCs w:val="22"/>
              </w:rPr>
              <w:t xml:space="preserve"> the funds effectively. </w:t>
            </w:r>
          </w:p>
          <w:p w14:paraId="3D0AC236" w14:textId="77777777" w:rsidR="001D178D" w:rsidRDefault="001D178D" w:rsidP="004B65F4">
            <w:pPr>
              <w:ind w:left="67"/>
              <w:rPr>
                <w:rFonts w:cs="Arial"/>
                <w:szCs w:val="22"/>
              </w:rPr>
            </w:pPr>
            <w:r>
              <w:rPr>
                <w:rFonts w:cs="Arial"/>
                <w:szCs w:val="22"/>
              </w:rPr>
              <w:t>Despite these limitations i</w:t>
            </w:r>
            <w:r w:rsidRPr="00CF1919">
              <w:rPr>
                <w:rFonts w:cs="Arial"/>
                <w:szCs w:val="22"/>
              </w:rPr>
              <w:t xml:space="preserve">mpact studies have </w:t>
            </w:r>
            <w:r>
              <w:rPr>
                <w:rFonts w:cs="Arial"/>
                <w:szCs w:val="22"/>
              </w:rPr>
              <w:t>revealed</w:t>
            </w:r>
            <w:r w:rsidRPr="00CF1919">
              <w:rPr>
                <w:rFonts w:cs="Arial"/>
                <w:szCs w:val="22"/>
              </w:rPr>
              <w:t xml:space="preserve"> that the </w:t>
            </w:r>
            <w:r>
              <w:rPr>
                <w:rFonts w:cs="Arial"/>
                <w:szCs w:val="22"/>
              </w:rPr>
              <w:t xml:space="preserve">funding has made a significant difference in people’s lives and the </w:t>
            </w:r>
            <w:r w:rsidRPr="00CF1919">
              <w:rPr>
                <w:rFonts w:cs="Arial"/>
                <w:szCs w:val="22"/>
              </w:rPr>
              <w:t xml:space="preserve">market value of homes tripled after making Kuyasa-funded improvements. </w:t>
            </w:r>
            <w:r>
              <w:rPr>
                <w:rFonts w:cs="Arial"/>
                <w:szCs w:val="22"/>
              </w:rPr>
              <w:t>According to Urban LandMark (2010) ‘</w:t>
            </w:r>
            <w:r w:rsidRPr="00E827ED">
              <w:rPr>
                <w:rFonts w:cs="Arial"/>
                <w:i/>
                <w:szCs w:val="22"/>
              </w:rPr>
              <w:t>The studies found that loan diversion occurred in less than 1% of cases and no instances of poor or unacceptable quality were identified</w:t>
            </w:r>
            <w:r>
              <w:rPr>
                <w:rFonts w:cs="Arial"/>
                <w:i/>
                <w:szCs w:val="22"/>
              </w:rPr>
              <w:t>’</w:t>
            </w:r>
            <w:r w:rsidRPr="00CF1919">
              <w:rPr>
                <w:rFonts w:cs="Arial"/>
                <w:szCs w:val="22"/>
              </w:rPr>
              <w:t xml:space="preserve">. </w:t>
            </w:r>
            <w:r>
              <w:rPr>
                <w:rFonts w:cs="Arial"/>
                <w:szCs w:val="22"/>
              </w:rPr>
              <w:t xml:space="preserve">The findings from the study demonstrate the ability and capacity of households to independently improve their homes and that they are capable of incrementally altering their homes to higher standards without the intervention of further support. The evidence suggests that </w:t>
            </w:r>
            <w:r w:rsidRPr="00CF1919">
              <w:rPr>
                <w:rFonts w:cs="Arial"/>
                <w:szCs w:val="22"/>
              </w:rPr>
              <w:t xml:space="preserve">Kuyasa’s </w:t>
            </w:r>
            <w:r>
              <w:rPr>
                <w:rFonts w:cs="Arial"/>
                <w:szCs w:val="22"/>
              </w:rPr>
              <w:t>“</w:t>
            </w:r>
            <w:r w:rsidRPr="00CF1919">
              <w:rPr>
                <w:rFonts w:cs="Arial"/>
                <w:szCs w:val="22"/>
              </w:rPr>
              <w:t>minimalist approach</w:t>
            </w:r>
            <w:r>
              <w:rPr>
                <w:rFonts w:cs="Arial"/>
                <w:szCs w:val="22"/>
              </w:rPr>
              <w:t>”</w:t>
            </w:r>
            <w:r w:rsidRPr="00CF1919">
              <w:rPr>
                <w:rFonts w:cs="Arial"/>
                <w:szCs w:val="22"/>
              </w:rPr>
              <w:t xml:space="preserve"> </w:t>
            </w:r>
            <w:r>
              <w:rPr>
                <w:rFonts w:cs="Arial"/>
                <w:szCs w:val="22"/>
              </w:rPr>
              <w:t xml:space="preserve">has been </w:t>
            </w:r>
            <w:r w:rsidRPr="00CF1919">
              <w:rPr>
                <w:rFonts w:cs="Arial"/>
                <w:szCs w:val="22"/>
              </w:rPr>
              <w:t>very successful and has positively influenced</w:t>
            </w:r>
            <w:r>
              <w:rPr>
                <w:rFonts w:cs="Arial"/>
                <w:szCs w:val="22"/>
              </w:rPr>
              <w:t xml:space="preserve"> the quality of housing for their low income clients</w:t>
            </w:r>
            <w:r w:rsidRPr="00CF1919">
              <w:rPr>
                <w:rFonts w:cs="Arial"/>
                <w:szCs w:val="22"/>
              </w:rPr>
              <w:t>.</w:t>
            </w:r>
          </w:p>
          <w:p w14:paraId="67D657B1" w14:textId="60C95A98" w:rsidR="006227D9" w:rsidRDefault="001D178D" w:rsidP="004B65F4">
            <w:pPr>
              <w:ind w:left="67"/>
              <w:rPr>
                <w:rFonts w:cs="Arial"/>
                <w:szCs w:val="22"/>
              </w:rPr>
            </w:pPr>
            <w:r>
              <w:rPr>
                <w:rFonts w:cs="Arial"/>
                <w:szCs w:val="22"/>
              </w:rPr>
              <w:t>(Source: Urban LandMark, 2010)</w:t>
            </w:r>
          </w:p>
        </w:tc>
      </w:tr>
    </w:tbl>
    <w:p w14:paraId="321EAC65" w14:textId="77777777" w:rsidR="00B00057" w:rsidRPr="00FC5CFC" w:rsidRDefault="00B00057" w:rsidP="00B00057">
      <w:pPr>
        <w:spacing w:line="360" w:lineRule="auto"/>
        <w:ind w:left="567"/>
        <w:rPr>
          <w:rFonts w:cs="Arial"/>
          <w:szCs w:val="22"/>
        </w:rPr>
        <w:sectPr w:rsidR="00B00057" w:rsidRPr="00FC5CFC">
          <w:pgSz w:w="12240" w:h="15840"/>
          <w:pgMar w:top="1440" w:right="1440" w:bottom="1440" w:left="1440" w:header="720" w:footer="720" w:gutter="0"/>
          <w:cols w:space="720"/>
          <w:docGrid w:linePitch="360"/>
        </w:sectPr>
      </w:pPr>
    </w:p>
    <w:p w14:paraId="5DC8760F" w14:textId="77777777" w:rsidR="00B00057" w:rsidRDefault="00B00057" w:rsidP="00B00057">
      <w:pPr>
        <w:rPr>
          <w:rFonts w:cs="Arial"/>
          <w:b/>
        </w:rPr>
      </w:pPr>
    </w:p>
    <w:p w14:paraId="6E65FCFB" w14:textId="26EA3A59" w:rsidR="00B00057" w:rsidRPr="008D7B77" w:rsidRDefault="00CF1919" w:rsidP="00B00057">
      <w:pPr>
        <w:spacing w:line="360" w:lineRule="auto"/>
        <w:rPr>
          <w:rFonts w:cs="Arial"/>
          <w:b/>
          <w:szCs w:val="22"/>
          <w:highlight w:val="yellow"/>
        </w:rPr>
      </w:pPr>
      <w:bookmarkStart w:id="336" w:name="_Toc270945497"/>
      <w:r w:rsidRPr="00CF1919">
        <w:rPr>
          <w:b/>
        </w:rPr>
        <w:t xml:space="preserve">Table </w:t>
      </w:r>
      <w:r w:rsidRPr="00CF1919">
        <w:rPr>
          <w:b/>
        </w:rPr>
        <w:fldChar w:fldCharType="begin"/>
      </w:r>
      <w:r w:rsidRPr="00CF1919">
        <w:rPr>
          <w:b/>
        </w:rPr>
        <w:instrText xml:space="preserve"> SEQ Table \* ARABIC </w:instrText>
      </w:r>
      <w:r w:rsidRPr="00CF1919">
        <w:rPr>
          <w:b/>
        </w:rPr>
        <w:fldChar w:fldCharType="separate"/>
      </w:r>
      <w:r w:rsidR="00E9048A">
        <w:rPr>
          <w:b/>
          <w:noProof/>
        </w:rPr>
        <w:t>6</w:t>
      </w:r>
      <w:r w:rsidRPr="00CF1919">
        <w:rPr>
          <w:b/>
          <w:noProof/>
        </w:rPr>
        <w:fldChar w:fldCharType="end"/>
      </w:r>
      <w:r w:rsidRPr="00CF1919">
        <w:rPr>
          <w:b/>
        </w:rPr>
        <w:t xml:space="preserve">: </w:t>
      </w:r>
      <w:r w:rsidR="00B00057" w:rsidRPr="008D7B77">
        <w:rPr>
          <w:rFonts w:cs="Arial"/>
          <w:b/>
          <w:szCs w:val="22"/>
          <w:highlight w:val="yellow"/>
        </w:rPr>
        <w:t>Availability of Finance for House Consolidation in ISU Projects</w:t>
      </w:r>
      <w:bookmarkEnd w:id="336"/>
    </w:p>
    <w:tbl>
      <w:tblPr>
        <w:tblStyle w:val="LightGrid-Accent3"/>
        <w:tblW w:w="12817" w:type="dxa"/>
        <w:tblLook w:val="04A0" w:firstRow="1" w:lastRow="0" w:firstColumn="1" w:lastColumn="0" w:noHBand="0" w:noVBand="1"/>
      </w:tblPr>
      <w:tblGrid>
        <w:gridCol w:w="2235"/>
        <w:gridCol w:w="3402"/>
        <w:gridCol w:w="3353"/>
        <w:gridCol w:w="3827"/>
      </w:tblGrid>
      <w:tr w:rsidR="00B00057" w:rsidRPr="008D7B77" w14:paraId="56A2799F" w14:textId="77777777" w:rsidTr="00F833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59A719BA" w14:textId="77777777" w:rsidR="00B00057" w:rsidRPr="008D7B77" w:rsidRDefault="00B00057" w:rsidP="003A0CCC">
            <w:pPr>
              <w:rPr>
                <w:rFonts w:cs="Arial"/>
                <w:sz w:val="20"/>
                <w:szCs w:val="20"/>
                <w:highlight w:val="yellow"/>
              </w:rPr>
            </w:pPr>
            <w:r w:rsidRPr="008D7B77">
              <w:rPr>
                <w:rFonts w:cs="Arial"/>
                <w:sz w:val="20"/>
                <w:szCs w:val="20"/>
                <w:highlight w:val="yellow"/>
              </w:rPr>
              <w:t>Category / Type</w:t>
            </w:r>
          </w:p>
        </w:tc>
        <w:tc>
          <w:tcPr>
            <w:tcW w:w="3402" w:type="dxa"/>
          </w:tcPr>
          <w:p w14:paraId="7A92C7D0" w14:textId="77777777" w:rsidR="00B00057" w:rsidRPr="008D7B77" w:rsidRDefault="00B00057" w:rsidP="003A0CCC">
            <w:pPr>
              <w:cnfStyle w:val="100000000000" w:firstRow="1" w:lastRow="0" w:firstColumn="0" w:lastColumn="0" w:oddVBand="0" w:evenVBand="0" w:oddHBand="0" w:evenHBand="0" w:firstRowFirstColumn="0" w:firstRowLastColumn="0" w:lastRowFirstColumn="0" w:lastRowLastColumn="0"/>
              <w:rPr>
                <w:rFonts w:cs="Arial"/>
                <w:sz w:val="20"/>
                <w:szCs w:val="20"/>
                <w:highlight w:val="yellow"/>
              </w:rPr>
            </w:pPr>
            <w:r w:rsidRPr="008D7B77">
              <w:rPr>
                <w:rFonts w:cs="Arial"/>
                <w:sz w:val="20"/>
                <w:szCs w:val="20"/>
                <w:highlight w:val="yellow"/>
              </w:rPr>
              <w:t>Description, Size, Terms</w:t>
            </w:r>
          </w:p>
        </w:tc>
        <w:tc>
          <w:tcPr>
            <w:tcW w:w="3353" w:type="dxa"/>
          </w:tcPr>
          <w:p w14:paraId="6C086F32" w14:textId="77777777" w:rsidR="00B00057" w:rsidRPr="008D7B77" w:rsidRDefault="00B00057" w:rsidP="003A0CCC">
            <w:pPr>
              <w:cnfStyle w:val="100000000000" w:firstRow="1" w:lastRow="0" w:firstColumn="0" w:lastColumn="0" w:oddVBand="0" w:evenVBand="0" w:oddHBand="0" w:evenHBand="0" w:firstRowFirstColumn="0" w:firstRowLastColumn="0" w:lastRowFirstColumn="0" w:lastRowLastColumn="0"/>
              <w:rPr>
                <w:rFonts w:cs="Arial"/>
                <w:sz w:val="20"/>
                <w:szCs w:val="20"/>
                <w:highlight w:val="yellow"/>
              </w:rPr>
            </w:pPr>
            <w:r w:rsidRPr="008D7B77">
              <w:rPr>
                <w:rFonts w:cs="Arial"/>
                <w:sz w:val="20"/>
                <w:szCs w:val="20"/>
                <w:highlight w:val="yellow"/>
              </w:rPr>
              <w:t>Examples of Providers</w:t>
            </w:r>
          </w:p>
        </w:tc>
        <w:tc>
          <w:tcPr>
            <w:tcW w:w="3827" w:type="dxa"/>
          </w:tcPr>
          <w:p w14:paraId="1A9EBC17" w14:textId="77777777" w:rsidR="00B00057" w:rsidRPr="008D7B77" w:rsidRDefault="00B00057" w:rsidP="003A0CCC">
            <w:pPr>
              <w:cnfStyle w:val="100000000000" w:firstRow="1" w:lastRow="0" w:firstColumn="0" w:lastColumn="0" w:oddVBand="0" w:evenVBand="0" w:oddHBand="0" w:evenHBand="0" w:firstRowFirstColumn="0" w:firstRowLastColumn="0" w:lastRowFirstColumn="0" w:lastRowLastColumn="0"/>
              <w:rPr>
                <w:rFonts w:cs="Arial"/>
                <w:sz w:val="20"/>
                <w:szCs w:val="20"/>
                <w:highlight w:val="yellow"/>
              </w:rPr>
            </w:pPr>
            <w:r w:rsidRPr="008D7B77">
              <w:rPr>
                <w:rFonts w:cs="Arial"/>
                <w:sz w:val="20"/>
                <w:szCs w:val="20"/>
                <w:highlight w:val="yellow"/>
              </w:rPr>
              <w:t>Applicability to House Consolidation</w:t>
            </w:r>
          </w:p>
        </w:tc>
      </w:tr>
      <w:tr w:rsidR="00B00057" w:rsidRPr="008D7B77" w14:paraId="2CF032BE" w14:textId="77777777" w:rsidTr="00F83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7" w:type="dxa"/>
            <w:gridSpan w:val="4"/>
          </w:tcPr>
          <w:p w14:paraId="3220BC9A" w14:textId="77777777" w:rsidR="00B00057" w:rsidRPr="008D7B77" w:rsidRDefault="00B00057" w:rsidP="003A0CCC">
            <w:pPr>
              <w:rPr>
                <w:rFonts w:cs="Arial"/>
                <w:b w:val="0"/>
                <w:szCs w:val="22"/>
                <w:highlight w:val="yellow"/>
              </w:rPr>
            </w:pPr>
            <w:r w:rsidRPr="008D7B77">
              <w:rPr>
                <w:rFonts w:cs="Arial"/>
                <w:szCs w:val="22"/>
                <w:highlight w:val="yellow"/>
              </w:rPr>
              <w:t>1. Non-Financial Assistance</w:t>
            </w:r>
          </w:p>
        </w:tc>
      </w:tr>
      <w:tr w:rsidR="00B00057" w:rsidRPr="008D7B77" w14:paraId="1C427EE2" w14:textId="77777777" w:rsidTr="00F833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5D771DA" w14:textId="77777777" w:rsidR="00B00057" w:rsidRPr="008D7B77" w:rsidRDefault="00B00057" w:rsidP="00F83372">
            <w:pPr>
              <w:spacing w:after="0"/>
              <w:jc w:val="left"/>
              <w:rPr>
                <w:rFonts w:cs="Arial"/>
                <w:b w:val="0"/>
                <w:sz w:val="20"/>
                <w:szCs w:val="20"/>
                <w:highlight w:val="yellow"/>
              </w:rPr>
            </w:pPr>
            <w:r w:rsidRPr="008D7B77">
              <w:rPr>
                <w:rFonts w:cs="Arial"/>
                <w:b w:val="0"/>
                <w:sz w:val="20"/>
                <w:szCs w:val="20"/>
                <w:highlight w:val="yellow"/>
              </w:rPr>
              <w:t>1.1 Self-Help Activity</w:t>
            </w:r>
          </w:p>
        </w:tc>
        <w:tc>
          <w:tcPr>
            <w:tcW w:w="3402" w:type="dxa"/>
          </w:tcPr>
          <w:p w14:paraId="05376EF9"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Household members engage in direct home building activity.</w:t>
            </w:r>
          </w:p>
        </w:tc>
        <w:tc>
          <w:tcPr>
            <w:tcW w:w="3353" w:type="dxa"/>
          </w:tcPr>
          <w:p w14:paraId="3AA8F177"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Household members</w:t>
            </w:r>
          </w:p>
        </w:tc>
        <w:tc>
          <w:tcPr>
            <w:tcW w:w="3827" w:type="dxa"/>
          </w:tcPr>
          <w:p w14:paraId="7E44461B"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Given generally limited resources and long consolidation time frame this is an important home construction mode.</w:t>
            </w:r>
          </w:p>
        </w:tc>
      </w:tr>
      <w:tr w:rsidR="00B00057" w:rsidRPr="008D7B77" w14:paraId="6B821AB3" w14:textId="77777777" w:rsidTr="00F83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E0A6E5B" w14:textId="77777777" w:rsidR="00B00057" w:rsidRPr="008D7B77" w:rsidRDefault="00B00057" w:rsidP="00F83372">
            <w:pPr>
              <w:spacing w:after="0"/>
              <w:jc w:val="left"/>
              <w:rPr>
                <w:rFonts w:cs="Arial"/>
                <w:b w:val="0"/>
                <w:sz w:val="20"/>
                <w:szCs w:val="20"/>
                <w:highlight w:val="yellow"/>
              </w:rPr>
            </w:pPr>
            <w:r w:rsidRPr="008D7B77">
              <w:rPr>
                <w:rFonts w:cs="Arial"/>
                <w:b w:val="0"/>
                <w:sz w:val="20"/>
                <w:szCs w:val="20"/>
                <w:highlight w:val="yellow"/>
              </w:rPr>
              <w:t xml:space="preserve">1.2 Mutual Assistance Building Programmes </w:t>
            </w:r>
          </w:p>
        </w:tc>
        <w:tc>
          <w:tcPr>
            <w:tcW w:w="3402" w:type="dxa"/>
          </w:tcPr>
          <w:p w14:paraId="31387320"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Groups of households engage in mutual help, contributing labour money and/or materials to complete houses for the group.</w:t>
            </w:r>
          </w:p>
        </w:tc>
        <w:tc>
          <w:tcPr>
            <w:tcW w:w="3353" w:type="dxa"/>
          </w:tcPr>
          <w:p w14:paraId="5DA552D6"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 xml:space="preserve">Certain NPOs assist to foster programmes in informal settlements (e.g. Habitat for Humanity); </w:t>
            </w:r>
          </w:p>
        </w:tc>
        <w:tc>
          <w:tcPr>
            <w:tcW w:w="3827" w:type="dxa"/>
          </w:tcPr>
          <w:p w14:paraId="2A67CF22"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Amongst low income communities where many households have limited affordability or savings, mutual help can be the best mechanism to obtain housing.</w:t>
            </w:r>
          </w:p>
        </w:tc>
      </w:tr>
      <w:tr w:rsidR="00B00057" w:rsidRPr="008D7B77" w14:paraId="0D68D2C4" w14:textId="77777777" w:rsidTr="00F833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9472C93" w14:textId="77777777" w:rsidR="00B00057" w:rsidRPr="008D7B77" w:rsidRDefault="00B00057" w:rsidP="00F83372">
            <w:pPr>
              <w:spacing w:after="0"/>
              <w:jc w:val="left"/>
              <w:rPr>
                <w:rFonts w:cs="Arial"/>
                <w:b w:val="0"/>
                <w:sz w:val="20"/>
                <w:szCs w:val="20"/>
                <w:highlight w:val="yellow"/>
              </w:rPr>
            </w:pPr>
            <w:r w:rsidRPr="008D7B77">
              <w:rPr>
                <w:rFonts w:cs="Arial"/>
                <w:b w:val="0"/>
                <w:sz w:val="20"/>
                <w:szCs w:val="20"/>
                <w:highlight w:val="yellow"/>
              </w:rPr>
              <w:t>1.3 Materials Stockpiles</w:t>
            </w:r>
          </w:p>
        </w:tc>
        <w:tc>
          <w:tcPr>
            <w:tcW w:w="3402" w:type="dxa"/>
          </w:tcPr>
          <w:p w14:paraId="3A8604CE"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Households stockpiling building materials for house improvement.</w:t>
            </w:r>
          </w:p>
        </w:tc>
        <w:tc>
          <w:tcPr>
            <w:tcW w:w="3353" w:type="dxa"/>
          </w:tcPr>
          <w:p w14:paraId="427320FC"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Generally sourced from local materials outlets, often building materials recyclers.</w:t>
            </w:r>
          </w:p>
        </w:tc>
        <w:tc>
          <w:tcPr>
            <w:tcW w:w="3827" w:type="dxa"/>
          </w:tcPr>
          <w:p w14:paraId="55C54EB1"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Provides important source of affordable materials. Enables ‘monetisation’ of first wave shack investment materials where houses are being improved and materials are not required.</w:t>
            </w:r>
          </w:p>
        </w:tc>
      </w:tr>
      <w:tr w:rsidR="00B00057" w:rsidRPr="008D7B77" w14:paraId="5172255F" w14:textId="77777777" w:rsidTr="00F83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7" w:type="dxa"/>
            <w:gridSpan w:val="4"/>
          </w:tcPr>
          <w:p w14:paraId="096A635A" w14:textId="77777777" w:rsidR="00B00057" w:rsidRPr="008D7B77" w:rsidRDefault="00B00057" w:rsidP="00F83372">
            <w:pPr>
              <w:spacing w:after="0"/>
              <w:jc w:val="left"/>
              <w:rPr>
                <w:rFonts w:cs="Arial"/>
                <w:szCs w:val="22"/>
                <w:highlight w:val="yellow"/>
              </w:rPr>
            </w:pPr>
            <w:r w:rsidRPr="008D7B77">
              <w:rPr>
                <w:rFonts w:cs="Arial"/>
                <w:szCs w:val="22"/>
                <w:highlight w:val="yellow"/>
              </w:rPr>
              <w:t>2. Community Finance</w:t>
            </w:r>
          </w:p>
        </w:tc>
      </w:tr>
      <w:tr w:rsidR="00B00057" w:rsidRPr="008D7B77" w14:paraId="1B2042FD" w14:textId="77777777" w:rsidTr="00F833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31097C3" w14:textId="77777777" w:rsidR="00B00057" w:rsidRPr="008D7B77" w:rsidRDefault="00B00057" w:rsidP="00F83372">
            <w:pPr>
              <w:spacing w:after="0"/>
              <w:jc w:val="left"/>
              <w:rPr>
                <w:rFonts w:cs="Arial"/>
                <w:b w:val="0"/>
                <w:sz w:val="20"/>
                <w:szCs w:val="20"/>
                <w:highlight w:val="yellow"/>
              </w:rPr>
            </w:pPr>
            <w:r w:rsidRPr="008D7B77">
              <w:rPr>
                <w:rFonts w:cs="Arial"/>
                <w:b w:val="0"/>
                <w:sz w:val="20"/>
                <w:szCs w:val="20"/>
                <w:highlight w:val="yellow"/>
              </w:rPr>
              <w:t>2.1 Household Savings</w:t>
            </w:r>
          </w:p>
        </w:tc>
        <w:tc>
          <w:tcPr>
            <w:tcW w:w="3402" w:type="dxa"/>
          </w:tcPr>
          <w:p w14:paraId="4E9ADD0B"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Monetary savings to be applied for materials purchase or contracting builders. Given that an average small loan of R20 000 over 36 months will accrue around R13 000 in fees and interest, savings can limit high charges on finance.</w:t>
            </w:r>
          </w:p>
        </w:tc>
        <w:tc>
          <w:tcPr>
            <w:tcW w:w="3353" w:type="dxa"/>
          </w:tcPr>
          <w:p w14:paraId="261EDA98"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Households themselves.</w:t>
            </w:r>
          </w:p>
        </w:tc>
        <w:tc>
          <w:tcPr>
            <w:tcW w:w="3827" w:type="dxa"/>
          </w:tcPr>
          <w:p w14:paraId="08B4CCC4"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Important source of capital for house investment. Also provides ‘track record’ for certain other forms of financing.</w:t>
            </w:r>
          </w:p>
        </w:tc>
      </w:tr>
      <w:tr w:rsidR="00B00057" w:rsidRPr="008D7B77" w14:paraId="28F3C7BD" w14:textId="77777777" w:rsidTr="00F83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FB697D6" w14:textId="77777777" w:rsidR="00B00057" w:rsidRPr="008D7B77" w:rsidRDefault="00B00057" w:rsidP="00F83372">
            <w:pPr>
              <w:spacing w:after="0"/>
              <w:jc w:val="left"/>
              <w:rPr>
                <w:rFonts w:cs="Arial"/>
                <w:b w:val="0"/>
                <w:sz w:val="20"/>
                <w:szCs w:val="20"/>
                <w:highlight w:val="yellow"/>
              </w:rPr>
            </w:pPr>
            <w:r w:rsidRPr="008D7B77">
              <w:rPr>
                <w:rFonts w:cs="Arial"/>
                <w:b w:val="0"/>
                <w:sz w:val="20"/>
                <w:szCs w:val="20"/>
                <w:highlight w:val="yellow"/>
              </w:rPr>
              <w:t>2.2 Personal Loans</w:t>
            </w:r>
          </w:p>
        </w:tc>
        <w:tc>
          <w:tcPr>
            <w:tcW w:w="3402" w:type="dxa"/>
          </w:tcPr>
          <w:p w14:paraId="5AEBC1DC"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Cash loans from family or friends. Often provided interest free, for short periods (say, 30 to 90 days).</w:t>
            </w:r>
          </w:p>
        </w:tc>
        <w:tc>
          <w:tcPr>
            <w:tcW w:w="3353" w:type="dxa"/>
          </w:tcPr>
          <w:p w14:paraId="2178FBF3"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Family and friends.</w:t>
            </w:r>
          </w:p>
        </w:tc>
        <w:tc>
          <w:tcPr>
            <w:tcW w:w="3827" w:type="dxa"/>
          </w:tcPr>
          <w:p w14:paraId="396669C0"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Provides safe and potentially low-interest mechanism to raise capital for house consolidation.</w:t>
            </w:r>
          </w:p>
        </w:tc>
      </w:tr>
      <w:tr w:rsidR="00B00057" w:rsidRPr="008D7B77" w14:paraId="21D0D2DF" w14:textId="77777777" w:rsidTr="00F833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B426119" w14:textId="77777777" w:rsidR="00B00057" w:rsidRPr="008D7B77" w:rsidRDefault="00B00057" w:rsidP="00F83372">
            <w:pPr>
              <w:spacing w:after="0"/>
              <w:jc w:val="left"/>
              <w:rPr>
                <w:rFonts w:cs="Arial"/>
                <w:b w:val="0"/>
                <w:sz w:val="20"/>
                <w:szCs w:val="20"/>
                <w:highlight w:val="yellow"/>
              </w:rPr>
            </w:pPr>
            <w:r w:rsidRPr="008D7B77">
              <w:rPr>
                <w:rFonts w:cs="Arial"/>
                <w:b w:val="0"/>
                <w:sz w:val="20"/>
                <w:szCs w:val="20"/>
                <w:highlight w:val="yellow"/>
              </w:rPr>
              <w:t>2.3 Credit Unions / Co-Operative Schemes (‘Stokvels’)</w:t>
            </w:r>
          </w:p>
        </w:tc>
        <w:tc>
          <w:tcPr>
            <w:tcW w:w="3402" w:type="dxa"/>
          </w:tcPr>
          <w:p w14:paraId="2C93C1D7"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 xml:space="preserve">Rotational peer group savings schemes whereby fixed periodic monetary contributions are allocated to a member on a rotational basis. Typical scheme comprises twelve or more individuals </w:t>
            </w:r>
          </w:p>
        </w:tc>
        <w:tc>
          <w:tcPr>
            <w:tcW w:w="3353" w:type="dxa"/>
          </w:tcPr>
          <w:p w14:paraId="3B803311" w14:textId="6C2F1654"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 xml:space="preserve">Mutually established peer groups. </w:t>
            </w:r>
            <w:r w:rsidR="00040BA3" w:rsidRPr="008D7B77">
              <w:rPr>
                <w:rFonts w:cs="Arial"/>
                <w:sz w:val="20"/>
                <w:szCs w:val="20"/>
                <w:highlight w:val="yellow"/>
              </w:rPr>
              <w:t>Estimated</w:t>
            </w:r>
            <w:r w:rsidRPr="008D7B77">
              <w:rPr>
                <w:rFonts w:cs="Arial"/>
                <w:sz w:val="20"/>
                <w:szCs w:val="20"/>
                <w:highlight w:val="yellow"/>
              </w:rPr>
              <w:t xml:space="preserve"> 89 000 stokvels constituted in South Africa (Wikipedia). </w:t>
            </w:r>
          </w:p>
        </w:tc>
        <w:tc>
          <w:tcPr>
            <w:tcW w:w="3827" w:type="dxa"/>
          </w:tcPr>
          <w:p w14:paraId="4033E479"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 xml:space="preserve">Very important source of accruing lump sums of capital to undertake steps in the house upgrading process. </w:t>
            </w:r>
          </w:p>
        </w:tc>
      </w:tr>
      <w:tr w:rsidR="00B00057" w:rsidRPr="008D7B77" w14:paraId="3AAC4590" w14:textId="77777777" w:rsidTr="00F83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7" w:type="dxa"/>
            <w:gridSpan w:val="4"/>
          </w:tcPr>
          <w:p w14:paraId="6336717A" w14:textId="77777777" w:rsidR="00B00057" w:rsidRPr="008D7B77" w:rsidRDefault="00B00057" w:rsidP="00F83372">
            <w:pPr>
              <w:spacing w:after="0"/>
              <w:jc w:val="left"/>
              <w:rPr>
                <w:rFonts w:cs="Arial"/>
                <w:szCs w:val="22"/>
                <w:highlight w:val="yellow"/>
              </w:rPr>
            </w:pPr>
            <w:r w:rsidRPr="008D7B77">
              <w:rPr>
                <w:rFonts w:cs="Arial"/>
                <w:szCs w:val="22"/>
                <w:highlight w:val="yellow"/>
              </w:rPr>
              <w:lastRenderedPageBreak/>
              <w:t xml:space="preserve">3. Home Building-Specific Microfinance </w:t>
            </w:r>
          </w:p>
        </w:tc>
      </w:tr>
      <w:tr w:rsidR="00B00057" w:rsidRPr="008D7B77" w14:paraId="3A7E616F" w14:textId="77777777" w:rsidTr="00F833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DF582E5" w14:textId="77777777" w:rsidR="00B00057" w:rsidRPr="008D7B77" w:rsidRDefault="00B00057" w:rsidP="00F83372">
            <w:pPr>
              <w:spacing w:after="0"/>
              <w:jc w:val="left"/>
              <w:rPr>
                <w:rFonts w:cs="Arial"/>
                <w:b w:val="0"/>
                <w:sz w:val="20"/>
                <w:szCs w:val="20"/>
                <w:highlight w:val="yellow"/>
              </w:rPr>
            </w:pPr>
            <w:r w:rsidRPr="008D7B77">
              <w:rPr>
                <w:rFonts w:cs="Arial"/>
                <w:b w:val="0"/>
                <w:sz w:val="20"/>
                <w:szCs w:val="20"/>
                <w:highlight w:val="yellow"/>
              </w:rPr>
              <w:t>3.1 Building Materials Credit</w:t>
            </w:r>
          </w:p>
        </w:tc>
        <w:tc>
          <w:tcPr>
            <w:tcW w:w="3402" w:type="dxa"/>
          </w:tcPr>
          <w:p w14:paraId="4EAB865F"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Credit provided through in-store providers at building materials outlets, up to R40 000. May be bundled with insurance products (retrenchment and disability cover).</w:t>
            </w:r>
          </w:p>
        </w:tc>
        <w:tc>
          <w:tcPr>
            <w:tcW w:w="3353" w:type="dxa"/>
          </w:tcPr>
          <w:p w14:paraId="254EDC08" w14:textId="689E0E85"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Cashbuild offers ‘Home</w:t>
            </w:r>
            <w:r w:rsidR="00343DBB" w:rsidRPr="008D7B77">
              <w:rPr>
                <w:rFonts w:cs="Arial"/>
                <w:sz w:val="20"/>
                <w:szCs w:val="20"/>
                <w:highlight w:val="yellow"/>
              </w:rPr>
              <w:t>A</w:t>
            </w:r>
            <w:r w:rsidRPr="008D7B77">
              <w:rPr>
                <w:rFonts w:cs="Arial"/>
                <w:sz w:val="20"/>
                <w:szCs w:val="20"/>
                <w:highlight w:val="yellow"/>
              </w:rPr>
              <w:t xml:space="preserve">ccount’ credit from R2000 to R75 000, through Nedbank, at terms of up to 48 months. Builders Warehouse ‘Builders Card’ offers up to R40 000 credit on (‘straight revolving’, 24 or 36 months term. </w:t>
            </w:r>
          </w:p>
          <w:p w14:paraId="5D5BD980"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 xml:space="preserve">Build-It provides in-store financial services through financial services providers such as </w:t>
            </w:r>
            <w:r w:rsidRPr="008D7B77">
              <w:rPr>
                <w:rFonts w:cs="Arial"/>
                <w:color w:val="444444"/>
                <w:sz w:val="21"/>
                <w:szCs w:val="21"/>
                <w:highlight w:val="yellow"/>
                <w:shd w:val="clear" w:color="auto" w:fill="FFFFFF"/>
                <w:lang w:val="en-US"/>
              </w:rPr>
              <w:t>Nedbank@home, RCS, Lendcor &amp; Real People).</w:t>
            </w:r>
          </w:p>
        </w:tc>
        <w:tc>
          <w:tcPr>
            <w:tcW w:w="3827" w:type="dxa"/>
          </w:tcPr>
          <w:p w14:paraId="27B3DEFD"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Important form of credit as it is specifically tailored for the purchase of building materials. These chains often provide an element of consumer assistance (quantities, etc) and deliver goods directly to site. Revolving credit plans can assist households to keep momentum of building activities going.</w:t>
            </w:r>
          </w:p>
        </w:tc>
      </w:tr>
      <w:tr w:rsidR="00B00057" w:rsidRPr="008D7B77" w14:paraId="2EBAB9A8" w14:textId="77777777" w:rsidTr="00F83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D6CAAC8" w14:textId="77777777" w:rsidR="00B00057" w:rsidRPr="008D7B77" w:rsidRDefault="00B00057" w:rsidP="00F83372">
            <w:pPr>
              <w:spacing w:after="0"/>
              <w:jc w:val="left"/>
              <w:rPr>
                <w:rFonts w:cs="Arial"/>
                <w:b w:val="0"/>
                <w:sz w:val="20"/>
                <w:szCs w:val="20"/>
                <w:highlight w:val="yellow"/>
              </w:rPr>
            </w:pPr>
            <w:r w:rsidRPr="008D7B77">
              <w:rPr>
                <w:rFonts w:cs="Arial"/>
                <w:b w:val="0"/>
                <w:sz w:val="20"/>
                <w:szCs w:val="20"/>
                <w:highlight w:val="yellow"/>
              </w:rPr>
              <w:t xml:space="preserve">3.2 Specified Housing Use Microfinance </w:t>
            </w:r>
          </w:p>
        </w:tc>
        <w:tc>
          <w:tcPr>
            <w:tcW w:w="3402" w:type="dxa"/>
          </w:tcPr>
          <w:p w14:paraId="6CE06AC2"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Microfinance provided to households for a specified house building related purpose, such as purchase of building materials or payment for house construction contract.</w:t>
            </w:r>
          </w:p>
        </w:tc>
        <w:tc>
          <w:tcPr>
            <w:tcW w:w="3353" w:type="dxa"/>
          </w:tcPr>
          <w:p w14:paraId="786C85D7"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 xml:space="preserve">Lendcor provides finance at point of sale at building materials suppliers including Build-it, Hardware Warehouse, Boxer and Cashbuild. </w:t>
            </w:r>
          </w:p>
          <w:p w14:paraId="76578290"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 xml:space="preserve">Bayport </w:t>
            </w:r>
          </w:p>
          <w:p w14:paraId="1638B917"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 xml:space="preserve"> </w:t>
            </w:r>
          </w:p>
        </w:tc>
        <w:tc>
          <w:tcPr>
            <w:tcW w:w="3827" w:type="dxa"/>
          </w:tcPr>
          <w:p w14:paraId="192154B1"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Specified use loans provide a greater level of certainty that finance obtained by households will be applied to this use, although leakage into other uses does occur.</w:t>
            </w:r>
          </w:p>
        </w:tc>
      </w:tr>
      <w:tr w:rsidR="00B00057" w:rsidRPr="008D7B77" w14:paraId="39E56A62" w14:textId="77777777" w:rsidTr="00F833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C713414" w14:textId="77777777" w:rsidR="00B00057" w:rsidRPr="008D7B77" w:rsidRDefault="00B00057" w:rsidP="00F83372">
            <w:pPr>
              <w:spacing w:after="0"/>
              <w:jc w:val="left"/>
              <w:rPr>
                <w:rFonts w:cs="Arial"/>
                <w:b w:val="0"/>
                <w:sz w:val="20"/>
                <w:szCs w:val="20"/>
                <w:highlight w:val="yellow"/>
              </w:rPr>
            </w:pPr>
            <w:r w:rsidRPr="008D7B77">
              <w:rPr>
                <w:rFonts w:cs="Arial"/>
                <w:b w:val="0"/>
                <w:sz w:val="20"/>
                <w:szCs w:val="20"/>
                <w:highlight w:val="yellow"/>
              </w:rPr>
              <w:t>2.2 Savings-Backed Home Improvement Microfinance</w:t>
            </w:r>
          </w:p>
        </w:tc>
        <w:tc>
          <w:tcPr>
            <w:tcW w:w="3402" w:type="dxa"/>
          </w:tcPr>
          <w:p w14:paraId="2DE7B923"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Small loans granted to households that are partially backed by savings accrued via linked savings programmes.</w:t>
            </w:r>
          </w:p>
        </w:tc>
        <w:tc>
          <w:tcPr>
            <w:tcW w:w="3353" w:type="dxa"/>
          </w:tcPr>
          <w:p w14:paraId="2DB62D56"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Kuyasa Fund provides home improvement loans, for which use is verified.  Training, consumer education and savings mobilisation form the cornerstone of this successful approach to home improvement financing.</w:t>
            </w:r>
          </w:p>
        </w:tc>
        <w:tc>
          <w:tcPr>
            <w:tcW w:w="3827" w:type="dxa"/>
          </w:tcPr>
          <w:p w14:paraId="40F609DE"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This initiative has not been replicated, but has shown the ability to provide large numbers of loans for housholds to improve their housing conditions, with very low leakage and high levels of repayment.  Coupling the loan with training and consumer education further improve the risk profile of the product.</w:t>
            </w:r>
          </w:p>
        </w:tc>
      </w:tr>
      <w:tr w:rsidR="00B00057" w:rsidRPr="008D7B77" w14:paraId="71F400F5" w14:textId="77777777" w:rsidTr="00F83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7" w:type="dxa"/>
            <w:gridSpan w:val="4"/>
          </w:tcPr>
          <w:p w14:paraId="312EF82F" w14:textId="77777777" w:rsidR="00B00057" w:rsidRPr="008D7B77" w:rsidRDefault="00B00057" w:rsidP="00F83372">
            <w:pPr>
              <w:spacing w:after="0"/>
              <w:jc w:val="left"/>
              <w:rPr>
                <w:rFonts w:cs="Arial"/>
                <w:b w:val="0"/>
                <w:szCs w:val="22"/>
                <w:highlight w:val="yellow"/>
              </w:rPr>
            </w:pPr>
            <w:r w:rsidRPr="008D7B77">
              <w:rPr>
                <w:rFonts w:cs="Arial"/>
                <w:szCs w:val="22"/>
                <w:highlight w:val="yellow"/>
              </w:rPr>
              <w:t>2. Retail Finance</w:t>
            </w:r>
          </w:p>
        </w:tc>
      </w:tr>
      <w:tr w:rsidR="00B00057" w:rsidRPr="008D7B77" w14:paraId="209CCE54" w14:textId="77777777" w:rsidTr="00F833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8D5A7B2" w14:textId="77777777" w:rsidR="00B00057" w:rsidRPr="008D7B77" w:rsidRDefault="00B00057" w:rsidP="00F83372">
            <w:pPr>
              <w:spacing w:after="0"/>
              <w:jc w:val="left"/>
              <w:rPr>
                <w:rFonts w:cs="Arial"/>
                <w:b w:val="0"/>
                <w:sz w:val="20"/>
                <w:szCs w:val="20"/>
                <w:highlight w:val="yellow"/>
              </w:rPr>
            </w:pPr>
            <w:r w:rsidRPr="008D7B77">
              <w:rPr>
                <w:rFonts w:cs="Arial"/>
                <w:b w:val="0"/>
                <w:sz w:val="20"/>
                <w:szCs w:val="20"/>
                <w:highlight w:val="yellow"/>
              </w:rPr>
              <w:t>2.1 Unregistered Finance providers (‘Mashonisas’)</w:t>
            </w:r>
          </w:p>
        </w:tc>
        <w:tc>
          <w:tcPr>
            <w:tcW w:w="3402" w:type="dxa"/>
          </w:tcPr>
          <w:p w14:paraId="778F38B1"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Unregistered, illegal moneylenders providing small loans at very high interest rates over short periods of time.</w:t>
            </w:r>
          </w:p>
        </w:tc>
        <w:tc>
          <w:tcPr>
            <w:tcW w:w="3353" w:type="dxa"/>
          </w:tcPr>
          <w:p w14:paraId="4C7EE71F"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Most communities have known ‘Mashonisas’, many of whom provide small size, very high interest loans. Most are ‘payday loans’, being repayable in less than 30 days at up to 100% interest.</w:t>
            </w:r>
          </w:p>
        </w:tc>
        <w:tc>
          <w:tcPr>
            <w:tcW w:w="3827" w:type="dxa"/>
          </w:tcPr>
          <w:p w14:paraId="3B755DD0"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Generally exploitative terms and conditions, and periods too short to be meaningful for house consolidation.</w:t>
            </w:r>
          </w:p>
        </w:tc>
      </w:tr>
      <w:tr w:rsidR="00B00057" w:rsidRPr="008D7B77" w14:paraId="4F87FF4B" w14:textId="77777777" w:rsidTr="00F83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AA43738" w14:textId="77777777" w:rsidR="00B00057" w:rsidRPr="008D7B77" w:rsidRDefault="00B00057" w:rsidP="00F83372">
            <w:pPr>
              <w:spacing w:after="0"/>
              <w:jc w:val="left"/>
              <w:rPr>
                <w:rFonts w:cs="Arial"/>
                <w:b w:val="0"/>
                <w:sz w:val="20"/>
                <w:szCs w:val="20"/>
                <w:highlight w:val="yellow"/>
              </w:rPr>
            </w:pPr>
            <w:r w:rsidRPr="008D7B77">
              <w:rPr>
                <w:rFonts w:cs="Arial"/>
                <w:b w:val="0"/>
                <w:sz w:val="20"/>
                <w:szCs w:val="20"/>
                <w:highlight w:val="yellow"/>
              </w:rPr>
              <w:t>2.2 Microfinance (Unspecified use)</w:t>
            </w:r>
          </w:p>
        </w:tc>
        <w:tc>
          <w:tcPr>
            <w:tcW w:w="3402" w:type="dxa"/>
          </w:tcPr>
          <w:p w14:paraId="48E73CDB"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 xml:space="preserve">Unsecured microfinance loans to individuals for unspecified uses </w:t>
            </w:r>
            <w:r w:rsidRPr="008D7B77">
              <w:rPr>
                <w:rFonts w:cs="Arial"/>
                <w:sz w:val="20"/>
                <w:szCs w:val="20"/>
                <w:highlight w:val="yellow"/>
              </w:rPr>
              <w:lastRenderedPageBreak/>
              <w:t>including household needs, debt consolidation and house building. Provided by non-bank financial institutions and banks.  Generally between R2000 and R150 000, repaid over up to 60 months.</w:t>
            </w:r>
          </w:p>
        </w:tc>
        <w:tc>
          <w:tcPr>
            <w:tcW w:w="3353" w:type="dxa"/>
          </w:tcPr>
          <w:p w14:paraId="6A166B68"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lastRenderedPageBreak/>
              <w:t xml:space="preserve">African Bank offers ‘short term’ loans up to R10 000 with upto 12 </w:t>
            </w:r>
            <w:r w:rsidRPr="008D7B77">
              <w:rPr>
                <w:rFonts w:cs="Arial"/>
                <w:sz w:val="20"/>
                <w:szCs w:val="20"/>
                <w:highlight w:val="yellow"/>
              </w:rPr>
              <w:lastRenderedPageBreak/>
              <w:t xml:space="preserve">months term, and ‘long term’ loans between R10 000 and R180 000 with up to 84 monhts repayment period. </w:t>
            </w:r>
          </w:p>
          <w:p w14:paraId="79236A6A"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 xml:space="preserve">Bayport Financial Services, who has a ‘medium term loan’ with up to 24 months repayment, and a ‘long term’ loan up to 60 months repayment period. </w:t>
            </w:r>
          </w:p>
          <w:p w14:paraId="5EB66B74"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Real People Holdings</w:t>
            </w:r>
          </w:p>
          <w:p w14:paraId="1745203A"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Banks.</w:t>
            </w:r>
          </w:p>
        </w:tc>
        <w:tc>
          <w:tcPr>
            <w:tcW w:w="3827" w:type="dxa"/>
          </w:tcPr>
          <w:p w14:paraId="51F217CD"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lastRenderedPageBreak/>
              <w:t>Can provide important sources of capital to assist households to undertake one-</w:t>
            </w:r>
            <w:r w:rsidRPr="008D7B77">
              <w:rPr>
                <w:rFonts w:cs="Arial"/>
                <w:sz w:val="20"/>
                <w:szCs w:val="20"/>
                <w:highlight w:val="yellow"/>
              </w:rPr>
              <w:lastRenderedPageBreak/>
              <w:t>step home building that ensures at least a house that can be occupied, even if only in stages.</w:t>
            </w:r>
          </w:p>
        </w:tc>
      </w:tr>
      <w:tr w:rsidR="00B00057" w:rsidRPr="008D7B77" w14:paraId="2AA9F338" w14:textId="77777777" w:rsidTr="00F833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F59C8B3" w14:textId="77777777" w:rsidR="00B00057" w:rsidRPr="008D7B77" w:rsidRDefault="00B00057" w:rsidP="00F83372">
            <w:pPr>
              <w:spacing w:after="0"/>
              <w:jc w:val="left"/>
              <w:rPr>
                <w:rFonts w:cs="Arial"/>
                <w:b w:val="0"/>
                <w:sz w:val="20"/>
                <w:szCs w:val="20"/>
                <w:highlight w:val="yellow"/>
              </w:rPr>
            </w:pPr>
            <w:r w:rsidRPr="008D7B77">
              <w:rPr>
                <w:rFonts w:cs="Arial"/>
                <w:b w:val="0"/>
                <w:sz w:val="20"/>
                <w:szCs w:val="20"/>
                <w:highlight w:val="yellow"/>
              </w:rPr>
              <w:lastRenderedPageBreak/>
              <w:t>2.3 Secured Microfinance</w:t>
            </w:r>
          </w:p>
        </w:tc>
        <w:tc>
          <w:tcPr>
            <w:tcW w:w="3402" w:type="dxa"/>
          </w:tcPr>
          <w:p w14:paraId="22753673"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Microloans partially or fully backed by value of underlying asset. Only possible where asset is recoverable (e.g. prefabricated dwelling).</w:t>
            </w:r>
          </w:p>
        </w:tc>
        <w:tc>
          <w:tcPr>
            <w:tcW w:w="3353" w:type="dxa"/>
          </w:tcPr>
          <w:p w14:paraId="05B68ED5"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Not common in housing sphere.</w:t>
            </w:r>
          </w:p>
          <w:p w14:paraId="47922592"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p>
          <w:p w14:paraId="4CB8219D"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p>
          <w:p w14:paraId="4EEE5A21"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p>
        </w:tc>
        <w:tc>
          <w:tcPr>
            <w:tcW w:w="3827" w:type="dxa"/>
          </w:tcPr>
          <w:p w14:paraId="29047284"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May offer an opportunity to provide finance for specific housing products, such as prefabricated housing units or components that may be reclaimed in the event of loan default.</w:t>
            </w:r>
          </w:p>
        </w:tc>
      </w:tr>
      <w:tr w:rsidR="00B00057" w:rsidRPr="008D7B77" w14:paraId="09663AA1" w14:textId="77777777" w:rsidTr="00F83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4E466D6" w14:textId="77777777" w:rsidR="00B00057" w:rsidRPr="008D7B77" w:rsidRDefault="00B00057" w:rsidP="00F83372">
            <w:pPr>
              <w:spacing w:after="0"/>
              <w:jc w:val="left"/>
              <w:rPr>
                <w:rFonts w:cs="Arial"/>
                <w:b w:val="0"/>
                <w:sz w:val="20"/>
                <w:szCs w:val="20"/>
                <w:highlight w:val="yellow"/>
              </w:rPr>
            </w:pPr>
            <w:r w:rsidRPr="008D7B77">
              <w:rPr>
                <w:rFonts w:cs="Arial"/>
                <w:b w:val="0"/>
                <w:sz w:val="20"/>
                <w:szCs w:val="20"/>
                <w:highlight w:val="yellow"/>
              </w:rPr>
              <w:t>2.4 Guaranteed Loans</w:t>
            </w:r>
          </w:p>
        </w:tc>
        <w:tc>
          <w:tcPr>
            <w:tcW w:w="3402" w:type="dxa"/>
          </w:tcPr>
          <w:p w14:paraId="594A021F"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Loans backed by one or more insured risks, such as HIV-Aids cover or loss of employment.</w:t>
            </w:r>
          </w:p>
        </w:tc>
        <w:tc>
          <w:tcPr>
            <w:tcW w:w="3353" w:type="dxa"/>
          </w:tcPr>
          <w:p w14:paraId="07404C10" w14:textId="5A679133"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 xml:space="preserve">Financial Institutions and </w:t>
            </w:r>
            <w:r w:rsidR="00040BA3" w:rsidRPr="008D7B77">
              <w:rPr>
                <w:rFonts w:cs="Arial"/>
                <w:sz w:val="20"/>
                <w:szCs w:val="20"/>
                <w:highlight w:val="yellow"/>
              </w:rPr>
              <w:t>specialist</w:t>
            </w:r>
            <w:r w:rsidRPr="008D7B77">
              <w:rPr>
                <w:rFonts w:cs="Arial"/>
                <w:sz w:val="20"/>
                <w:szCs w:val="20"/>
                <w:highlight w:val="yellow"/>
              </w:rPr>
              <w:t xml:space="preserve"> insurers providing risk cover for unemployment, dread disease, disablement or death.</w:t>
            </w:r>
            <w:r w:rsidRPr="008D7B77">
              <w:rPr>
                <w:rFonts w:cs="Arial"/>
                <w:sz w:val="20"/>
                <w:szCs w:val="20"/>
                <w:highlight w:val="yellow"/>
              </w:rPr>
              <w:tab/>
            </w:r>
          </w:p>
        </w:tc>
        <w:tc>
          <w:tcPr>
            <w:tcW w:w="3827" w:type="dxa"/>
          </w:tcPr>
          <w:p w14:paraId="48B2AB66"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Guaranteed loans may be more expensive due to guarantee costs, but may offer households with impaired credit records an opportunity to access loans.</w:t>
            </w:r>
          </w:p>
        </w:tc>
      </w:tr>
      <w:tr w:rsidR="00B00057" w:rsidRPr="008D7B77" w14:paraId="5C38BAA6" w14:textId="77777777" w:rsidTr="00F833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1E3EC69" w14:textId="77777777" w:rsidR="00B00057" w:rsidRPr="008D7B77" w:rsidRDefault="00B00057" w:rsidP="00F83372">
            <w:pPr>
              <w:spacing w:after="0"/>
              <w:jc w:val="left"/>
              <w:rPr>
                <w:rFonts w:cs="Arial"/>
                <w:b w:val="0"/>
                <w:sz w:val="20"/>
                <w:szCs w:val="20"/>
                <w:highlight w:val="yellow"/>
              </w:rPr>
            </w:pPr>
            <w:r w:rsidRPr="008D7B77">
              <w:rPr>
                <w:rFonts w:cs="Arial"/>
                <w:b w:val="0"/>
                <w:sz w:val="20"/>
                <w:szCs w:val="20"/>
                <w:highlight w:val="yellow"/>
              </w:rPr>
              <w:t>2.5 Pension-Backed Loans</w:t>
            </w:r>
          </w:p>
        </w:tc>
        <w:tc>
          <w:tcPr>
            <w:tcW w:w="3402" w:type="dxa"/>
          </w:tcPr>
          <w:p w14:paraId="0FF13B49"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Home loans granted to employees of participating employers, guaranteed against accrued pension or provident fund withdrawal benefits until repaid.</w:t>
            </w:r>
          </w:p>
          <w:p w14:paraId="347C0968"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 xml:space="preserve"> </w:t>
            </w:r>
          </w:p>
        </w:tc>
        <w:tc>
          <w:tcPr>
            <w:tcW w:w="3353" w:type="dxa"/>
          </w:tcPr>
          <w:p w14:paraId="1581A2DD"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 xml:space="preserve">ABSA offers a ‘Pension-powered home loan’ scheme to employers </w:t>
            </w:r>
          </w:p>
          <w:p w14:paraId="2951C816"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Old Mutual and Standard Bank offer ‘pension backed home loans’.</w:t>
            </w:r>
          </w:p>
        </w:tc>
        <w:tc>
          <w:tcPr>
            <w:tcW w:w="3827" w:type="dxa"/>
          </w:tcPr>
          <w:p w14:paraId="4175B8A0" w14:textId="77777777" w:rsidR="00B00057" w:rsidRPr="008D7B77" w:rsidRDefault="00B00057" w:rsidP="00F83372">
            <w:pPr>
              <w:spacing w:after="0"/>
              <w:cnfStyle w:val="000000010000" w:firstRow="0" w:lastRow="0" w:firstColumn="0" w:lastColumn="0" w:oddVBand="0" w:evenVBand="0" w:oddHBand="0" w:evenHBand="1" w:firstRowFirstColumn="0" w:firstRowLastColumn="0" w:lastRowFirstColumn="0" w:lastRowLastColumn="0"/>
              <w:rPr>
                <w:rFonts w:cs="Arial"/>
                <w:sz w:val="20"/>
                <w:szCs w:val="20"/>
                <w:highlight w:val="yellow"/>
              </w:rPr>
            </w:pPr>
            <w:r w:rsidRPr="008D7B77">
              <w:rPr>
                <w:rFonts w:cs="Arial"/>
                <w:sz w:val="20"/>
                <w:szCs w:val="20"/>
                <w:highlight w:val="yellow"/>
              </w:rPr>
              <w:t>Requires sufficient accrued pension value to secure loan to employee. However, enables employees to access substantial sources of credit for home building. May not require formal house purchase, and also does not require expensive bond registration procedures</w:t>
            </w:r>
          </w:p>
        </w:tc>
      </w:tr>
      <w:tr w:rsidR="00B00057" w:rsidRPr="007B12AC" w14:paraId="6349C655" w14:textId="77777777" w:rsidTr="00F83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75D5B0F" w14:textId="77777777" w:rsidR="00B00057" w:rsidRPr="008D7B77" w:rsidRDefault="00B00057" w:rsidP="00F83372">
            <w:pPr>
              <w:spacing w:after="0"/>
              <w:jc w:val="left"/>
              <w:rPr>
                <w:rFonts w:cs="Arial"/>
                <w:b w:val="0"/>
                <w:sz w:val="20"/>
                <w:szCs w:val="20"/>
                <w:highlight w:val="yellow"/>
              </w:rPr>
            </w:pPr>
            <w:r w:rsidRPr="008D7B77">
              <w:rPr>
                <w:rFonts w:cs="Arial"/>
                <w:b w:val="0"/>
                <w:sz w:val="20"/>
                <w:szCs w:val="20"/>
                <w:highlight w:val="yellow"/>
              </w:rPr>
              <w:t>2.6 Mortgage Finance</w:t>
            </w:r>
          </w:p>
        </w:tc>
        <w:tc>
          <w:tcPr>
            <w:tcW w:w="3402" w:type="dxa"/>
          </w:tcPr>
          <w:p w14:paraId="237AFF61"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Mortgage-backed loans collateralised by underlying property values.</w:t>
            </w:r>
          </w:p>
        </w:tc>
        <w:tc>
          <w:tcPr>
            <w:tcW w:w="3353" w:type="dxa"/>
          </w:tcPr>
          <w:p w14:paraId="40A3F72B" w14:textId="77777777" w:rsidR="00B00057" w:rsidRPr="008D7B77"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8D7B77">
              <w:rPr>
                <w:rFonts w:cs="Arial"/>
                <w:sz w:val="20"/>
                <w:szCs w:val="20"/>
                <w:highlight w:val="yellow"/>
              </w:rPr>
              <w:t>Registered Formal financial institutions, including ABSA, FNB, Standard Bank. However few banks actively operating in the low income house sector.</w:t>
            </w:r>
          </w:p>
        </w:tc>
        <w:tc>
          <w:tcPr>
            <w:tcW w:w="3827" w:type="dxa"/>
          </w:tcPr>
          <w:p w14:paraId="6D4DF8AC" w14:textId="77777777" w:rsidR="00B00057" w:rsidRPr="007B12AC" w:rsidRDefault="00B00057" w:rsidP="00F83372">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8D7B77">
              <w:rPr>
                <w:rFonts w:cs="Arial"/>
                <w:sz w:val="20"/>
                <w:szCs w:val="20"/>
                <w:highlight w:val="yellow"/>
              </w:rPr>
              <w:t>Small loan sizes often required in ISU programmes not compatible with mortgage instruments due to transaction costs &amp; limited underlying asset value.</w:t>
            </w:r>
          </w:p>
        </w:tc>
      </w:tr>
    </w:tbl>
    <w:p w14:paraId="6A2DA656" w14:textId="77777777" w:rsidR="00B00057" w:rsidRDefault="00B00057" w:rsidP="00B00057">
      <w:pPr>
        <w:rPr>
          <w:rFonts w:cs="Arial"/>
          <w:b/>
        </w:rPr>
      </w:pPr>
    </w:p>
    <w:p w14:paraId="745316EB" w14:textId="77777777" w:rsidR="00B00057" w:rsidRDefault="00B00057" w:rsidP="00B00057">
      <w:pPr>
        <w:rPr>
          <w:rFonts w:cs="Arial"/>
          <w:b/>
        </w:rPr>
        <w:sectPr w:rsidR="00B00057" w:rsidSect="00883D13">
          <w:pgSz w:w="15840" w:h="12240" w:orient="landscape"/>
          <w:pgMar w:top="1440" w:right="1440" w:bottom="1440" w:left="1440" w:header="720" w:footer="720" w:gutter="0"/>
          <w:cols w:space="720"/>
          <w:docGrid w:linePitch="360"/>
        </w:sectPr>
      </w:pPr>
    </w:p>
    <w:p w14:paraId="2B8C31E4" w14:textId="77777777" w:rsidR="00B00057" w:rsidRDefault="00B00057" w:rsidP="00540DD7">
      <w:pPr>
        <w:pStyle w:val="Heading2"/>
      </w:pPr>
      <w:bookmarkStart w:id="337" w:name="_Toc262041242"/>
      <w:bookmarkStart w:id="338" w:name="_Toc262067894"/>
      <w:bookmarkStart w:id="339" w:name="_Toc270946053"/>
      <w:bookmarkStart w:id="340" w:name="_Toc377125090"/>
      <w:bookmarkStart w:id="341" w:name="_Toc377127533"/>
      <w:bookmarkStart w:id="342" w:name="_Toc387238536"/>
      <w:bookmarkStart w:id="343" w:name="_Toc387655151"/>
      <w:r w:rsidRPr="007F4614">
        <w:lastRenderedPageBreak/>
        <w:t>Household Technical Support</w:t>
      </w:r>
      <w:bookmarkEnd w:id="337"/>
      <w:bookmarkEnd w:id="338"/>
      <w:bookmarkEnd w:id="339"/>
    </w:p>
    <w:p w14:paraId="749B9890" w14:textId="77777777" w:rsidR="00194AD9" w:rsidRDefault="00194AD9" w:rsidP="00250EA9">
      <w:pPr>
        <w:spacing w:after="0"/>
        <w:rPr>
          <w:rFonts w:cs="Arial"/>
          <w:szCs w:val="22"/>
        </w:rPr>
      </w:pPr>
    </w:p>
    <w:p w14:paraId="32130CD6" w14:textId="48209880" w:rsidR="00B00057" w:rsidRDefault="00B00057" w:rsidP="00250EA9">
      <w:pPr>
        <w:spacing w:line="360" w:lineRule="auto"/>
        <w:rPr>
          <w:rFonts w:cs="Arial"/>
          <w:szCs w:val="22"/>
        </w:rPr>
      </w:pPr>
      <w:r>
        <w:rPr>
          <w:rFonts w:cs="Arial"/>
          <w:szCs w:val="22"/>
        </w:rPr>
        <w:t xml:space="preserve">Given the difficulties many households face in assembling all of the necessary components required to access credit, providing support to households themselves is one of the most effective </w:t>
      </w:r>
      <w:r w:rsidR="00820579">
        <w:rPr>
          <w:rFonts w:cs="Arial"/>
          <w:szCs w:val="22"/>
        </w:rPr>
        <w:t>mechanisms</w:t>
      </w:r>
      <w:r>
        <w:rPr>
          <w:rFonts w:cs="Arial"/>
          <w:szCs w:val="22"/>
        </w:rPr>
        <w:t xml:space="preserve"> available for stimulating house consolidation.  This section lists a range of different types of technical support that can be offered, and mechanisms for their implementation. Key issues include</w:t>
      </w:r>
      <w:r w:rsidR="00F83372">
        <w:rPr>
          <w:rFonts w:cs="Arial"/>
          <w:szCs w:val="22"/>
        </w:rPr>
        <w:t>:</w:t>
      </w:r>
    </w:p>
    <w:p w14:paraId="1FE02A10" w14:textId="258753D3" w:rsidR="00B00057" w:rsidRPr="008C0DDF" w:rsidRDefault="00B00057" w:rsidP="0055634E">
      <w:pPr>
        <w:pStyle w:val="ListParagraph"/>
        <w:numPr>
          <w:ilvl w:val="0"/>
          <w:numId w:val="33"/>
        </w:numPr>
        <w:ind w:left="720"/>
        <w:rPr>
          <w:rFonts w:cs="Arial"/>
        </w:rPr>
      </w:pPr>
      <w:r w:rsidRPr="008C0DDF">
        <w:rPr>
          <w:rFonts w:cs="Arial"/>
        </w:rPr>
        <w:t xml:space="preserve">Lack of knowledge and expertise in design </w:t>
      </w:r>
      <w:r w:rsidR="00194AD9">
        <w:rPr>
          <w:rFonts w:cs="Arial"/>
        </w:rPr>
        <w:t>and</w:t>
      </w:r>
      <w:r w:rsidR="00194AD9" w:rsidRPr="008C0DDF">
        <w:rPr>
          <w:rFonts w:cs="Arial"/>
        </w:rPr>
        <w:t xml:space="preserve"> </w:t>
      </w:r>
      <w:r w:rsidRPr="008C0DDF">
        <w:rPr>
          <w:rFonts w:cs="Arial"/>
        </w:rPr>
        <w:t>costing</w:t>
      </w:r>
    </w:p>
    <w:p w14:paraId="75BA63C1" w14:textId="77777777" w:rsidR="00B00057" w:rsidRDefault="00B00057" w:rsidP="0055634E">
      <w:pPr>
        <w:pStyle w:val="ListParagraph"/>
        <w:numPr>
          <w:ilvl w:val="0"/>
          <w:numId w:val="33"/>
        </w:numPr>
        <w:ind w:left="720"/>
        <w:rPr>
          <w:rFonts w:cs="Arial"/>
        </w:rPr>
      </w:pPr>
      <w:r w:rsidRPr="008C0DDF">
        <w:rPr>
          <w:rFonts w:cs="Arial"/>
        </w:rPr>
        <w:t>Quality Control</w:t>
      </w:r>
    </w:p>
    <w:p w14:paraId="15D699B3" w14:textId="77777777" w:rsidR="00B00057" w:rsidRDefault="00B00057" w:rsidP="000F2975">
      <w:pPr>
        <w:pStyle w:val="Heading3"/>
      </w:pPr>
      <w:bookmarkStart w:id="344" w:name="_Toc262041243"/>
      <w:bookmarkStart w:id="345" w:name="_Toc262067895"/>
      <w:bookmarkStart w:id="346" w:name="_Toc262068221"/>
      <w:r>
        <w:t>Potential Forms of Support</w:t>
      </w:r>
      <w:bookmarkEnd w:id="344"/>
      <w:bookmarkEnd w:id="345"/>
      <w:bookmarkEnd w:id="346"/>
    </w:p>
    <w:p w14:paraId="7607FF3B" w14:textId="77777777" w:rsidR="00194AD9" w:rsidRPr="00AE526D" w:rsidRDefault="00194AD9" w:rsidP="00AE526D">
      <w:pPr>
        <w:numPr>
          <w:ilvl w:val="0"/>
          <w:numId w:val="21"/>
        </w:numPr>
        <w:spacing w:after="200" w:line="360" w:lineRule="auto"/>
        <w:ind w:left="720"/>
        <w:contextualSpacing/>
        <w:rPr>
          <w:rFonts w:eastAsia="Calibri"/>
          <w:szCs w:val="22"/>
          <w:lang w:val="en-US"/>
        </w:rPr>
      </w:pPr>
      <w:r w:rsidRPr="00AE526D">
        <w:rPr>
          <w:rFonts w:eastAsia="Calibri"/>
          <w:szCs w:val="22"/>
          <w:lang w:val="en-US"/>
        </w:rPr>
        <w:t>Information sharing regarding building norms and standards and approval processes;</w:t>
      </w:r>
    </w:p>
    <w:p w14:paraId="2BD77AB6" w14:textId="77777777" w:rsidR="00194AD9" w:rsidRPr="00AE526D" w:rsidRDefault="00194AD9" w:rsidP="00AE526D">
      <w:pPr>
        <w:numPr>
          <w:ilvl w:val="0"/>
          <w:numId w:val="21"/>
        </w:numPr>
        <w:spacing w:after="200" w:line="360" w:lineRule="auto"/>
        <w:ind w:left="720"/>
        <w:contextualSpacing/>
        <w:rPr>
          <w:rFonts w:eastAsia="Calibri"/>
          <w:szCs w:val="22"/>
          <w:lang w:val="en-US"/>
        </w:rPr>
      </w:pPr>
      <w:r w:rsidRPr="00AE526D">
        <w:rPr>
          <w:rFonts w:eastAsia="Calibri"/>
          <w:szCs w:val="22"/>
          <w:lang w:val="en-US"/>
        </w:rPr>
        <w:t xml:space="preserve">Potential innovative building options to assist consolidation such as shared walls, etc. When consolidation activity is occurring, </w:t>
      </w:r>
    </w:p>
    <w:p w14:paraId="048B70C3" w14:textId="77777777" w:rsidR="00194AD9" w:rsidRPr="00AE526D" w:rsidRDefault="00194AD9" w:rsidP="00AE526D">
      <w:pPr>
        <w:numPr>
          <w:ilvl w:val="0"/>
          <w:numId w:val="21"/>
        </w:numPr>
        <w:spacing w:after="200" w:line="360" w:lineRule="auto"/>
        <w:ind w:left="720"/>
        <w:contextualSpacing/>
        <w:rPr>
          <w:rFonts w:eastAsia="Calibri"/>
          <w:szCs w:val="22"/>
          <w:lang w:val="en-US"/>
        </w:rPr>
      </w:pPr>
      <w:r w:rsidRPr="00AE526D">
        <w:rPr>
          <w:rFonts w:eastAsia="Calibri"/>
          <w:szCs w:val="22"/>
          <w:lang w:val="en-US"/>
        </w:rPr>
        <w:t xml:space="preserve">Advice on house placement on sites can assist longer-term house consolidation opportunities. </w:t>
      </w:r>
    </w:p>
    <w:p w14:paraId="747197BE" w14:textId="77777777" w:rsidR="00194AD9" w:rsidRPr="00194AD9" w:rsidRDefault="00194AD9" w:rsidP="0055634E">
      <w:pPr>
        <w:numPr>
          <w:ilvl w:val="0"/>
          <w:numId w:val="21"/>
        </w:numPr>
        <w:spacing w:after="200" w:line="360" w:lineRule="auto"/>
        <w:ind w:left="720"/>
        <w:contextualSpacing/>
        <w:rPr>
          <w:rFonts w:eastAsia="Calibri"/>
          <w:b/>
          <w:szCs w:val="22"/>
          <w:lang w:val="en-US"/>
        </w:rPr>
      </w:pPr>
      <w:r w:rsidRPr="00194AD9">
        <w:rPr>
          <w:rFonts w:eastAsia="Calibri"/>
          <w:b/>
          <w:szCs w:val="22"/>
          <w:lang w:val="en-US"/>
        </w:rPr>
        <w:t>Boundary Determination and Dispute Resolution:</w:t>
      </w:r>
      <w:r w:rsidRPr="00194AD9">
        <w:rPr>
          <w:rFonts w:eastAsia="Calibri"/>
          <w:szCs w:val="22"/>
          <w:lang w:val="en-US"/>
        </w:rPr>
        <w:t xml:space="preserve"> In early-stage consolidation, boundary determination and dispute resolution may also be an important element of this service.</w:t>
      </w:r>
    </w:p>
    <w:p w14:paraId="4EB12A1A" w14:textId="650113F1" w:rsidR="00194AD9" w:rsidRPr="00194AD9" w:rsidRDefault="00194AD9" w:rsidP="00AE526D">
      <w:pPr>
        <w:numPr>
          <w:ilvl w:val="0"/>
          <w:numId w:val="21"/>
        </w:numPr>
        <w:spacing w:after="200" w:line="360" w:lineRule="auto"/>
        <w:ind w:left="720"/>
        <w:contextualSpacing/>
        <w:rPr>
          <w:rFonts w:eastAsia="Calibri"/>
          <w:b/>
          <w:szCs w:val="22"/>
          <w:lang w:val="en-US"/>
        </w:rPr>
      </w:pPr>
      <w:r w:rsidRPr="00194AD9">
        <w:rPr>
          <w:rFonts w:eastAsia="Calibri"/>
          <w:b/>
          <w:szCs w:val="22"/>
          <w:lang w:val="en-US"/>
        </w:rPr>
        <w:t xml:space="preserve">House Building Methodologies: </w:t>
      </w:r>
      <w:r w:rsidRPr="00194AD9">
        <w:rPr>
          <w:rFonts w:eastAsia="Calibri"/>
          <w:szCs w:val="22"/>
          <w:lang w:val="en-US"/>
        </w:rPr>
        <w:t xml:space="preserve">Communities and households should be introduced to viable and practical alternative building approaches that may improve speed, quality or cost of house construction. However, it is important too that households are not forced into solutions that do not meet their longer-term housing visions. </w:t>
      </w:r>
    </w:p>
    <w:tbl>
      <w:tblPr>
        <w:tblStyle w:val="TableGrid"/>
        <w:tblpPr w:leftFromText="180" w:rightFromText="180" w:vertAnchor="text" w:tblpX="250" w:tblpY="1"/>
        <w:tblOverlap w:val="never"/>
        <w:tblW w:w="9356" w:type="dxa"/>
        <w:tblBorders>
          <w:insideH w:val="none" w:sz="0" w:space="0" w:color="auto"/>
          <w:insideV w:val="none" w:sz="0" w:space="0" w:color="auto"/>
        </w:tblBorders>
        <w:tblLook w:val="04A0" w:firstRow="1" w:lastRow="0" w:firstColumn="1" w:lastColumn="0" w:noHBand="0" w:noVBand="1"/>
      </w:tblPr>
      <w:tblGrid>
        <w:gridCol w:w="9356"/>
      </w:tblGrid>
      <w:tr w:rsidR="00194AD9" w:rsidRPr="00194AD9" w14:paraId="74500919" w14:textId="77777777" w:rsidTr="007006C3">
        <w:trPr>
          <w:trHeight w:val="458"/>
        </w:trPr>
        <w:tc>
          <w:tcPr>
            <w:tcW w:w="9356" w:type="dxa"/>
            <w:shd w:val="clear" w:color="auto" w:fill="auto"/>
          </w:tcPr>
          <w:p w14:paraId="7DA90DA5" w14:textId="54A16ACD" w:rsidR="00194AD9" w:rsidRPr="00AE5EF1" w:rsidRDefault="007006C3" w:rsidP="00343DBB">
            <w:pPr>
              <w:keepNext/>
              <w:spacing w:after="0"/>
              <w:outlineLvl w:val="1"/>
              <w:rPr>
                <w:rFonts w:cs="Arial"/>
                <w:b/>
                <w:bCs/>
                <w:i/>
                <w:iCs/>
                <w:color w:val="404040" w:themeColor="text1" w:themeTint="BF"/>
                <w:spacing w:val="-6"/>
                <w:sz w:val="20"/>
                <w:szCs w:val="22"/>
                <w:highlight w:val="yellow"/>
                <w:lang w:val="en-US"/>
              </w:rPr>
            </w:pPr>
            <w:r w:rsidRPr="00AE5EF1">
              <w:rPr>
                <w:rFonts w:cs="Arial"/>
                <w:b/>
                <w:bCs/>
                <w:iCs/>
                <w:spacing w:val="-6"/>
                <w:szCs w:val="22"/>
                <w:highlight w:val="yellow"/>
              </w:rPr>
              <w:t>BOX 6</w:t>
            </w:r>
            <w:r w:rsidR="00194AD9" w:rsidRPr="00AE5EF1">
              <w:rPr>
                <w:rFonts w:cs="Arial"/>
                <w:b/>
                <w:bCs/>
                <w:iCs/>
                <w:spacing w:val="-6"/>
                <w:szCs w:val="22"/>
                <w:highlight w:val="yellow"/>
              </w:rPr>
              <w:t xml:space="preserve">: Case Study: Skills Mobilisation (Masithembane, Homeless and Squatters Housing Project (HOSHOP) and Sinako Ukuzenzele, </w:t>
            </w:r>
            <w:r w:rsidR="00194AD9" w:rsidRPr="00AE5EF1">
              <w:rPr>
                <w:rFonts w:cs="Arial"/>
                <w:b/>
                <w:bCs/>
                <w:iCs/>
                <w:spacing w:val="-6"/>
                <w:szCs w:val="22"/>
                <w:highlight w:val="yellow"/>
                <w:lang w:val="en-US"/>
              </w:rPr>
              <w:t>Khayelitsha, Western Cape)</w:t>
            </w:r>
          </w:p>
          <w:p w14:paraId="330F152F" w14:textId="77777777" w:rsidR="00194AD9" w:rsidRPr="00AE5EF1" w:rsidRDefault="00194AD9" w:rsidP="00250EA9">
            <w:pPr>
              <w:keepNext/>
              <w:spacing w:after="0"/>
              <w:ind w:left="994"/>
              <w:outlineLvl w:val="1"/>
              <w:rPr>
                <w:rFonts w:cs="Arial"/>
                <w:b/>
                <w:bCs/>
                <w:iCs/>
                <w:spacing w:val="-6"/>
                <w:szCs w:val="22"/>
                <w:highlight w:val="yellow"/>
              </w:rPr>
            </w:pPr>
          </w:p>
          <w:p w14:paraId="597D69DA" w14:textId="77777777" w:rsidR="00194AD9" w:rsidRPr="00AE5EF1" w:rsidRDefault="00194AD9" w:rsidP="00194AD9">
            <w:pPr>
              <w:rPr>
                <w:rFonts w:cs="Arial"/>
                <w:szCs w:val="22"/>
                <w:highlight w:val="yellow"/>
              </w:rPr>
            </w:pPr>
            <w:r w:rsidRPr="00AE5EF1">
              <w:rPr>
                <w:rFonts w:cs="Arial"/>
                <w:b/>
                <w:szCs w:val="22"/>
                <w:highlight w:val="yellow"/>
              </w:rPr>
              <w:t>Scale:</w:t>
            </w:r>
            <w:r w:rsidRPr="00AE5EF1">
              <w:rPr>
                <w:rFonts w:cs="Arial"/>
                <w:szCs w:val="22"/>
                <w:highlight w:val="yellow"/>
              </w:rPr>
              <w:t xml:space="preserve"> Over 500 households  </w:t>
            </w:r>
            <w:r w:rsidRPr="00AE5EF1">
              <w:rPr>
                <w:rFonts w:cs="Arial"/>
                <w:b/>
                <w:szCs w:val="22"/>
                <w:highlight w:val="yellow"/>
              </w:rPr>
              <w:t>Date/time period:</w:t>
            </w:r>
            <w:r w:rsidRPr="00AE5EF1">
              <w:rPr>
                <w:rFonts w:cs="Arial"/>
                <w:szCs w:val="22"/>
                <w:highlight w:val="yellow"/>
              </w:rPr>
              <w:t xml:space="preserve"> 1997-2002</w:t>
            </w:r>
          </w:p>
          <w:p w14:paraId="3B52B43A" w14:textId="77777777" w:rsidR="00194AD9" w:rsidRPr="00AE5EF1" w:rsidRDefault="00194AD9" w:rsidP="00194AD9">
            <w:pPr>
              <w:rPr>
                <w:rFonts w:cs="Arial"/>
                <w:szCs w:val="22"/>
                <w:highlight w:val="yellow"/>
                <w:lang w:val="en-US"/>
              </w:rPr>
            </w:pPr>
            <w:r w:rsidRPr="00AE5EF1">
              <w:rPr>
                <w:rFonts w:cs="Arial"/>
                <w:b/>
                <w:szCs w:val="22"/>
                <w:highlight w:val="yellow"/>
              </w:rPr>
              <w:t xml:space="preserve">Background: </w:t>
            </w:r>
            <w:r w:rsidRPr="00AE5EF1">
              <w:rPr>
                <w:rFonts w:cs="Arial"/>
                <w:szCs w:val="22"/>
                <w:highlight w:val="yellow"/>
                <w:lang w:val="en-US"/>
              </w:rPr>
              <w:t xml:space="preserve">The case study reviews the transfer and mobilization of skills within a People’s Housing Process project that took place in three settlements in Khayelitsha in the Western Cape. The projects were led by residents who residents came together to form the Masithembane People’s Housing Association, </w:t>
            </w:r>
            <w:r w:rsidRPr="00AE5EF1">
              <w:rPr>
                <w:rFonts w:cs="Arial"/>
                <w:szCs w:val="22"/>
                <w:highlight w:val="yellow"/>
              </w:rPr>
              <w:t>Homeless and Squatters Housing Project</w:t>
            </w:r>
            <w:r w:rsidRPr="00AE5EF1">
              <w:rPr>
                <w:rFonts w:cs="Arial"/>
                <w:szCs w:val="22"/>
                <w:highlight w:val="yellow"/>
                <w:lang w:val="en-US"/>
              </w:rPr>
              <w:t xml:space="preserve">  (HOSHOP) and Sinako Ukuzenzele with the intention to help themselves and others to acquire adequate housing. The settlements at the time had very high densities and Masithembane Site B alone consisted of 9000 serviced sites with over 50 000 people living in shack structures. The communities contacted the Development Action Group (DAG) to assist with the PHP process. Collectively it was decided that the partnership had two key goals: </w:t>
            </w:r>
            <w:r w:rsidRPr="00AE5EF1">
              <w:rPr>
                <w:rFonts w:cs="Arial"/>
                <w:szCs w:val="22"/>
                <w:highlight w:val="yellow"/>
                <w:lang w:val="en-US"/>
              </w:rPr>
              <w:lastRenderedPageBreak/>
              <w:t xml:space="preserve">improving housing conditions and the capacitation of the local communities. </w:t>
            </w:r>
          </w:p>
          <w:p w14:paraId="6ED8DB5A" w14:textId="77777777" w:rsidR="00194AD9" w:rsidRPr="00AE5EF1" w:rsidRDefault="00194AD9" w:rsidP="00194AD9">
            <w:pPr>
              <w:rPr>
                <w:rFonts w:cs="Arial"/>
                <w:szCs w:val="22"/>
                <w:highlight w:val="yellow"/>
              </w:rPr>
            </w:pPr>
            <w:r w:rsidRPr="00AE5EF1">
              <w:rPr>
                <w:rFonts w:cs="Arial"/>
                <w:b/>
                <w:szCs w:val="22"/>
                <w:highlight w:val="yellow"/>
              </w:rPr>
              <w:t xml:space="preserve">Project Intervention and Outcomes: </w:t>
            </w:r>
            <w:r w:rsidRPr="00AE5EF1">
              <w:rPr>
                <w:rFonts w:cs="Arial"/>
                <w:szCs w:val="22"/>
                <w:highlight w:val="yellow"/>
              </w:rPr>
              <w:t xml:space="preserve">Aside from assistance with a savings scheme, which was to be used in addition to the state subsidy to increase the size and quality of the units, offering consistent advice and information and support in engaging with contractors DAG focused much of its support and attention on the capacitation of the local community. The intention was to skill members in a number of areas, including house building but also in training community members who could become permanent resources in the Housing Support centres that they also wanted to establish within the areas. </w:t>
            </w:r>
          </w:p>
          <w:p w14:paraId="1063F413" w14:textId="77777777" w:rsidR="00194AD9" w:rsidRPr="00AE5EF1" w:rsidRDefault="00194AD9" w:rsidP="00194AD9">
            <w:pPr>
              <w:tabs>
                <w:tab w:val="center" w:pos="4513"/>
                <w:tab w:val="right" w:pos="9026"/>
              </w:tabs>
              <w:rPr>
                <w:rFonts w:eastAsiaTheme="minorHAnsi" w:cs="Arial"/>
                <w:szCs w:val="22"/>
                <w:highlight w:val="yellow"/>
              </w:rPr>
            </w:pPr>
            <w:r w:rsidRPr="00AE5EF1">
              <w:rPr>
                <w:rFonts w:eastAsiaTheme="minorHAnsi" w:cs="Arial"/>
                <w:szCs w:val="22"/>
                <w:highlight w:val="yellow"/>
              </w:rPr>
              <w:t>DAG offered three types of skills mobilisation: the first was through the assistance in materials development, in which a block yard was started in HOSHOP with funds from the Provincial Department of Social Services to develop skills, create jobs and save money by supplying blocks at reduced prices to beneficiaries in the project. The second, was that DAG through their Housing Leadership Course, Community Housing Development Management, trained HOSHOP community members around materials mobilisation, in particular the ordering of materials and monitoring construction, and then supervised the first six months of the implementation phase in the HOSHOP project to assist in embedding these skills. Third, they provided workshops and training sessions for community members on technical issues such as the housing delivery cycle, government subsidies and house design. Last, through the various courses that DAG offered they were able to skill and capacitate community members to become full time resources at the Housing Support Centre.</w:t>
            </w:r>
          </w:p>
          <w:p w14:paraId="6597316D" w14:textId="77777777" w:rsidR="00194AD9" w:rsidRPr="00194AD9" w:rsidRDefault="00194AD9" w:rsidP="00194AD9">
            <w:pPr>
              <w:tabs>
                <w:tab w:val="center" w:pos="4513"/>
                <w:tab w:val="right" w:pos="9026"/>
              </w:tabs>
              <w:rPr>
                <w:rFonts w:cs="Arial"/>
                <w:szCs w:val="22"/>
              </w:rPr>
            </w:pPr>
            <w:r w:rsidRPr="00AE5EF1">
              <w:rPr>
                <w:rFonts w:eastAsiaTheme="minorHAnsi" w:cs="Arial"/>
                <w:b/>
                <w:szCs w:val="22"/>
                <w:highlight w:val="yellow"/>
              </w:rPr>
              <w:t xml:space="preserve">Comment: </w:t>
            </w:r>
            <w:r w:rsidRPr="00AE5EF1">
              <w:rPr>
                <w:rFonts w:eastAsiaTheme="minorHAnsi" w:cs="Arial"/>
                <w:szCs w:val="22"/>
                <w:highlight w:val="yellow"/>
              </w:rPr>
              <w:t>This project is considered to be one of the few successful cases of a full PHP project and is cited as best practise study. However, aside from the very important aspect of housing provision, the case demonstrates how consolidation projects can be used for the achievement of larger goals such as empowerment and capacitation. Over the life time of the project over 70 people were employed as builders, and there has also been ongoing employment as households extend their new homes.  According to the USN report, “A further dozen people were employed in the housing support centres and the HOSHOP block yard. Volunteers working in the housing support centre also learned new skills relating to management and administration”. The skills mobilisation has been so successful that DAG has largely pulled out of the area and the Housing Support Centres have apparently become self-sustaining and independent.</w:t>
            </w:r>
          </w:p>
        </w:tc>
      </w:tr>
    </w:tbl>
    <w:p w14:paraId="3D79F081" w14:textId="77777777" w:rsidR="00194AD9" w:rsidRPr="00194AD9" w:rsidRDefault="00194AD9" w:rsidP="00194AD9">
      <w:pPr>
        <w:jc w:val="left"/>
        <w:rPr>
          <w:b/>
        </w:rPr>
      </w:pPr>
    </w:p>
    <w:p w14:paraId="0A0C5869" w14:textId="77777777" w:rsidR="00194AD9" w:rsidRPr="00194AD9" w:rsidRDefault="00194AD9" w:rsidP="0055634E">
      <w:pPr>
        <w:numPr>
          <w:ilvl w:val="0"/>
          <w:numId w:val="21"/>
        </w:numPr>
        <w:spacing w:after="200" w:line="360" w:lineRule="auto"/>
        <w:ind w:left="720"/>
        <w:contextualSpacing/>
        <w:jc w:val="left"/>
        <w:rPr>
          <w:rFonts w:eastAsia="Calibri"/>
          <w:b/>
          <w:szCs w:val="22"/>
          <w:lang w:val="en-US"/>
        </w:rPr>
      </w:pPr>
      <w:r w:rsidRPr="00194AD9">
        <w:rPr>
          <w:rFonts w:eastAsia="Calibri"/>
          <w:b/>
          <w:szCs w:val="22"/>
          <w:lang w:val="en-US"/>
        </w:rPr>
        <w:t xml:space="preserve">House Design and Costing: </w:t>
      </w:r>
      <w:r w:rsidRPr="00194AD9">
        <w:rPr>
          <w:rFonts w:eastAsia="Calibri"/>
          <w:szCs w:val="22"/>
          <w:lang w:val="en-US"/>
        </w:rPr>
        <w:t xml:space="preserve">Overall house design support is also an important area for technical assistance (Box 4 provides a case study of this approach).  </w:t>
      </w:r>
    </w:p>
    <w:p w14:paraId="16A87BEE" w14:textId="77777777" w:rsidR="00194AD9" w:rsidRPr="00194AD9" w:rsidRDefault="00194AD9" w:rsidP="0055634E">
      <w:pPr>
        <w:numPr>
          <w:ilvl w:val="1"/>
          <w:numId w:val="21"/>
        </w:numPr>
        <w:spacing w:after="200" w:line="360" w:lineRule="auto"/>
        <w:ind w:left="1080"/>
        <w:contextualSpacing/>
        <w:rPr>
          <w:rFonts w:eastAsia="Calibri"/>
          <w:b/>
          <w:szCs w:val="22"/>
          <w:lang w:val="en-US"/>
        </w:rPr>
      </w:pPr>
      <w:r w:rsidRPr="00194AD9">
        <w:rPr>
          <w:rFonts w:eastAsia="Calibri"/>
          <w:szCs w:val="22"/>
          <w:lang w:val="en-US"/>
        </w:rPr>
        <w:t xml:space="preserve">Provision of standardized, possibly pre-approved </w:t>
      </w:r>
      <w:r w:rsidRPr="00194AD9">
        <w:rPr>
          <w:rFonts w:eastAsia="Calibri"/>
          <w:b/>
          <w:szCs w:val="22"/>
          <w:lang w:val="en-US"/>
        </w:rPr>
        <w:t>house plans</w:t>
      </w:r>
      <w:r w:rsidRPr="00194AD9">
        <w:rPr>
          <w:rFonts w:eastAsia="Calibri"/>
          <w:szCs w:val="22"/>
          <w:lang w:val="en-US"/>
        </w:rPr>
        <w:t xml:space="preserve"> is an important first step to giving households a starting point. These should be developed in a way that clearly supports an incremental construction process over multiple years.</w:t>
      </w:r>
    </w:p>
    <w:p w14:paraId="58A70D63" w14:textId="77777777" w:rsidR="00194AD9" w:rsidRPr="00194AD9" w:rsidRDefault="00194AD9" w:rsidP="0055634E">
      <w:pPr>
        <w:numPr>
          <w:ilvl w:val="1"/>
          <w:numId w:val="21"/>
        </w:numPr>
        <w:spacing w:after="200" w:line="360" w:lineRule="auto"/>
        <w:ind w:left="1080"/>
        <w:contextualSpacing/>
        <w:rPr>
          <w:rFonts w:eastAsia="Calibri"/>
          <w:b/>
          <w:szCs w:val="22"/>
          <w:lang w:val="en-US"/>
        </w:rPr>
      </w:pPr>
      <w:r w:rsidRPr="00194AD9">
        <w:rPr>
          <w:rFonts w:eastAsia="Calibri"/>
          <w:szCs w:val="22"/>
          <w:lang w:val="en-US"/>
        </w:rPr>
        <w:t xml:space="preserve">These may even include basic </w:t>
      </w:r>
      <w:r w:rsidRPr="00194AD9">
        <w:rPr>
          <w:rFonts w:eastAsia="Calibri"/>
          <w:b/>
          <w:szCs w:val="22"/>
          <w:lang w:val="en-US"/>
        </w:rPr>
        <w:t>bills of quantities and indicative costs</w:t>
      </w:r>
      <w:r w:rsidRPr="00194AD9">
        <w:rPr>
          <w:rFonts w:eastAsia="Calibri"/>
          <w:szCs w:val="22"/>
          <w:lang w:val="en-US"/>
        </w:rPr>
        <w:t xml:space="preserve"> to assist households with planning affordability and phasing of consolidation. </w:t>
      </w:r>
    </w:p>
    <w:p w14:paraId="1BB96416" w14:textId="77777777" w:rsidR="00194AD9" w:rsidRPr="00194AD9" w:rsidRDefault="00194AD9" w:rsidP="0055634E">
      <w:pPr>
        <w:numPr>
          <w:ilvl w:val="1"/>
          <w:numId w:val="21"/>
        </w:numPr>
        <w:spacing w:after="200" w:line="360" w:lineRule="auto"/>
        <w:ind w:left="1080"/>
        <w:contextualSpacing/>
        <w:rPr>
          <w:rFonts w:eastAsia="Calibri"/>
          <w:b/>
          <w:szCs w:val="22"/>
          <w:lang w:val="en-US"/>
        </w:rPr>
      </w:pPr>
      <w:r w:rsidRPr="00194AD9">
        <w:rPr>
          <w:rFonts w:eastAsia="Calibri"/>
          <w:szCs w:val="22"/>
          <w:lang w:val="en-US"/>
        </w:rPr>
        <w:t xml:space="preserve">Where standardized plans are not provided, or households wish to build larger or more complicated structures, limited </w:t>
      </w:r>
      <w:r w:rsidRPr="00194AD9">
        <w:rPr>
          <w:rFonts w:eastAsia="Calibri"/>
          <w:b/>
          <w:szCs w:val="22"/>
          <w:lang w:val="en-US"/>
        </w:rPr>
        <w:t>design and structural engineering input</w:t>
      </w:r>
      <w:r w:rsidRPr="00194AD9">
        <w:rPr>
          <w:rFonts w:eastAsia="Calibri"/>
          <w:szCs w:val="22"/>
          <w:lang w:val="en-US"/>
        </w:rPr>
        <w:t xml:space="preserve"> from </w:t>
      </w:r>
      <w:r w:rsidRPr="00194AD9">
        <w:rPr>
          <w:rFonts w:eastAsia="Calibri"/>
          <w:szCs w:val="22"/>
          <w:lang w:val="en-US"/>
        </w:rPr>
        <w:lastRenderedPageBreak/>
        <w:t xml:space="preserve">architects or engineers early on in the process will set a solid base for long term house consolidation.  </w:t>
      </w:r>
    </w:p>
    <w:p w14:paraId="324160A8" w14:textId="77777777" w:rsidR="00194AD9" w:rsidRPr="00194AD9" w:rsidRDefault="00194AD9" w:rsidP="0055634E">
      <w:pPr>
        <w:numPr>
          <w:ilvl w:val="1"/>
          <w:numId w:val="21"/>
        </w:numPr>
        <w:spacing w:after="200" w:line="360" w:lineRule="auto"/>
        <w:ind w:left="1080"/>
        <w:contextualSpacing/>
        <w:rPr>
          <w:rFonts w:eastAsia="Calibri"/>
          <w:b/>
          <w:szCs w:val="22"/>
          <w:lang w:val="en-US"/>
        </w:rPr>
      </w:pPr>
      <w:r w:rsidRPr="00194AD9">
        <w:rPr>
          <w:rFonts w:eastAsia="Calibri"/>
          <w:szCs w:val="22"/>
          <w:lang w:val="en-US"/>
        </w:rPr>
        <w:t xml:space="preserve">In more dense settlements, </w:t>
      </w:r>
      <w:r w:rsidRPr="00194AD9">
        <w:rPr>
          <w:rFonts w:eastAsia="Calibri"/>
          <w:b/>
          <w:szCs w:val="22"/>
          <w:lang w:val="en-US"/>
        </w:rPr>
        <w:t>structural design assistance</w:t>
      </w:r>
      <w:r w:rsidRPr="00194AD9">
        <w:rPr>
          <w:rFonts w:eastAsia="Calibri"/>
          <w:szCs w:val="22"/>
          <w:lang w:val="en-US"/>
        </w:rPr>
        <w:t xml:space="preserve"> with constructing ‘pillar and slab’ arrangements that provide for two-story construction is also critical.  </w:t>
      </w:r>
    </w:p>
    <w:p w14:paraId="1125DD82" w14:textId="77777777" w:rsidR="00194AD9" w:rsidRPr="00194AD9" w:rsidRDefault="00194AD9" w:rsidP="0055634E">
      <w:pPr>
        <w:numPr>
          <w:ilvl w:val="1"/>
          <w:numId w:val="21"/>
        </w:numPr>
        <w:spacing w:after="200" w:line="360" w:lineRule="auto"/>
        <w:ind w:left="1080"/>
        <w:contextualSpacing/>
        <w:rPr>
          <w:rFonts w:eastAsia="Calibri"/>
          <w:b/>
          <w:szCs w:val="22"/>
          <w:lang w:val="en-US"/>
        </w:rPr>
      </w:pPr>
      <w:r w:rsidRPr="00194AD9">
        <w:rPr>
          <w:rFonts w:eastAsia="Calibri"/>
          <w:szCs w:val="22"/>
          <w:lang w:val="en-US"/>
        </w:rPr>
        <w:t xml:space="preserve">Furthermore, </w:t>
      </w:r>
      <w:r w:rsidRPr="00194AD9">
        <w:rPr>
          <w:rFonts w:eastAsia="Calibri"/>
          <w:b/>
          <w:szCs w:val="22"/>
          <w:lang w:val="en-US"/>
        </w:rPr>
        <w:t>negotiating ‘party walls’ or town planning concessions</w:t>
      </w:r>
      <w:r w:rsidRPr="00194AD9">
        <w:rPr>
          <w:rFonts w:eastAsia="Calibri"/>
          <w:szCs w:val="22"/>
          <w:lang w:val="en-US"/>
        </w:rPr>
        <w:t xml:space="preserve"> between neighbours and between households and municipalities can also assist to stimulate house development.</w:t>
      </w:r>
    </w:p>
    <w:p w14:paraId="74AF7AD9" w14:textId="77777777" w:rsidR="00194AD9" w:rsidRPr="00194AD9" w:rsidRDefault="00194AD9" w:rsidP="0055634E">
      <w:pPr>
        <w:numPr>
          <w:ilvl w:val="1"/>
          <w:numId w:val="21"/>
        </w:numPr>
        <w:spacing w:after="200" w:line="360" w:lineRule="auto"/>
        <w:ind w:left="1080"/>
        <w:contextualSpacing/>
        <w:jc w:val="left"/>
        <w:rPr>
          <w:rFonts w:eastAsia="Calibri"/>
          <w:szCs w:val="22"/>
          <w:lang w:val="en-US"/>
        </w:rPr>
      </w:pPr>
      <w:r w:rsidRPr="00194AD9">
        <w:rPr>
          <w:rFonts w:eastAsia="Calibri"/>
          <w:szCs w:val="22"/>
          <w:lang w:val="en-US"/>
        </w:rPr>
        <w:t xml:space="preserve">Design options facilitating </w:t>
      </w:r>
      <w:r w:rsidRPr="00194AD9">
        <w:rPr>
          <w:rFonts w:eastAsia="Calibri"/>
          <w:b/>
          <w:szCs w:val="22"/>
          <w:lang w:val="en-US"/>
        </w:rPr>
        <w:t>improved efficiencies or quality of life.</w:t>
      </w:r>
    </w:p>
    <w:tbl>
      <w:tblPr>
        <w:tblStyle w:val="TableGrid"/>
        <w:tblpPr w:leftFromText="180" w:rightFromText="180" w:vertAnchor="text" w:tblpX="250" w:tblpY="1"/>
        <w:tblOverlap w:val="never"/>
        <w:tblW w:w="9356" w:type="dxa"/>
        <w:tblBorders>
          <w:insideH w:val="none" w:sz="0" w:space="0" w:color="auto"/>
          <w:insideV w:val="none" w:sz="0" w:space="0" w:color="auto"/>
        </w:tblBorders>
        <w:tblLook w:val="04A0" w:firstRow="1" w:lastRow="0" w:firstColumn="1" w:lastColumn="0" w:noHBand="0" w:noVBand="1"/>
      </w:tblPr>
      <w:tblGrid>
        <w:gridCol w:w="9356"/>
      </w:tblGrid>
      <w:tr w:rsidR="00194AD9" w:rsidRPr="00194AD9" w14:paraId="74237F4F" w14:textId="77777777" w:rsidTr="007006C3">
        <w:trPr>
          <w:trHeight w:val="458"/>
        </w:trPr>
        <w:tc>
          <w:tcPr>
            <w:tcW w:w="9356" w:type="dxa"/>
            <w:shd w:val="clear" w:color="auto" w:fill="auto"/>
          </w:tcPr>
          <w:p w14:paraId="0B08C0A2" w14:textId="255AB574" w:rsidR="00194AD9" w:rsidRDefault="00194AD9" w:rsidP="00250EA9">
            <w:pPr>
              <w:keepNext/>
              <w:spacing w:after="0"/>
              <w:ind w:left="994"/>
              <w:outlineLvl w:val="1"/>
              <w:rPr>
                <w:rFonts w:cs="Arial"/>
                <w:b/>
                <w:bCs/>
                <w:i/>
                <w:iCs/>
                <w:color w:val="404040" w:themeColor="text1" w:themeTint="BF"/>
                <w:spacing w:val="-6"/>
                <w:sz w:val="20"/>
                <w:szCs w:val="22"/>
              </w:rPr>
            </w:pPr>
            <w:r w:rsidRPr="00194AD9">
              <w:rPr>
                <w:rFonts w:cs="Arial"/>
                <w:b/>
                <w:bCs/>
                <w:iCs/>
                <w:spacing w:val="-6"/>
                <w:szCs w:val="22"/>
              </w:rPr>
              <w:t xml:space="preserve">Box </w:t>
            </w:r>
            <w:r w:rsidR="007006C3">
              <w:rPr>
                <w:rFonts w:cs="Arial"/>
                <w:b/>
                <w:bCs/>
                <w:iCs/>
                <w:spacing w:val="-6"/>
                <w:szCs w:val="22"/>
              </w:rPr>
              <w:t>7</w:t>
            </w:r>
            <w:r w:rsidRPr="00194AD9">
              <w:rPr>
                <w:rFonts w:cs="Arial"/>
                <w:b/>
                <w:bCs/>
                <w:iCs/>
                <w:spacing w:val="-6"/>
                <w:szCs w:val="22"/>
              </w:rPr>
              <w:t>: Case Study:  Assistance with housing design and positioning (Inanda Newtown, KZN)</w:t>
            </w:r>
          </w:p>
          <w:p w14:paraId="64AC8ADB" w14:textId="77777777" w:rsidR="00194AD9" w:rsidRPr="00194AD9" w:rsidRDefault="00194AD9" w:rsidP="00250EA9">
            <w:pPr>
              <w:keepNext/>
              <w:spacing w:after="0"/>
              <w:ind w:left="994"/>
              <w:outlineLvl w:val="1"/>
              <w:rPr>
                <w:rFonts w:cs="Arial"/>
                <w:b/>
                <w:bCs/>
                <w:iCs/>
                <w:spacing w:val="-6"/>
                <w:szCs w:val="22"/>
              </w:rPr>
            </w:pPr>
          </w:p>
          <w:p w14:paraId="69D2CC9C" w14:textId="77777777" w:rsidR="00194AD9" w:rsidRPr="00194AD9" w:rsidRDefault="00194AD9" w:rsidP="00194AD9">
            <w:pPr>
              <w:rPr>
                <w:rFonts w:cs="Arial"/>
                <w:szCs w:val="22"/>
              </w:rPr>
            </w:pPr>
            <w:r w:rsidRPr="00194AD9">
              <w:rPr>
                <w:rFonts w:cs="Arial"/>
                <w:b/>
                <w:szCs w:val="22"/>
              </w:rPr>
              <w:t>Scale:</w:t>
            </w:r>
            <w:r w:rsidRPr="00194AD9">
              <w:rPr>
                <w:rFonts w:cs="Arial"/>
                <w:szCs w:val="22"/>
              </w:rPr>
              <w:t xml:space="preserve"> 4000 site &amp; service schemes incrementally converted to formal units </w:t>
            </w:r>
            <w:r w:rsidRPr="00194AD9">
              <w:rPr>
                <w:rFonts w:cs="Arial"/>
                <w:b/>
                <w:szCs w:val="22"/>
              </w:rPr>
              <w:t>Date</w:t>
            </w:r>
            <w:r w:rsidRPr="00194AD9">
              <w:rPr>
                <w:rFonts w:cs="Arial"/>
                <w:szCs w:val="22"/>
              </w:rPr>
              <w:t>: 1980</w:t>
            </w:r>
          </w:p>
          <w:p w14:paraId="57005AA2" w14:textId="77777777" w:rsidR="00194AD9" w:rsidRPr="00194AD9" w:rsidRDefault="00194AD9" w:rsidP="00194AD9">
            <w:pPr>
              <w:rPr>
                <w:rFonts w:cs="Arial"/>
                <w:szCs w:val="22"/>
              </w:rPr>
            </w:pPr>
            <w:r w:rsidRPr="00194AD9">
              <w:rPr>
                <w:rFonts w:cs="Arial"/>
                <w:b/>
                <w:szCs w:val="22"/>
              </w:rPr>
              <w:t xml:space="preserve">Background: </w:t>
            </w:r>
            <w:r w:rsidRPr="00194AD9">
              <w:rPr>
                <w:rFonts w:cs="Arial"/>
                <w:szCs w:val="22"/>
              </w:rPr>
              <w:t xml:space="preserve">This project had a number of aspects and phases to it, the shack upgrading phase will be discussed later in this chapter, whereas this section focuses on the initial design that the developers encouraged, which supported incremental growth through clear design principles and house positioning within the site. </w:t>
            </w:r>
          </w:p>
          <w:p w14:paraId="43A1CA26" w14:textId="77777777" w:rsidR="00194AD9" w:rsidRPr="00194AD9" w:rsidRDefault="00194AD9" w:rsidP="00194AD9">
            <w:pPr>
              <w:rPr>
                <w:rFonts w:cs="Arial"/>
                <w:szCs w:val="22"/>
              </w:rPr>
            </w:pPr>
            <w:r w:rsidRPr="00194AD9">
              <w:rPr>
                <w:rFonts w:cs="Arial"/>
                <w:b/>
                <w:szCs w:val="22"/>
              </w:rPr>
              <w:t xml:space="preserve">Project Intervention and Outcomes: </w:t>
            </w:r>
            <w:r w:rsidRPr="00194AD9">
              <w:rPr>
                <w:rFonts w:cs="Arial"/>
                <w:szCs w:val="22"/>
              </w:rPr>
              <w:t xml:space="preserve">In the Inanda Newtown case a core house was offered with the intention that it could be extended as such, and where possible depending on topography, houses were situated so as to ensure that the greatest possible amount of space was left available to allow for extensions. Furthermore, the house was designed in such a way that the unit could be extended along the ridge of the roof. </w:t>
            </w:r>
          </w:p>
          <w:p w14:paraId="30D4F0B8" w14:textId="77777777" w:rsidR="00194AD9" w:rsidRPr="00194AD9" w:rsidRDefault="00194AD9" w:rsidP="00194AD9">
            <w:pPr>
              <w:rPr>
                <w:rFonts w:cs="Arial"/>
              </w:rPr>
            </w:pPr>
            <w:r w:rsidRPr="00194AD9">
              <w:rPr>
                <w:rFonts w:cs="Arial"/>
                <w:b/>
                <w:noProof/>
                <w:szCs w:val="22"/>
                <w:lang w:eastAsia="en-GB"/>
              </w:rPr>
              <w:t xml:space="preserve">Comment: </w:t>
            </w:r>
            <w:r w:rsidRPr="00194AD9">
              <w:rPr>
                <w:rFonts w:cs="Arial"/>
                <w:szCs w:val="22"/>
              </w:rPr>
              <w:t xml:space="preserve">The approach has largely been considered successful, as when researchers went back to evaluate the project, it was found that formal extensions to the original units, extended the houses from approximately 43m² to 70m², which constitutes and extension of 63%. The design has also been considered useful as households used the “design cues” to build along roof ride that the designers intended. This very brief case demonstrates how even a very small but well-thought out intervention can assist and encourage the incremental improvement of units over time. </w:t>
            </w:r>
          </w:p>
        </w:tc>
      </w:tr>
    </w:tbl>
    <w:p w14:paraId="10D7E9F2" w14:textId="77777777" w:rsidR="00194AD9" w:rsidRPr="00194AD9" w:rsidRDefault="00194AD9" w:rsidP="00194AD9">
      <w:pPr>
        <w:rPr>
          <w:rFonts w:cs="Arial"/>
          <w:i/>
          <w:szCs w:val="22"/>
        </w:rPr>
      </w:pPr>
    </w:p>
    <w:p w14:paraId="4636A049" w14:textId="77777777" w:rsidR="00194AD9" w:rsidRPr="00194AD9" w:rsidRDefault="00194AD9" w:rsidP="0055634E">
      <w:pPr>
        <w:numPr>
          <w:ilvl w:val="0"/>
          <w:numId w:val="21"/>
        </w:numPr>
        <w:spacing w:after="200" w:line="360" w:lineRule="auto"/>
        <w:ind w:left="720"/>
        <w:contextualSpacing/>
        <w:jc w:val="left"/>
        <w:rPr>
          <w:rFonts w:eastAsia="Calibri"/>
          <w:b/>
          <w:szCs w:val="22"/>
          <w:lang w:val="en-US"/>
        </w:rPr>
      </w:pPr>
      <w:r w:rsidRPr="00194AD9">
        <w:rPr>
          <w:rFonts w:eastAsia="Calibri"/>
          <w:b/>
          <w:szCs w:val="22"/>
          <w:lang w:val="en-US"/>
        </w:rPr>
        <w:t xml:space="preserve">Household Construction Management Support: </w:t>
      </w:r>
    </w:p>
    <w:p w14:paraId="38AFF347" w14:textId="77777777" w:rsidR="00194AD9" w:rsidRPr="00194AD9" w:rsidRDefault="00194AD9" w:rsidP="0055634E">
      <w:pPr>
        <w:numPr>
          <w:ilvl w:val="1"/>
          <w:numId w:val="21"/>
        </w:numPr>
        <w:spacing w:after="200" w:line="360" w:lineRule="auto"/>
        <w:ind w:left="1080"/>
        <w:contextualSpacing/>
        <w:rPr>
          <w:rFonts w:eastAsia="Calibri"/>
          <w:szCs w:val="22"/>
          <w:lang w:val="en-US"/>
        </w:rPr>
      </w:pPr>
      <w:r w:rsidRPr="00194AD9">
        <w:rPr>
          <w:rFonts w:eastAsia="Calibri"/>
          <w:b/>
          <w:szCs w:val="22"/>
          <w:lang w:val="en-US"/>
        </w:rPr>
        <w:t xml:space="preserve">Lists of local contractors, and artisans </w:t>
      </w:r>
      <w:r w:rsidRPr="00194AD9">
        <w:rPr>
          <w:rFonts w:eastAsia="Calibri"/>
          <w:szCs w:val="22"/>
          <w:lang w:val="en-US"/>
        </w:rPr>
        <w:t xml:space="preserve">can assist households to source service providers known to them. </w:t>
      </w:r>
      <w:r w:rsidRPr="00194AD9">
        <w:rPr>
          <w:rFonts w:eastAsia="Calibri" w:cs="Arial"/>
          <w:color w:val="000000"/>
          <w:szCs w:val="22"/>
          <w:lang w:val="en-US" w:eastAsia="en-GB"/>
        </w:rPr>
        <w:t>There are many people who claim to have the requisite skills, however it is sometimes difficult for households to assess whether those claiming that they are professionals are who they say they are</w:t>
      </w:r>
      <w:r w:rsidRPr="00194AD9">
        <w:rPr>
          <w:rFonts w:eastAsia="Calibri"/>
          <w:szCs w:val="22"/>
          <w:lang w:val="en-US"/>
        </w:rPr>
        <w:t xml:space="preserve"> and can provide the requisite services.</w:t>
      </w:r>
    </w:p>
    <w:p w14:paraId="5114ADB4" w14:textId="77777777" w:rsidR="00194AD9" w:rsidRPr="00194AD9" w:rsidRDefault="00194AD9" w:rsidP="0055634E">
      <w:pPr>
        <w:numPr>
          <w:ilvl w:val="1"/>
          <w:numId w:val="21"/>
        </w:numPr>
        <w:spacing w:after="200" w:line="360" w:lineRule="auto"/>
        <w:ind w:left="1080"/>
        <w:contextualSpacing/>
        <w:rPr>
          <w:rFonts w:eastAsia="Calibri"/>
          <w:szCs w:val="22"/>
          <w:lang w:val="en-US"/>
        </w:rPr>
      </w:pPr>
      <w:r w:rsidRPr="00194AD9">
        <w:rPr>
          <w:rFonts w:eastAsia="Calibri"/>
          <w:szCs w:val="22"/>
          <w:lang w:val="en-US"/>
        </w:rPr>
        <w:t xml:space="preserve">Basic legal or paralegal support providing </w:t>
      </w:r>
      <w:r w:rsidRPr="00194AD9">
        <w:rPr>
          <w:rFonts w:eastAsia="Calibri"/>
          <w:b/>
          <w:szCs w:val="22"/>
          <w:lang w:val="en-US"/>
        </w:rPr>
        <w:t xml:space="preserve">contracting assistance </w:t>
      </w:r>
      <w:r w:rsidRPr="00194AD9">
        <w:rPr>
          <w:rFonts w:eastAsia="Calibri"/>
          <w:szCs w:val="22"/>
          <w:lang w:val="en-US"/>
        </w:rPr>
        <w:t xml:space="preserve">is a critical intervention. While most construction activity occurs without formal contracts, educating households regarding the importance of having a basic construction </w:t>
      </w:r>
      <w:r w:rsidRPr="00194AD9">
        <w:rPr>
          <w:rFonts w:eastAsia="Calibri"/>
          <w:szCs w:val="22"/>
          <w:lang w:val="en-US"/>
        </w:rPr>
        <w:lastRenderedPageBreak/>
        <w:t>contract in place, and assisting with simple, standardized contract documents is an important TA input.</w:t>
      </w:r>
    </w:p>
    <w:p w14:paraId="2158B419" w14:textId="77777777" w:rsidR="00194AD9" w:rsidRPr="00194AD9" w:rsidRDefault="00194AD9" w:rsidP="0055634E">
      <w:pPr>
        <w:numPr>
          <w:ilvl w:val="1"/>
          <w:numId w:val="21"/>
        </w:numPr>
        <w:spacing w:after="200" w:line="360" w:lineRule="auto"/>
        <w:ind w:left="1080"/>
        <w:contextualSpacing/>
        <w:rPr>
          <w:rFonts w:eastAsia="Calibri"/>
          <w:szCs w:val="22"/>
          <w:lang w:val="en-US"/>
        </w:rPr>
      </w:pPr>
      <w:r w:rsidRPr="00194AD9">
        <w:rPr>
          <w:rFonts w:eastAsia="Calibri"/>
          <w:b/>
          <w:szCs w:val="22"/>
          <w:lang w:val="en-US"/>
        </w:rPr>
        <w:t xml:space="preserve">Sourcing of contractors </w:t>
      </w:r>
      <w:r w:rsidRPr="00194AD9">
        <w:rPr>
          <w:rFonts w:eastAsia="Calibri"/>
          <w:szCs w:val="22"/>
          <w:lang w:val="en-US"/>
        </w:rPr>
        <w:t xml:space="preserve">with a good track record can also assist households. </w:t>
      </w:r>
    </w:p>
    <w:p w14:paraId="6301F786" w14:textId="77777777" w:rsidR="00194AD9" w:rsidRPr="00194AD9" w:rsidRDefault="00194AD9" w:rsidP="0055634E">
      <w:pPr>
        <w:numPr>
          <w:ilvl w:val="1"/>
          <w:numId w:val="21"/>
        </w:numPr>
        <w:spacing w:after="200" w:line="360" w:lineRule="auto"/>
        <w:ind w:left="1080"/>
        <w:contextualSpacing/>
        <w:rPr>
          <w:rFonts w:eastAsia="Calibri"/>
          <w:szCs w:val="22"/>
          <w:lang w:val="en-US"/>
        </w:rPr>
      </w:pPr>
      <w:r w:rsidRPr="00194AD9">
        <w:rPr>
          <w:rFonts w:eastAsia="Calibri"/>
          <w:szCs w:val="22"/>
          <w:lang w:val="en-US"/>
        </w:rPr>
        <w:t xml:space="preserve">Occasional milestone based inspections coupled with technical advice. Suggested </w:t>
      </w:r>
      <w:r w:rsidRPr="00194AD9">
        <w:rPr>
          <w:rFonts w:eastAsia="Calibri"/>
          <w:b/>
          <w:szCs w:val="22"/>
          <w:lang w:val="en-US"/>
        </w:rPr>
        <w:t xml:space="preserve">inspection points </w:t>
      </w:r>
      <w:r w:rsidRPr="00194AD9">
        <w:rPr>
          <w:rFonts w:eastAsia="Calibri"/>
          <w:szCs w:val="22"/>
          <w:lang w:val="en-US"/>
        </w:rPr>
        <w:t xml:space="preserve">during building activity at critical stages (e.g. site layout, foundation completion, wallplate and roof to ensure compliance with building standards.  This may be implemented as a </w:t>
      </w:r>
      <w:r w:rsidRPr="00194AD9">
        <w:rPr>
          <w:rFonts w:eastAsia="Calibri"/>
          <w:b/>
          <w:szCs w:val="22"/>
          <w:lang w:val="en-US"/>
        </w:rPr>
        <w:t>municipal / IA partnership</w:t>
      </w:r>
      <w:r w:rsidRPr="00194AD9">
        <w:rPr>
          <w:rFonts w:eastAsia="Calibri"/>
          <w:szCs w:val="22"/>
          <w:lang w:val="en-US"/>
        </w:rPr>
        <w:t xml:space="preserve"> the municipal building control officials. Given capacity constraints in many municipalities, this may well become a core function of house development support in UISP projects.</w:t>
      </w:r>
    </w:p>
    <w:p w14:paraId="5D81C4B7" w14:textId="77777777" w:rsidR="00194AD9" w:rsidRPr="00194AD9" w:rsidRDefault="00194AD9" w:rsidP="0055634E">
      <w:pPr>
        <w:numPr>
          <w:ilvl w:val="0"/>
          <w:numId w:val="21"/>
        </w:numPr>
        <w:spacing w:after="200" w:line="360" w:lineRule="auto"/>
        <w:ind w:left="720"/>
        <w:contextualSpacing/>
        <w:rPr>
          <w:rFonts w:eastAsia="Calibri"/>
          <w:b/>
          <w:szCs w:val="22"/>
          <w:lang w:val="en-US"/>
        </w:rPr>
      </w:pPr>
      <w:r w:rsidRPr="00194AD9">
        <w:rPr>
          <w:rFonts w:eastAsia="Calibri"/>
          <w:b/>
          <w:szCs w:val="22"/>
          <w:lang w:val="en-US"/>
        </w:rPr>
        <w:t xml:space="preserve">Training and assistance for self-build processes </w:t>
      </w:r>
      <w:r w:rsidRPr="00194AD9">
        <w:rPr>
          <w:rFonts w:eastAsia="Calibri"/>
          <w:szCs w:val="22"/>
          <w:lang w:val="en-US"/>
        </w:rPr>
        <w:t>is critical. Quality control is one of the major problems acknowledged in self-build and mutual-build programmes.</w:t>
      </w:r>
    </w:p>
    <w:p w14:paraId="5664960B" w14:textId="77777777" w:rsidR="00194AD9" w:rsidRPr="00194AD9" w:rsidRDefault="00194AD9" w:rsidP="0055634E">
      <w:pPr>
        <w:numPr>
          <w:ilvl w:val="0"/>
          <w:numId w:val="21"/>
        </w:numPr>
        <w:spacing w:after="200" w:line="360" w:lineRule="auto"/>
        <w:ind w:left="720"/>
        <w:contextualSpacing/>
        <w:rPr>
          <w:rFonts w:eastAsia="Calibri" w:cs="Arial"/>
          <w:szCs w:val="22"/>
          <w:lang w:val="en-US"/>
        </w:rPr>
      </w:pPr>
      <w:r w:rsidRPr="00194AD9">
        <w:rPr>
          <w:rFonts w:eastAsia="Calibri" w:cs="Arial"/>
          <w:b/>
          <w:szCs w:val="22"/>
          <w:lang w:val="en-US"/>
        </w:rPr>
        <w:t>Building Materials Access:</w:t>
      </w:r>
      <w:r w:rsidRPr="00194AD9">
        <w:rPr>
          <w:rFonts w:eastAsia="Calibri" w:cs="Arial"/>
          <w:szCs w:val="22"/>
          <w:lang w:val="en-US"/>
        </w:rPr>
        <w:t xml:space="preserve"> </w:t>
      </w:r>
      <w:r w:rsidRPr="00194AD9">
        <w:rPr>
          <w:rFonts w:eastAsia="Calibri" w:cs="Arial"/>
          <w:color w:val="000000"/>
          <w:szCs w:val="22"/>
          <w:lang w:val="en-US" w:eastAsia="en-GB"/>
        </w:rPr>
        <w:t>Materials management and distribution can become complicated in any project</w:t>
      </w:r>
      <w:r w:rsidRPr="00194AD9">
        <w:rPr>
          <w:rFonts w:eastAsia="Calibri" w:cs="Arial"/>
          <w:szCs w:val="22"/>
          <w:lang w:val="en-US"/>
        </w:rPr>
        <w:t>. Mechanisms to improve availability of materials close to or within the project area can influence consolidation cost and speed (see Box 5 case study). Options include:</w:t>
      </w:r>
    </w:p>
    <w:p w14:paraId="6BDCFD9C" w14:textId="77777777" w:rsidR="00194AD9" w:rsidRPr="00194AD9" w:rsidRDefault="00194AD9" w:rsidP="0055634E">
      <w:pPr>
        <w:numPr>
          <w:ilvl w:val="1"/>
          <w:numId w:val="21"/>
        </w:numPr>
        <w:spacing w:after="200" w:line="360" w:lineRule="auto"/>
        <w:ind w:left="1080"/>
        <w:contextualSpacing/>
        <w:rPr>
          <w:rFonts w:eastAsia="Calibri"/>
          <w:b/>
          <w:szCs w:val="22"/>
          <w:lang w:val="en-US"/>
        </w:rPr>
      </w:pPr>
      <w:r w:rsidRPr="00194AD9">
        <w:rPr>
          <w:rFonts w:eastAsia="Calibri"/>
          <w:szCs w:val="22"/>
          <w:lang w:val="en-US"/>
        </w:rPr>
        <w:t>Local</w:t>
      </w:r>
      <w:r w:rsidRPr="00194AD9">
        <w:rPr>
          <w:rFonts w:eastAsia="Calibri"/>
          <w:b/>
          <w:szCs w:val="22"/>
          <w:lang w:val="en-US"/>
        </w:rPr>
        <w:t xml:space="preserve"> building materials distribution points </w:t>
      </w:r>
      <w:r w:rsidRPr="00194AD9">
        <w:rPr>
          <w:rFonts w:eastAsia="Calibri"/>
          <w:szCs w:val="22"/>
          <w:lang w:val="en-US"/>
        </w:rPr>
        <w:t>for formal and informal materials suppliers;</w:t>
      </w:r>
    </w:p>
    <w:p w14:paraId="73959A4C" w14:textId="77777777" w:rsidR="00194AD9" w:rsidRPr="00194AD9" w:rsidRDefault="00194AD9" w:rsidP="0055634E">
      <w:pPr>
        <w:numPr>
          <w:ilvl w:val="1"/>
          <w:numId w:val="21"/>
        </w:numPr>
        <w:spacing w:after="200" w:line="360" w:lineRule="auto"/>
        <w:ind w:left="1080"/>
        <w:contextualSpacing/>
        <w:rPr>
          <w:rFonts w:eastAsia="Calibri"/>
          <w:szCs w:val="22"/>
          <w:lang w:val="en-US"/>
        </w:rPr>
      </w:pPr>
      <w:r w:rsidRPr="00194AD9">
        <w:rPr>
          <w:rFonts w:eastAsia="Calibri"/>
          <w:szCs w:val="22"/>
          <w:lang w:val="en-US"/>
        </w:rPr>
        <w:t>Support for</w:t>
      </w:r>
      <w:r w:rsidRPr="00194AD9">
        <w:rPr>
          <w:rFonts w:eastAsia="Calibri"/>
          <w:b/>
          <w:szCs w:val="22"/>
          <w:lang w:val="en-US"/>
        </w:rPr>
        <w:t xml:space="preserve"> materials recycling and re-application </w:t>
      </w:r>
      <w:r w:rsidRPr="00194AD9">
        <w:rPr>
          <w:rFonts w:eastAsia="Calibri"/>
          <w:szCs w:val="22"/>
          <w:lang w:val="en-US"/>
        </w:rPr>
        <w:t>to consolidated houses</w:t>
      </w:r>
    </w:p>
    <w:p w14:paraId="4D4D500B" w14:textId="24E6E616" w:rsidR="00194AD9" w:rsidRPr="00194AD9" w:rsidRDefault="00194AD9" w:rsidP="00AE526D">
      <w:pPr>
        <w:spacing w:after="200" w:line="360" w:lineRule="auto"/>
        <w:ind w:left="720"/>
        <w:contextualSpacing/>
        <w:jc w:val="left"/>
        <w:rPr>
          <w:rFonts w:eastAsia="Calibri"/>
          <w:b/>
          <w:szCs w:val="22"/>
          <w:lang w:val="en-US"/>
        </w:rPr>
      </w:pPr>
    </w:p>
    <w:tbl>
      <w:tblPr>
        <w:tblStyle w:val="TableGrid"/>
        <w:tblW w:w="9356" w:type="dxa"/>
        <w:tblInd w:w="250" w:type="dxa"/>
        <w:tblBorders>
          <w:insideH w:val="none" w:sz="0" w:space="0" w:color="auto"/>
          <w:insideV w:val="none" w:sz="0" w:space="0" w:color="auto"/>
        </w:tblBorders>
        <w:tblLook w:val="04A0" w:firstRow="1" w:lastRow="0" w:firstColumn="1" w:lastColumn="0" w:noHBand="0" w:noVBand="1"/>
      </w:tblPr>
      <w:tblGrid>
        <w:gridCol w:w="9356"/>
      </w:tblGrid>
      <w:tr w:rsidR="00194AD9" w:rsidRPr="00194AD9" w14:paraId="2935E4B3" w14:textId="77777777" w:rsidTr="00540DD7">
        <w:trPr>
          <w:trHeight w:val="458"/>
        </w:trPr>
        <w:tc>
          <w:tcPr>
            <w:tcW w:w="9356" w:type="dxa"/>
            <w:shd w:val="clear" w:color="auto" w:fill="auto"/>
          </w:tcPr>
          <w:p w14:paraId="2A048858" w14:textId="25C540D1" w:rsidR="00194AD9" w:rsidRPr="00194AD9" w:rsidRDefault="007006C3" w:rsidP="00194AD9">
            <w:pPr>
              <w:jc w:val="center"/>
              <w:rPr>
                <w:rFonts w:cs="Arial"/>
                <w:b/>
                <w:bCs/>
                <w:iCs/>
                <w:spacing w:val="-6"/>
              </w:rPr>
            </w:pPr>
            <w:r>
              <w:rPr>
                <w:rFonts w:cs="Arial"/>
                <w:b/>
                <w:bCs/>
                <w:iCs/>
                <w:spacing w:val="-6"/>
              </w:rPr>
              <w:t>BOX 8</w:t>
            </w:r>
            <w:r w:rsidR="00194AD9" w:rsidRPr="00194AD9">
              <w:rPr>
                <w:rFonts w:cs="Arial"/>
                <w:b/>
                <w:bCs/>
                <w:iCs/>
                <w:spacing w:val="-6"/>
              </w:rPr>
              <w:t>: Case Study: Materials Mobilisation and Management (Masiphatisane Development Centre, Phillipi, Western Cape)</w:t>
            </w:r>
          </w:p>
          <w:p w14:paraId="0AEF635A" w14:textId="77777777" w:rsidR="00194AD9" w:rsidRPr="00194AD9" w:rsidRDefault="00194AD9" w:rsidP="00194AD9">
            <w:pPr>
              <w:rPr>
                <w:rFonts w:cs="Arial"/>
                <w:szCs w:val="22"/>
              </w:rPr>
            </w:pPr>
            <w:r w:rsidRPr="00194AD9">
              <w:rPr>
                <w:rFonts w:cs="Arial"/>
                <w:b/>
                <w:szCs w:val="22"/>
              </w:rPr>
              <w:t>Scale:</w:t>
            </w:r>
            <w:r w:rsidRPr="00194AD9">
              <w:rPr>
                <w:rFonts w:cs="Arial"/>
                <w:szCs w:val="22"/>
              </w:rPr>
              <w:t xml:space="preserve"> Serviced the South East Metropolitan Area of Cape Town </w:t>
            </w:r>
            <w:r w:rsidRPr="00194AD9">
              <w:rPr>
                <w:rFonts w:cs="Arial"/>
                <w:b/>
                <w:szCs w:val="22"/>
              </w:rPr>
              <w:t>Date:</w:t>
            </w:r>
            <w:r w:rsidRPr="00194AD9">
              <w:rPr>
                <w:rFonts w:cs="Arial"/>
                <w:szCs w:val="22"/>
              </w:rPr>
              <w:t xml:space="preserve"> Established1989</w:t>
            </w:r>
          </w:p>
          <w:p w14:paraId="1CC31CD5" w14:textId="77777777" w:rsidR="00194AD9" w:rsidRPr="00194AD9" w:rsidRDefault="00194AD9" w:rsidP="00194AD9">
            <w:pPr>
              <w:rPr>
                <w:rFonts w:cs="Arial"/>
                <w:szCs w:val="22"/>
              </w:rPr>
            </w:pPr>
            <w:r w:rsidRPr="00194AD9">
              <w:rPr>
                <w:rFonts w:cs="Arial"/>
                <w:b/>
                <w:szCs w:val="22"/>
              </w:rPr>
              <w:t xml:space="preserve">Background: </w:t>
            </w:r>
            <w:r w:rsidRPr="00194AD9">
              <w:rPr>
                <w:rFonts w:cs="Arial"/>
                <w:szCs w:val="22"/>
              </w:rPr>
              <w:t xml:space="preserve">By the late 1980s the informal settlements of Brown’s Farm, Nyanga East, Khayalitsha and Crossroads amongst others in the greater Cape Town region required intervention, which largely at that point was not coming from state sources. A key issue was access to and storage of building materials for The Masiphatisane Development Centre, Phillipi, Western Cape was established by a number of funders including the Urban Foundation. The intention of the Development Centre was to be able to house a number of projects and organizations and provide co-ordination and administrative support. </w:t>
            </w:r>
          </w:p>
          <w:p w14:paraId="0435E682" w14:textId="77777777" w:rsidR="00194AD9" w:rsidRPr="00194AD9" w:rsidRDefault="00194AD9" w:rsidP="00194AD9">
            <w:pPr>
              <w:rPr>
                <w:rFonts w:cs="Arial"/>
                <w:szCs w:val="22"/>
              </w:rPr>
            </w:pPr>
            <w:r w:rsidRPr="00194AD9">
              <w:rPr>
                <w:rFonts w:cs="Arial"/>
                <w:b/>
                <w:szCs w:val="22"/>
              </w:rPr>
              <w:t xml:space="preserve">Project Intervention and Outcomes: </w:t>
            </w:r>
            <w:r w:rsidRPr="00194AD9">
              <w:rPr>
                <w:rFonts w:cs="Arial"/>
                <w:szCs w:val="22"/>
              </w:rPr>
              <w:t xml:space="preserve">In terms of the housing function, the Development Centre offered a number of activities including setting up savings clubs and stokvels, and training. However most particularly for this discussion, the Masiphatisane Development Centre was concerned with the procurement and distribution of building materials for the populations of the surrounding informal settlements. The Centre bought the materials at very low prices as it was able to buy in bulk, especially items that were commonly used in building, such as cement, door and window frames, glass, and smaller items. It also negotiated directly with the manufacturers or distributors, ensuring that they eliminated, as much as possible, the “middle-man”. As such, they were able to reduce costs and pass the savings on to the residents. The material was also delivered to the centre, which acted as a central depot for </w:t>
            </w:r>
            <w:r w:rsidRPr="00194AD9">
              <w:rPr>
                <w:rFonts w:cs="Arial"/>
                <w:szCs w:val="22"/>
              </w:rPr>
              <w:lastRenderedPageBreak/>
              <w:t>material and was able to lock the material away and keep it safe until sale.</w:t>
            </w:r>
          </w:p>
          <w:p w14:paraId="22D8B583" w14:textId="77777777" w:rsidR="00194AD9" w:rsidRPr="00194AD9" w:rsidRDefault="00194AD9" w:rsidP="00194AD9">
            <w:pPr>
              <w:rPr>
                <w:rFonts w:cs="Arial"/>
                <w:szCs w:val="22"/>
              </w:rPr>
            </w:pPr>
            <w:r w:rsidRPr="00194AD9">
              <w:rPr>
                <w:rFonts w:cs="Arial"/>
                <w:szCs w:val="22"/>
              </w:rPr>
              <w:t xml:space="preserve">The centre also provided training in carpentry, so that the newly trained carpenters could construct timber-framed units for themselves and as a saleable service. The training was carried out in conjunction with the SA Lumber Millers Association, who provided the actual training and some of the materials. </w:t>
            </w:r>
          </w:p>
          <w:p w14:paraId="6EB8237A" w14:textId="77777777" w:rsidR="00194AD9" w:rsidRPr="00194AD9" w:rsidRDefault="00194AD9" w:rsidP="00194AD9">
            <w:pPr>
              <w:rPr>
                <w:rFonts w:cs="Arial"/>
              </w:rPr>
            </w:pPr>
            <w:r w:rsidRPr="00194AD9">
              <w:rPr>
                <w:rFonts w:cs="Arial"/>
                <w:b/>
                <w:szCs w:val="22"/>
              </w:rPr>
              <w:t xml:space="preserve">Comments: </w:t>
            </w:r>
            <w:r w:rsidRPr="00194AD9">
              <w:rPr>
                <w:rFonts w:cs="Arial"/>
                <w:szCs w:val="22"/>
              </w:rPr>
              <w:t>There is no evidence of the extent or impact of the project, which have no doubt been lost through the years, however, the general model of a centre that facilitates access to training and materials seems to be a useful one. Although a brief comment was made that the model was too centralised and there was discussion of decentralisation the training and materials to make them more accessible for the surrounding communities.</w:t>
            </w:r>
          </w:p>
        </w:tc>
      </w:tr>
    </w:tbl>
    <w:p w14:paraId="139377BA" w14:textId="77777777" w:rsidR="00194AD9" w:rsidRPr="00194AD9" w:rsidRDefault="00194AD9" w:rsidP="00194AD9">
      <w:pPr>
        <w:rPr>
          <w:rFonts w:cs="Arial"/>
          <w:i/>
          <w:szCs w:val="22"/>
        </w:rPr>
      </w:pPr>
    </w:p>
    <w:p w14:paraId="1B64E61A" w14:textId="29E4C063" w:rsidR="00194AD9" w:rsidRPr="00194AD9" w:rsidRDefault="00194AD9" w:rsidP="0055634E">
      <w:pPr>
        <w:numPr>
          <w:ilvl w:val="0"/>
          <w:numId w:val="21"/>
        </w:numPr>
        <w:spacing w:after="200" w:line="360" w:lineRule="auto"/>
        <w:ind w:left="720"/>
        <w:contextualSpacing/>
        <w:rPr>
          <w:rFonts w:eastAsia="Calibri"/>
          <w:szCs w:val="22"/>
          <w:lang w:val="en-US"/>
        </w:rPr>
      </w:pPr>
      <w:r w:rsidRPr="00194AD9">
        <w:rPr>
          <w:rFonts w:eastAsia="Calibri"/>
          <w:b/>
          <w:szCs w:val="22"/>
          <w:lang w:val="en-US"/>
        </w:rPr>
        <w:t xml:space="preserve">Dispute Resolution: </w:t>
      </w:r>
      <w:r w:rsidRPr="00194AD9">
        <w:rPr>
          <w:rFonts w:eastAsia="Calibri"/>
          <w:szCs w:val="22"/>
          <w:lang w:val="en-US"/>
        </w:rPr>
        <w:t>Disputes with contractors, material suppliers around quality, quantity, or the impact on the surrounding neighbours do arise</w:t>
      </w:r>
      <w:r>
        <w:rPr>
          <w:rFonts w:eastAsia="Calibri"/>
          <w:szCs w:val="22"/>
          <w:lang w:val="en-US"/>
        </w:rPr>
        <w:t xml:space="preserve"> (see Box 6 case study)</w:t>
      </w:r>
      <w:r w:rsidRPr="00194AD9">
        <w:rPr>
          <w:rFonts w:eastAsia="Calibri"/>
          <w:szCs w:val="22"/>
          <w:lang w:val="en-US"/>
        </w:rPr>
        <w:t>. Timeous intervention processes offer an opportunity to ensure problems do not escalate and block or delay projects.  Resolution routes include:</w:t>
      </w:r>
    </w:p>
    <w:p w14:paraId="08DC2A85" w14:textId="00B2B4EE" w:rsidR="00194AD9" w:rsidRPr="00194AD9" w:rsidRDefault="00194AD9" w:rsidP="0055634E">
      <w:pPr>
        <w:numPr>
          <w:ilvl w:val="1"/>
          <w:numId w:val="21"/>
        </w:numPr>
        <w:spacing w:after="200" w:line="360" w:lineRule="auto"/>
        <w:ind w:left="1080"/>
        <w:contextualSpacing/>
        <w:rPr>
          <w:rFonts w:eastAsia="Calibri"/>
          <w:szCs w:val="22"/>
          <w:lang w:val="en-US"/>
        </w:rPr>
      </w:pPr>
      <w:r w:rsidRPr="00194AD9">
        <w:rPr>
          <w:rFonts w:eastAsia="Calibri"/>
          <w:b/>
          <w:szCs w:val="22"/>
          <w:lang w:val="en-US"/>
        </w:rPr>
        <w:t>Invigilated meetings</w:t>
      </w:r>
      <w:r w:rsidR="009975A5">
        <w:rPr>
          <w:rFonts w:eastAsia="Calibri"/>
          <w:szCs w:val="22"/>
          <w:lang w:val="en-US"/>
        </w:rPr>
        <w:t xml:space="preserve"> with local c</w:t>
      </w:r>
      <w:r w:rsidRPr="00194AD9">
        <w:rPr>
          <w:rFonts w:eastAsia="Calibri"/>
          <w:szCs w:val="22"/>
          <w:lang w:val="en-US"/>
        </w:rPr>
        <w:t>ouncillors, project officers or an impartial referee to negotiate an agreement between disputing parties</w:t>
      </w:r>
    </w:p>
    <w:p w14:paraId="0157F734" w14:textId="6D586FD5" w:rsidR="00194AD9" w:rsidRPr="00194AD9" w:rsidRDefault="00194AD9" w:rsidP="0055634E">
      <w:pPr>
        <w:numPr>
          <w:ilvl w:val="1"/>
          <w:numId w:val="21"/>
        </w:numPr>
        <w:spacing w:after="200" w:line="360" w:lineRule="auto"/>
        <w:ind w:left="1080"/>
        <w:contextualSpacing/>
        <w:rPr>
          <w:rFonts w:eastAsia="Calibri"/>
          <w:szCs w:val="22"/>
          <w:lang w:val="en-US"/>
        </w:rPr>
      </w:pPr>
      <w:r w:rsidRPr="00194AD9">
        <w:rPr>
          <w:rFonts w:eastAsia="Calibri"/>
          <w:b/>
          <w:szCs w:val="22"/>
          <w:lang w:val="en-US"/>
        </w:rPr>
        <w:t>Information sharing</w:t>
      </w:r>
      <w:r w:rsidRPr="00194AD9">
        <w:rPr>
          <w:rFonts w:eastAsia="Calibri"/>
          <w:szCs w:val="22"/>
          <w:lang w:val="en-US"/>
        </w:rPr>
        <w:t xml:space="preserve"> to ensure that suppliers and service providers that are problematic are known to other </w:t>
      </w:r>
      <w:r w:rsidR="006C7351" w:rsidRPr="00194AD9">
        <w:rPr>
          <w:rFonts w:eastAsia="Calibri"/>
          <w:szCs w:val="22"/>
          <w:lang w:val="en-US"/>
        </w:rPr>
        <w:t>community members</w:t>
      </w:r>
      <w:r w:rsidRPr="00194AD9">
        <w:rPr>
          <w:rFonts w:eastAsia="Calibri"/>
          <w:szCs w:val="22"/>
          <w:lang w:val="en-US"/>
        </w:rPr>
        <w:t xml:space="preserve"> </w:t>
      </w:r>
    </w:p>
    <w:p w14:paraId="26B332ED" w14:textId="77777777" w:rsidR="00194AD9" w:rsidRPr="00194AD9" w:rsidRDefault="00194AD9" w:rsidP="0055634E">
      <w:pPr>
        <w:numPr>
          <w:ilvl w:val="1"/>
          <w:numId w:val="21"/>
        </w:numPr>
        <w:spacing w:after="200" w:line="360" w:lineRule="auto"/>
        <w:ind w:left="1080"/>
        <w:contextualSpacing/>
        <w:rPr>
          <w:rFonts w:eastAsia="Calibri"/>
          <w:szCs w:val="22"/>
          <w:lang w:val="en-US"/>
        </w:rPr>
      </w:pPr>
      <w:r w:rsidRPr="00194AD9">
        <w:rPr>
          <w:rFonts w:eastAsia="Calibri"/>
          <w:b/>
          <w:szCs w:val="22"/>
          <w:lang w:val="en-US"/>
        </w:rPr>
        <w:t>Assistance and training</w:t>
      </w:r>
      <w:r w:rsidRPr="00194AD9">
        <w:rPr>
          <w:rFonts w:eastAsia="Calibri"/>
          <w:szCs w:val="22"/>
          <w:lang w:val="en-US"/>
        </w:rPr>
        <w:t xml:space="preserve"> to households around what to do if and when disputes arise;</w:t>
      </w:r>
    </w:p>
    <w:p w14:paraId="43B567F2" w14:textId="68E1C87D" w:rsidR="00194AD9" w:rsidRPr="00194AD9" w:rsidRDefault="006C7351" w:rsidP="0055634E">
      <w:pPr>
        <w:numPr>
          <w:ilvl w:val="1"/>
          <w:numId w:val="21"/>
        </w:numPr>
        <w:spacing w:after="200" w:line="360" w:lineRule="auto"/>
        <w:ind w:left="1080"/>
        <w:contextualSpacing/>
        <w:rPr>
          <w:rFonts w:eastAsia="Calibri"/>
          <w:szCs w:val="22"/>
          <w:lang w:val="en-US"/>
        </w:rPr>
      </w:pPr>
      <w:r w:rsidRPr="00194AD9">
        <w:rPr>
          <w:rFonts w:eastAsia="Calibri"/>
          <w:b/>
          <w:szCs w:val="22"/>
          <w:lang w:val="en-US"/>
        </w:rPr>
        <w:t>Referrals to established dispute resolution channels</w:t>
      </w:r>
      <w:r w:rsidRPr="00194AD9">
        <w:rPr>
          <w:rFonts w:eastAsia="Calibri"/>
          <w:szCs w:val="22"/>
          <w:lang w:val="en-US"/>
        </w:rPr>
        <w:t xml:space="preserve"> are</w:t>
      </w:r>
      <w:r w:rsidR="00194AD9" w:rsidRPr="00194AD9">
        <w:rPr>
          <w:rFonts w:eastAsia="Calibri"/>
          <w:szCs w:val="22"/>
          <w:lang w:val="en-US"/>
        </w:rPr>
        <w:t xml:space="preserve"> also an option, including the NHBRC, Consumer Council, Finance Ombudsman and rental tribunals.</w:t>
      </w:r>
    </w:p>
    <w:p w14:paraId="21617696" w14:textId="77777777" w:rsidR="00194AD9" w:rsidRPr="00194AD9" w:rsidRDefault="00194AD9" w:rsidP="0055634E">
      <w:pPr>
        <w:numPr>
          <w:ilvl w:val="1"/>
          <w:numId w:val="21"/>
        </w:numPr>
        <w:spacing w:after="200" w:line="360" w:lineRule="auto"/>
        <w:ind w:left="1080"/>
        <w:contextualSpacing/>
        <w:rPr>
          <w:rFonts w:eastAsia="Calibri"/>
          <w:szCs w:val="22"/>
          <w:lang w:val="en-US"/>
        </w:rPr>
      </w:pPr>
      <w:r w:rsidRPr="00194AD9">
        <w:rPr>
          <w:rFonts w:eastAsia="Calibri"/>
          <w:b/>
          <w:szCs w:val="22"/>
          <w:lang w:val="en-US"/>
        </w:rPr>
        <w:t>Formal rectification processes</w:t>
      </w:r>
      <w:r w:rsidRPr="00194AD9">
        <w:rPr>
          <w:rFonts w:eastAsia="Calibri"/>
          <w:szCs w:val="22"/>
          <w:lang w:val="en-US"/>
        </w:rPr>
        <w:t xml:space="preserve"> through arbitration or even recourse to the courts may be necessary in severe cases.</w:t>
      </w:r>
    </w:p>
    <w:p w14:paraId="3DB44862" w14:textId="272C6550" w:rsidR="00194AD9" w:rsidRDefault="00194AD9" w:rsidP="00250EA9">
      <w:pPr>
        <w:jc w:val="left"/>
      </w:pPr>
    </w:p>
    <w:tbl>
      <w:tblPr>
        <w:tblStyle w:val="TableGrid"/>
        <w:tblW w:w="9356" w:type="dxa"/>
        <w:tblInd w:w="250" w:type="dxa"/>
        <w:tblBorders>
          <w:insideH w:val="none" w:sz="0" w:space="0" w:color="auto"/>
          <w:insideV w:val="none" w:sz="0" w:space="0" w:color="auto"/>
        </w:tblBorders>
        <w:tblLook w:val="04A0" w:firstRow="1" w:lastRow="0" w:firstColumn="1" w:lastColumn="0" w:noHBand="0" w:noVBand="1"/>
      </w:tblPr>
      <w:tblGrid>
        <w:gridCol w:w="9356"/>
      </w:tblGrid>
      <w:tr w:rsidR="00B81A0E" w:rsidRPr="008E0069" w14:paraId="4E499E2F" w14:textId="77777777" w:rsidTr="00540DD7">
        <w:trPr>
          <w:trHeight w:val="458"/>
        </w:trPr>
        <w:tc>
          <w:tcPr>
            <w:tcW w:w="9356" w:type="dxa"/>
            <w:shd w:val="clear" w:color="auto" w:fill="auto"/>
          </w:tcPr>
          <w:p w14:paraId="1AF06A54" w14:textId="469CC169" w:rsidR="00B81A0E" w:rsidRPr="00A23852" w:rsidRDefault="00540DD7" w:rsidP="00DE0169">
            <w:pPr>
              <w:jc w:val="center"/>
              <w:rPr>
                <w:rFonts w:cs="Arial"/>
                <w:b/>
                <w:bCs/>
                <w:iCs/>
                <w:spacing w:val="-6"/>
                <w:highlight w:val="yellow"/>
              </w:rPr>
            </w:pPr>
            <w:r>
              <w:rPr>
                <w:rFonts w:cs="Arial"/>
                <w:b/>
                <w:bCs/>
                <w:iCs/>
                <w:spacing w:val="-6"/>
              </w:rPr>
              <w:t>BOX 9</w:t>
            </w:r>
            <w:r w:rsidR="00194AD9">
              <w:rPr>
                <w:rFonts w:cs="Arial"/>
                <w:b/>
                <w:bCs/>
                <w:iCs/>
                <w:spacing w:val="-6"/>
              </w:rPr>
              <w:t xml:space="preserve">: </w:t>
            </w:r>
            <w:r w:rsidR="00B81A0E" w:rsidRPr="00A23852">
              <w:rPr>
                <w:rFonts w:cs="Arial"/>
                <w:b/>
                <w:bCs/>
                <w:iCs/>
                <w:spacing w:val="-6"/>
                <w:highlight w:val="yellow"/>
              </w:rPr>
              <w:t>Case Study: House Design and Dispute Resolution Assistance (Freedom Park, Cape Town, Western Cape)</w:t>
            </w:r>
          </w:p>
          <w:p w14:paraId="142BCE9E" w14:textId="77777777" w:rsidR="00B81A0E" w:rsidRPr="00A23852" w:rsidRDefault="00B81A0E" w:rsidP="00DE0169">
            <w:pPr>
              <w:rPr>
                <w:rFonts w:cs="Arial"/>
                <w:szCs w:val="22"/>
                <w:highlight w:val="yellow"/>
              </w:rPr>
            </w:pPr>
            <w:r w:rsidRPr="00A23852">
              <w:rPr>
                <w:rFonts w:cs="Arial"/>
                <w:b/>
                <w:szCs w:val="22"/>
                <w:highlight w:val="yellow"/>
              </w:rPr>
              <w:t>Scale:</w:t>
            </w:r>
            <w:r w:rsidRPr="00A23852">
              <w:rPr>
                <w:rFonts w:cs="Arial"/>
                <w:szCs w:val="22"/>
                <w:highlight w:val="yellow"/>
              </w:rPr>
              <w:t xml:space="preserve"> 493 households                               </w:t>
            </w:r>
            <w:r w:rsidRPr="00A23852">
              <w:rPr>
                <w:rFonts w:cs="Arial"/>
                <w:b/>
                <w:szCs w:val="22"/>
                <w:highlight w:val="yellow"/>
              </w:rPr>
              <w:t>Date/time period</w:t>
            </w:r>
            <w:r w:rsidRPr="00A23852">
              <w:rPr>
                <w:rFonts w:cs="Arial"/>
                <w:szCs w:val="22"/>
                <w:highlight w:val="yellow"/>
              </w:rPr>
              <w:t>: 1998 to 2007</w:t>
            </w:r>
          </w:p>
          <w:p w14:paraId="6FA23C6B" w14:textId="77777777" w:rsidR="00B81A0E" w:rsidRPr="00A23852" w:rsidRDefault="00B81A0E" w:rsidP="00DE0169">
            <w:pPr>
              <w:rPr>
                <w:rFonts w:cs="Arial"/>
                <w:szCs w:val="22"/>
                <w:highlight w:val="yellow"/>
              </w:rPr>
            </w:pPr>
            <w:r w:rsidRPr="00A23852">
              <w:rPr>
                <w:rFonts w:cs="Arial"/>
                <w:b/>
                <w:szCs w:val="22"/>
                <w:highlight w:val="yellow"/>
              </w:rPr>
              <w:t xml:space="preserve">Background: </w:t>
            </w:r>
            <w:r w:rsidRPr="00A23852">
              <w:rPr>
                <w:rFonts w:cs="Arial"/>
                <w:szCs w:val="22"/>
                <w:highlight w:val="yellow"/>
              </w:rPr>
              <w:t xml:space="preserve">The informal settlement was established in 1998 by backyard dwellers who occupied a piece of public land in the Tafelsig area of Mitchell’s Plain. In an organised move, a large group of local residents assembled, cleared the site of vegetation and rubble and laid out 3m wide streets and 6m X 6m plots, which were allocated to families by the community leaders. Occupation was not however a free-for all and community leaders decided that people needed to meet certain criteria to be allowed to move onto the site, which included being registered on the waiting list, having dependents and being in a relationship. Several hundred families moved onto the site despite a lack of services. The community then went on to survive a series of eviction orders and finally in 2001 after the Grootboom case had been won, won the right to basic services and to stay on the site. However it was two years later </w:t>
            </w:r>
            <w:r w:rsidRPr="00A23852">
              <w:rPr>
                <w:rFonts w:cs="Arial"/>
                <w:szCs w:val="22"/>
                <w:highlight w:val="yellow"/>
              </w:rPr>
              <w:lastRenderedPageBreak/>
              <w:t xml:space="preserve">that the community was able to negotiate with the city council around housing provision, at which point they insisted on a mediated PHP process with the support of DAG. The following case reveals two important aspects for this chapter: the first, is the community’s involvement in the housing design process; and the second, is DAG’s assistance in mediation and conflict resolution. </w:t>
            </w:r>
          </w:p>
          <w:p w14:paraId="702F9EA8" w14:textId="77777777" w:rsidR="00B81A0E" w:rsidRPr="00A23852" w:rsidRDefault="00B81A0E" w:rsidP="00DE0169">
            <w:pPr>
              <w:rPr>
                <w:rFonts w:cs="Arial"/>
                <w:szCs w:val="22"/>
                <w:highlight w:val="yellow"/>
              </w:rPr>
            </w:pPr>
            <w:r w:rsidRPr="00A23852">
              <w:rPr>
                <w:rFonts w:cs="Arial"/>
                <w:b/>
                <w:szCs w:val="22"/>
                <w:highlight w:val="yellow"/>
              </w:rPr>
              <w:t xml:space="preserve">Project Intervention and Outcomes: </w:t>
            </w:r>
            <w:r w:rsidRPr="00A23852">
              <w:rPr>
                <w:rFonts w:cs="Arial"/>
                <w:szCs w:val="22"/>
                <w:highlight w:val="yellow"/>
              </w:rPr>
              <w:t xml:space="preserve">The informal settlement upgrade has a mixed-housing profile, including free-standing, single dwellings, semi-detached single and double storey units, and double storey row houses. Many houses are intentionally north facing so they benefit from sunlight and energy reducing heating demand and electricity costs. The design came about through interactions between the community and DAG who conducted a series of design workshops with the community. It was during these workshops and through participatory design methods that a range of options were developed. The designs attempted to balance the needs of residents in the settlement, preserve existing networks and limit the number of times households would relocate whilst still taking into account the budget that was available. The end result was that only 36m2 houses could be built with the housing subsidy alone. </w:t>
            </w:r>
          </w:p>
          <w:p w14:paraId="3E557D07" w14:textId="77777777" w:rsidR="00B81A0E" w:rsidRPr="00A23852" w:rsidRDefault="00B81A0E" w:rsidP="00DE0169">
            <w:pPr>
              <w:autoSpaceDE w:val="0"/>
              <w:autoSpaceDN w:val="0"/>
              <w:adjustRightInd w:val="0"/>
              <w:rPr>
                <w:rFonts w:cs="Arial"/>
                <w:szCs w:val="22"/>
                <w:highlight w:val="yellow"/>
              </w:rPr>
            </w:pPr>
            <w:r w:rsidRPr="00A23852">
              <w:rPr>
                <w:rFonts w:cs="Arial"/>
                <w:szCs w:val="22"/>
                <w:highlight w:val="yellow"/>
              </w:rPr>
              <w:t xml:space="preserve">During 2006, the Mellon Housing Initiative (MHI) expressed interest in working in Freedom Park and after long consideration and negotiation it was as agreed that MHI would construct the houses and would contribute additional funds to enlarge the units 42m², for the construction of a community centre and for tiled roofs, geysers and solar water heaters for each house. Households were free to choose from the available housing typologies described above but were strongly encourage by community leaders to choose the higher density options, to ensure more sustainability and that all residents would be able to access housing in the settlement. </w:t>
            </w:r>
          </w:p>
          <w:p w14:paraId="522FA334" w14:textId="77777777" w:rsidR="00B81A0E" w:rsidRPr="00A23852" w:rsidRDefault="00B81A0E" w:rsidP="00DE0169">
            <w:pPr>
              <w:autoSpaceDE w:val="0"/>
              <w:autoSpaceDN w:val="0"/>
              <w:adjustRightInd w:val="0"/>
              <w:rPr>
                <w:rFonts w:cs="Arial"/>
                <w:szCs w:val="22"/>
                <w:highlight w:val="yellow"/>
              </w:rPr>
            </w:pPr>
            <w:r w:rsidRPr="00A23852">
              <w:rPr>
                <w:rFonts w:cs="Arial"/>
                <w:szCs w:val="22"/>
                <w:highlight w:val="yellow"/>
              </w:rPr>
              <w:t>The second aspect is in the need that arose for mediation and dispute resolution. Informal settlement upgrades often face internal disputes over issues described in the table above, however in the case of Freedom Park, the situation was worsened by the influence of political parties and agents fomenting intra-community dissent. Politicians promised patronage and access to housing in exchange for residents’ support in the upcoming elections. However, there were other lines of division, which included religion and residents’ physical location on the site (north or south). Furthermore, there were also allegations of the misappropriation of funds from some of the local government agencies, which caused further tensions between the community and the local authority.</w:t>
            </w:r>
          </w:p>
          <w:p w14:paraId="50AA7305" w14:textId="6D378414" w:rsidR="00B81A0E" w:rsidRPr="00A23852" w:rsidRDefault="00B81A0E" w:rsidP="00DE0169">
            <w:pPr>
              <w:autoSpaceDE w:val="0"/>
              <w:autoSpaceDN w:val="0"/>
              <w:adjustRightInd w:val="0"/>
              <w:rPr>
                <w:rFonts w:cs="Arial"/>
                <w:szCs w:val="22"/>
                <w:highlight w:val="yellow"/>
              </w:rPr>
            </w:pPr>
            <w:r w:rsidRPr="00A23852">
              <w:rPr>
                <w:rFonts w:cs="Arial"/>
                <w:szCs w:val="22"/>
                <w:highlight w:val="yellow"/>
              </w:rPr>
              <w:t xml:space="preserve">DAG mediated the tensions and disputes between the various factions by pointing out the commonalities and shared visions of the various groups. In addition, it helped to dissolve institutions and community </w:t>
            </w:r>
            <w:r w:rsidR="008B47BF" w:rsidRPr="00A23852">
              <w:rPr>
                <w:rFonts w:cs="Arial"/>
                <w:szCs w:val="22"/>
                <w:highlight w:val="yellow"/>
              </w:rPr>
              <w:t>organization</w:t>
            </w:r>
            <w:r w:rsidRPr="00A23852">
              <w:rPr>
                <w:rFonts w:cs="Arial"/>
                <w:szCs w:val="22"/>
                <w:highlight w:val="yellow"/>
              </w:rPr>
              <w:t xml:space="preserve">, which residents had lost faith and assisted in establishing new community associations that were seen to be democratically elected, and more representative of the wider community. It also aided in developing open communication processes between the community and the associations’ leadership. Leaders were also trained and skilled in leadership skills and capacity-building workshops are held to explain the technical aspects of the project to the beneficiaries and committee and ensure that all parties understand the various aspects of the project. </w:t>
            </w:r>
          </w:p>
          <w:p w14:paraId="66D32BF1" w14:textId="5687E0B7" w:rsidR="00B81A0E" w:rsidRPr="003C7C54" w:rsidRDefault="00B81A0E" w:rsidP="00B81A0E">
            <w:pPr>
              <w:autoSpaceDE w:val="0"/>
              <w:autoSpaceDN w:val="0"/>
              <w:adjustRightInd w:val="0"/>
              <w:rPr>
                <w:rFonts w:cs="Arial"/>
              </w:rPr>
            </w:pPr>
            <w:r w:rsidRPr="00A23852">
              <w:rPr>
                <w:rFonts w:cs="Arial"/>
                <w:b/>
                <w:szCs w:val="22"/>
                <w:highlight w:val="yellow"/>
              </w:rPr>
              <w:t xml:space="preserve">Comment: </w:t>
            </w:r>
            <w:r w:rsidRPr="00A23852">
              <w:rPr>
                <w:rFonts w:cs="Arial"/>
                <w:szCs w:val="22"/>
                <w:highlight w:val="yellow"/>
              </w:rPr>
              <w:t xml:space="preserve">It is clear that it was through the facilitation of DAG that households and the community were able to influence the housing design, have their needs met and still accommodate all of the original residents rather than having to just get the standard “cookie-cutter” option. Furthermore, the case illustrates the importance of having a supportive partner that has experience in dealing with community disputes. DAG’s ability to manage what seemed like irreconcilable saved the project and ensured that the sustainability of relations </w:t>
            </w:r>
            <w:r w:rsidRPr="00A23852">
              <w:rPr>
                <w:rFonts w:cs="Arial"/>
                <w:szCs w:val="22"/>
                <w:highlight w:val="yellow"/>
              </w:rPr>
              <w:lastRenderedPageBreak/>
              <w:t>going forward.</w:t>
            </w:r>
          </w:p>
        </w:tc>
      </w:tr>
    </w:tbl>
    <w:p w14:paraId="15B248BA" w14:textId="77777777" w:rsidR="00B00057" w:rsidRDefault="00B00057" w:rsidP="000F2975">
      <w:pPr>
        <w:pStyle w:val="Heading3"/>
      </w:pPr>
      <w:bookmarkStart w:id="347" w:name="_Toc262041244"/>
      <w:bookmarkStart w:id="348" w:name="_Toc262067898"/>
      <w:bookmarkStart w:id="349" w:name="_Toc262068224"/>
      <w:r>
        <w:lastRenderedPageBreak/>
        <w:t>Suggested Implementation Arrangements</w:t>
      </w:r>
      <w:bookmarkEnd w:id="347"/>
      <w:bookmarkEnd w:id="348"/>
      <w:bookmarkEnd w:id="349"/>
    </w:p>
    <w:p w14:paraId="739CC289" w14:textId="0615B3E6" w:rsidR="00B00057" w:rsidRDefault="00B00057" w:rsidP="00250EA9">
      <w:pPr>
        <w:spacing w:line="360" w:lineRule="auto"/>
        <w:rPr>
          <w:rFonts w:cs="Arial"/>
          <w:szCs w:val="22"/>
        </w:rPr>
      </w:pPr>
      <w:r>
        <w:rPr>
          <w:rFonts w:cs="Arial"/>
          <w:szCs w:val="22"/>
        </w:rPr>
        <w:t xml:space="preserve">Practically, it is likely that most TA functions will need to be available to community members during and after formal Phase </w:t>
      </w:r>
      <w:r w:rsidR="004627E3">
        <w:rPr>
          <w:rFonts w:cs="Arial"/>
          <w:szCs w:val="22"/>
        </w:rPr>
        <w:t>3</w:t>
      </w:r>
      <w:r>
        <w:rPr>
          <w:rFonts w:cs="Arial"/>
          <w:szCs w:val="22"/>
        </w:rPr>
        <w:t xml:space="preserve"> of the UISP project.  It is recommended that a central place, such as a community resource centre, be developed in a project area at which </w:t>
      </w:r>
      <w:r w:rsidR="0096547E">
        <w:rPr>
          <w:rFonts w:cs="Arial"/>
          <w:szCs w:val="22"/>
        </w:rPr>
        <w:t>community members can access information, training and services</w:t>
      </w:r>
      <w:r>
        <w:rPr>
          <w:rFonts w:cs="Arial"/>
          <w:szCs w:val="22"/>
        </w:rPr>
        <w:t>.</w:t>
      </w:r>
    </w:p>
    <w:p w14:paraId="0F1756DB" w14:textId="09A340A5" w:rsidR="00B00057" w:rsidRPr="00857D12" w:rsidRDefault="00B00057" w:rsidP="00250EA9">
      <w:pPr>
        <w:spacing w:line="360" w:lineRule="auto"/>
        <w:rPr>
          <w:rFonts w:cs="Arial"/>
          <w:szCs w:val="22"/>
        </w:rPr>
      </w:pPr>
      <w:r>
        <w:rPr>
          <w:rFonts w:cs="Arial"/>
          <w:szCs w:val="22"/>
        </w:rPr>
        <w:t xml:space="preserve">Technical support arrangements for shelter consolidation in UISP projects requires </w:t>
      </w:r>
      <w:r w:rsidR="00D27135">
        <w:rPr>
          <w:rFonts w:cs="Arial"/>
          <w:szCs w:val="22"/>
        </w:rPr>
        <w:t xml:space="preserve">that </w:t>
      </w:r>
      <w:r>
        <w:rPr>
          <w:rFonts w:cs="Arial"/>
          <w:szCs w:val="22"/>
        </w:rPr>
        <w:t>the following</w:t>
      </w:r>
      <w:r w:rsidR="00D27135">
        <w:rPr>
          <w:rFonts w:cs="Arial"/>
          <w:szCs w:val="22"/>
        </w:rPr>
        <w:t xml:space="preserve"> actors are involved</w:t>
      </w:r>
      <w:r>
        <w:rPr>
          <w:rFonts w:cs="Arial"/>
          <w:szCs w:val="22"/>
        </w:rPr>
        <w:t>:</w:t>
      </w:r>
    </w:p>
    <w:p w14:paraId="0D6BCC2E" w14:textId="77777777" w:rsidR="00B00057" w:rsidRDefault="00B00057" w:rsidP="0055634E">
      <w:pPr>
        <w:pStyle w:val="ListParagraph"/>
        <w:numPr>
          <w:ilvl w:val="0"/>
          <w:numId w:val="21"/>
        </w:numPr>
        <w:ind w:left="720"/>
      </w:pPr>
      <w:r w:rsidRPr="00006EE4">
        <w:rPr>
          <w:b/>
        </w:rPr>
        <w:t>Implementing Agent</w:t>
      </w:r>
      <w:r>
        <w:t xml:space="preserve">: </w:t>
      </w:r>
      <w:r w:rsidRPr="00857D12">
        <w:t>Professional inputs provided by the IA as a part of Phase 1, 2 and 3 implementation;</w:t>
      </w:r>
    </w:p>
    <w:p w14:paraId="7B84B229" w14:textId="77777777" w:rsidR="00B00057" w:rsidRDefault="00B00057" w:rsidP="0055634E">
      <w:pPr>
        <w:pStyle w:val="ListParagraph"/>
        <w:numPr>
          <w:ilvl w:val="0"/>
          <w:numId w:val="21"/>
        </w:numPr>
        <w:ind w:left="720"/>
      </w:pPr>
      <w:r w:rsidRPr="00006EE4">
        <w:rPr>
          <w:b/>
        </w:rPr>
        <w:t>NPOs:</w:t>
      </w:r>
      <w:r>
        <w:t xml:space="preserve"> Inputs from NPOs or community representatives working with the community in the project area;</w:t>
      </w:r>
    </w:p>
    <w:p w14:paraId="2CB3CA9A" w14:textId="77777777" w:rsidR="00B00057" w:rsidRDefault="00B00057" w:rsidP="0055634E">
      <w:pPr>
        <w:pStyle w:val="ListParagraph"/>
        <w:numPr>
          <w:ilvl w:val="0"/>
          <w:numId w:val="21"/>
        </w:numPr>
        <w:ind w:left="720"/>
      </w:pPr>
      <w:r w:rsidRPr="00006EE4">
        <w:rPr>
          <w:b/>
        </w:rPr>
        <w:t>Municipal officials</w:t>
      </w:r>
      <w:r>
        <w:t xml:space="preserve"> engaged in supporting and managing the ISU area during and post-upgrading, specifically town planning, building control and economic development functionaries;</w:t>
      </w:r>
    </w:p>
    <w:p w14:paraId="08704B98" w14:textId="56F3B55C" w:rsidR="00B00057" w:rsidRDefault="00B00057" w:rsidP="0055634E">
      <w:pPr>
        <w:pStyle w:val="ListParagraph"/>
        <w:numPr>
          <w:ilvl w:val="0"/>
          <w:numId w:val="21"/>
        </w:numPr>
        <w:ind w:left="720"/>
      </w:pPr>
      <w:r w:rsidRPr="00006EE4">
        <w:rPr>
          <w:b/>
        </w:rPr>
        <w:t>NUSP</w:t>
      </w:r>
      <w:r>
        <w:t xml:space="preserve"> plays a key role in supporting ‘non-core’ activities in UISP programmes, and technical assistance functions is a key aspect of this. In addition, initiatives to develop extensive training materials currently under way will provide support for this process.</w:t>
      </w:r>
    </w:p>
    <w:p w14:paraId="34AD472C" w14:textId="77777777" w:rsidR="00B00057" w:rsidRPr="00EB7C8E" w:rsidRDefault="00B00057" w:rsidP="000F2975">
      <w:pPr>
        <w:pStyle w:val="Heading3"/>
      </w:pPr>
      <w:bookmarkStart w:id="350" w:name="_Toc262041245"/>
      <w:bookmarkStart w:id="351" w:name="_Toc262067899"/>
      <w:bookmarkStart w:id="352" w:name="_Toc262068225"/>
      <w:r>
        <w:t>Sources of Financing Assistance</w:t>
      </w:r>
      <w:bookmarkEnd w:id="350"/>
      <w:bookmarkEnd w:id="351"/>
      <w:bookmarkEnd w:id="352"/>
    </w:p>
    <w:p w14:paraId="76903421" w14:textId="545FC925" w:rsidR="00B00057" w:rsidRDefault="00B00057" w:rsidP="0055634E">
      <w:pPr>
        <w:pStyle w:val="ListParagraph"/>
        <w:numPr>
          <w:ilvl w:val="0"/>
          <w:numId w:val="21"/>
        </w:numPr>
        <w:ind w:left="720" w:hanging="450"/>
        <w:rPr>
          <w:rFonts w:cs="Arial"/>
        </w:rPr>
      </w:pPr>
      <w:r w:rsidRPr="001F721D">
        <w:rPr>
          <w:rFonts w:cs="Arial"/>
          <w:b/>
        </w:rPr>
        <w:t>UISP funding</w:t>
      </w:r>
      <w:r>
        <w:rPr>
          <w:rFonts w:cs="Arial"/>
        </w:rPr>
        <w:t xml:space="preserve"> mechanisms provide limited funding for community </w:t>
      </w:r>
      <w:r w:rsidR="001F721D">
        <w:rPr>
          <w:rFonts w:cs="Arial"/>
        </w:rPr>
        <w:t>facilitation and</w:t>
      </w:r>
      <w:r>
        <w:rPr>
          <w:rFonts w:cs="Arial"/>
        </w:rPr>
        <w:t xml:space="preserve"> support.  </w:t>
      </w:r>
      <w:r w:rsidR="00D27135">
        <w:rPr>
          <w:rFonts w:cs="Arial"/>
        </w:rPr>
        <w:t>T</w:t>
      </w:r>
      <w:r w:rsidR="001F721D">
        <w:rPr>
          <w:rFonts w:cs="Arial"/>
        </w:rPr>
        <w:t xml:space="preserve">he amount of funding allowed for this function under the UISP </w:t>
      </w:r>
      <w:r>
        <w:rPr>
          <w:rFonts w:cs="Arial"/>
        </w:rPr>
        <w:t xml:space="preserve">is currently premised on the state-dominant </w:t>
      </w:r>
      <w:r w:rsidR="00D27135">
        <w:rPr>
          <w:rFonts w:cs="Arial"/>
        </w:rPr>
        <w:t xml:space="preserve">mode </w:t>
      </w:r>
      <w:r>
        <w:rPr>
          <w:rFonts w:cs="Arial"/>
        </w:rPr>
        <w:t xml:space="preserve">where households and community support </w:t>
      </w:r>
      <w:r w:rsidR="008B47BF">
        <w:rPr>
          <w:rFonts w:cs="Arial"/>
        </w:rPr>
        <w:t>organization</w:t>
      </w:r>
      <w:r>
        <w:rPr>
          <w:rFonts w:cs="Arial"/>
        </w:rPr>
        <w:t xml:space="preserve">s play a very limited role in TA in regard to house development and consolidation.  </w:t>
      </w:r>
    </w:p>
    <w:p w14:paraId="72811A5F" w14:textId="06499C21" w:rsidR="00B00057" w:rsidRPr="00006EE4" w:rsidRDefault="00B00057" w:rsidP="0055634E">
      <w:pPr>
        <w:pStyle w:val="ListParagraph"/>
        <w:numPr>
          <w:ilvl w:val="0"/>
          <w:numId w:val="21"/>
        </w:numPr>
        <w:ind w:left="720" w:hanging="450"/>
      </w:pPr>
      <w:r>
        <w:rPr>
          <w:b/>
        </w:rPr>
        <w:t xml:space="preserve">NUSP Resources:  </w:t>
      </w:r>
      <w:r>
        <w:t xml:space="preserve">NUSP currently has very limited direct financing that can be applied at a project specific level for TA functions, although funding is being applied to developing resources to support this process.  </w:t>
      </w:r>
    </w:p>
    <w:p w14:paraId="5DDDABF1" w14:textId="1B6F0609" w:rsidR="00B00057" w:rsidRPr="00006EE4" w:rsidRDefault="001F721D" w:rsidP="0055634E">
      <w:pPr>
        <w:pStyle w:val="ListParagraph"/>
        <w:numPr>
          <w:ilvl w:val="0"/>
          <w:numId w:val="21"/>
        </w:numPr>
        <w:ind w:left="720" w:hanging="450"/>
      </w:pPr>
      <w:r>
        <w:t>T</w:t>
      </w:r>
      <w:r w:rsidR="00B00057">
        <w:t xml:space="preserve">he </w:t>
      </w:r>
      <w:r w:rsidR="00B00057" w:rsidRPr="00250EA9">
        <w:rPr>
          <w:b/>
        </w:rPr>
        <w:t>EPHP</w:t>
      </w:r>
      <w:r>
        <w:t xml:space="preserve"> </w:t>
      </w:r>
      <w:r w:rsidR="00B00057">
        <w:t>provides f</w:t>
      </w:r>
      <w:r>
        <w:t xml:space="preserve">unding for various TA functions but is currently premised on the construction of fully </w:t>
      </w:r>
      <w:r w:rsidR="00E01C9B">
        <w:t>subsidized</w:t>
      </w:r>
      <w:r>
        <w:t xml:space="preserve"> top structures.</w:t>
      </w:r>
    </w:p>
    <w:p w14:paraId="1C1A1917" w14:textId="439B60EA" w:rsidR="00B00057" w:rsidRDefault="00B00057" w:rsidP="0055634E">
      <w:pPr>
        <w:pStyle w:val="ListParagraph"/>
        <w:numPr>
          <w:ilvl w:val="0"/>
          <w:numId w:val="21"/>
        </w:numPr>
        <w:ind w:left="720" w:hanging="450"/>
      </w:pPr>
      <w:r w:rsidRPr="00006EE4">
        <w:rPr>
          <w:b/>
        </w:rPr>
        <w:lastRenderedPageBreak/>
        <w:t>NPO Resources:</w:t>
      </w:r>
      <w:r>
        <w:t xml:space="preserve"> </w:t>
      </w:r>
      <w:r w:rsidRPr="00006EE4">
        <w:t xml:space="preserve">Where self-build and mutual-build programmes are implemented, </w:t>
      </w:r>
      <w:r w:rsidR="001F721D">
        <w:t xml:space="preserve">limited </w:t>
      </w:r>
      <w:r w:rsidRPr="00006EE4">
        <w:t>additional funding may be available from NPOs to support this process.</w:t>
      </w:r>
    </w:p>
    <w:p w14:paraId="13A4D188" w14:textId="423C0B68" w:rsidR="001F721D" w:rsidRPr="001F721D" w:rsidRDefault="001F721D" w:rsidP="00250EA9">
      <w:pPr>
        <w:spacing w:line="360" w:lineRule="auto"/>
        <w:rPr>
          <w:b/>
        </w:rPr>
      </w:pPr>
      <w:r w:rsidRPr="00006EE4">
        <w:rPr>
          <w:b/>
        </w:rPr>
        <w:t>UISP Funding Gap:</w:t>
      </w:r>
      <w:r>
        <w:t xml:space="preserve"> </w:t>
      </w:r>
      <w:r w:rsidRPr="00006EE4">
        <w:t xml:space="preserve">Therefore, </w:t>
      </w:r>
      <w:r w:rsidRPr="00A23852">
        <w:rPr>
          <w:highlight w:val="yellow"/>
        </w:rPr>
        <w:t xml:space="preserve">at present there is a significant funding gap in the UISP funding framework for the TA functions </w:t>
      </w:r>
      <w:r w:rsidR="00F52E9A" w:rsidRPr="00A23852">
        <w:rPr>
          <w:highlight w:val="yellow"/>
        </w:rPr>
        <w:t xml:space="preserve">that are </w:t>
      </w:r>
      <w:r w:rsidRPr="00A23852">
        <w:rPr>
          <w:highlight w:val="yellow"/>
        </w:rPr>
        <w:t xml:space="preserve">required to conceptualise, implement and support the sorts of functions outlined in this section. </w:t>
      </w:r>
      <w:r w:rsidR="00F248FD" w:rsidRPr="00A23852">
        <w:rPr>
          <w:highlight w:val="yellow"/>
        </w:rPr>
        <w:t>This is seen as an important aspect of future work to be undertaken.</w:t>
      </w:r>
    </w:p>
    <w:p w14:paraId="30414758" w14:textId="77777777" w:rsidR="00B00057" w:rsidRDefault="00B00057" w:rsidP="00540DD7">
      <w:pPr>
        <w:pStyle w:val="Heading2"/>
      </w:pPr>
      <w:bookmarkStart w:id="353" w:name="_Toc262041246"/>
      <w:bookmarkStart w:id="354" w:name="_Toc262067900"/>
      <w:bookmarkStart w:id="355" w:name="_Toc270946054"/>
      <w:r>
        <w:t>Local Construction Sector Capacity Development</w:t>
      </w:r>
      <w:bookmarkEnd w:id="353"/>
      <w:bookmarkEnd w:id="354"/>
      <w:bookmarkEnd w:id="355"/>
    </w:p>
    <w:p w14:paraId="7DC27856" w14:textId="77777777" w:rsidR="00F52E9A" w:rsidRDefault="00F52E9A" w:rsidP="00250EA9">
      <w:pPr>
        <w:spacing w:after="0"/>
        <w:rPr>
          <w:rFonts w:cs="Arial"/>
          <w:szCs w:val="22"/>
        </w:rPr>
      </w:pPr>
    </w:p>
    <w:p w14:paraId="535AD974" w14:textId="0D474371" w:rsidR="00B00057" w:rsidRPr="004F578B" w:rsidRDefault="00B00057" w:rsidP="00250EA9">
      <w:pPr>
        <w:spacing w:line="360" w:lineRule="auto"/>
        <w:rPr>
          <w:rFonts w:cs="Arial"/>
          <w:szCs w:val="22"/>
        </w:rPr>
      </w:pPr>
      <w:r>
        <w:rPr>
          <w:rFonts w:cs="Arial"/>
          <w:szCs w:val="22"/>
        </w:rPr>
        <w:t>Most households contract local construction capacity to build or extend their properties.  Therefore, the breadth and depth of the local construction sector is a key determinant of future house consolidation. Key forms of support to improving the local construction industry are discussed below</w:t>
      </w:r>
      <w:r w:rsidR="007569D7">
        <w:rPr>
          <w:rFonts w:cs="Arial"/>
          <w:szCs w:val="22"/>
        </w:rPr>
        <w:t xml:space="preserve"> (see also Box 7 case study)</w:t>
      </w:r>
      <w:r>
        <w:rPr>
          <w:rFonts w:cs="Arial"/>
          <w:szCs w:val="22"/>
        </w:rPr>
        <w:t xml:space="preserve">. </w:t>
      </w:r>
    </w:p>
    <w:p w14:paraId="5DC11B9F" w14:textId="77777777" w:rsidR="00B00057" w:rsidRDefault="00B00057" w:rsidP="000F2975">
      <w:pPr>
        <w:pStyle w:val="Heading3"/>
      </w:pPr>
      <w:bookmarkStart w:id="356" w:name="_Toc262041247"/>
      <w:bookmarkStart w:id="357" w:name="_Toc262067901"/>
      <w:bookmarkStart w:id="358" w:name="_Toc262068227"/>
      <w:r>
        <w:t>Potential Forms of Support</w:t>
      </w:r>
      <w:bookmarkEnd w:id="356"/>
      <w:bookmarkEnd w:id="357"/>
      <w:bookmarkEnd w:id="358"/>
    </w:p>
    <w:p w14:paraId="544D8837" w14:textId="2A015CA6" w:rsidR="00B00057" w:rsidRPr="00325EEB" w:rsidRDefault="00B00057" w:rsidP="00250EA9">
      <w:pPr>
        <w:spacing w:line="360" w:lineRule="auto"/>
        <w:rPr>
          <w:rFonts w:cs="Arial"/>
          <w:szCs w:val="22"/>
        </w:rPr>
      </w:pPr>
      <w:r>
        <w:rPr>
          <w:rFonts w:cs="Arial"/>
          <w:szCs w:val="22"/>
        </w:rPr>
        <w:t xml:space="preserve">The following key supports to the construction industry </w:t>
      </w:r>
      <w:r w:rsidR="0072496C">
        <w:rPr>
          <w:rFonts w:cs="Arial"/>
          <w:szCs w:val="22"/>
        </w:rPr>
        <w:t>may be required:</w:t>
      </w:r>
    </w:p>
    <w:p w14:paraId="3D6F7D92" w14:textId="360C6546" w:rsidR="00B00057" w:rsidRDefault="00B00057" w:rsidP="0055634E">
      <w:pPr>
        <w:pStyle w:val="ListParagraph"/>
        <w:numPr>
          <w:ilvl w:val="0"/>
          <w:numId w:val="21"/>
        </w:numPr>
        <w:ind w:left="720"/>
      </w:pPr>
      <w:r w:rsidRPr="00F52E9A">
        <w:rPr>
          <w:b/>
        </w:rPr>
        <w:t>Training and development</w:t>
      </w:r>
      <w:r>
        <w:t xml:space="preserve"> </w:t>
      </w:r>
      <w:r w:rsidRPr="00F52E9A">
        <w:rPr>
          <w:b/>
        </w:rPr>
        <w:t xml:space="preserve">of local </w:t>
      </w:r>
      <w:r w:rsidR="009357E6" w:rsidRPr="00F52E9A">
        <w:rPr>
          <w:b/>
        </w:rPr>
        <w:t xml:space="preserve">house </w:t>
      </w:r>
      <w:r w:rsidRPr="00F52E9A">
        <w:rPr>
          <w:b/>
        </w:rPr>
        <w:t>building capacity</w:t>
      </w:r>
      <w:r w:rsidR="00D91C9F">
        <w:t xml:space="preserve">. </w:t>
      </w:r>
      <w:r w:rsidR="0072496C">
        <w:t>In many cases the requisite mix of home building and extension contractors will be present in the settlement or its neighbourhood.</w:t>
      </w:r>
      <w:r>
        <w:t xml:space="preserve"> </w:t>
      </w:r>
      <w:r w:rsidR="0072496C">
        <w:t>In some cases however, particularly where higher density housing solutions or complex foundation technologies are required, programmes designed to lift the skills of local contractors are required. It is often also the case tha</w:t>
      </w:r>
      <w:r w:rsidR="00E81DB5">
        <w:t>t</w:t>
      </w:r>
      <w:r w:rsidR="0072496C">
        <w:t xml:space="preserve"> whilst building skills may exist, small home building contractors lack skills relating to materials </w:t>
      </w:r>
      <w:r w:rsidR="007569D7">
        <w:t>estimating and</w:t>
      </w:r>
      <w:r w:rsidR="0072496C">
        <w:t xml:space="preserve"> management, and basic business management. </w:t>
      </w:r>
    </w:p>
    <w:p w14:paraId="745B64B1" w14:textId="4B79A606" w:rsidR="00B00057" w:rsidRPr="009357E6" w:rsidRDefault="00B00057" w:rsidP="0055634E">
      <w:pPr>
        <w:pStyle w:val="ListParagraph"/>
        <w:numPr>
          <w:ilvl w:val="0"/>
          <w:numId w:val="21"/>
        </w:numPr>
        <w:ind w:left="720"/>
        <w:rPr>
          <w:b/>
        </w:rPr>
      </w:pPr>
      <w:r w:rsidRPr="00E81DB5">
        <w:rPr>
          <w:b/>
        </w:rPr>
        <w:t>Materials manufacture / assembly and supply</w:t>
      </w:r>
      <w:r w:rsidR="005475E1" w:rsidRPr="00E81DB5">
        <w:rPr>
          <w:b/>
        </w:rPr>
        <w:t xml:space="preserve"> – </w:t>
      </w:r>
      <w:r w:rsidR="005475E1" w:rsidRPr="005475E1">
        <w:t xml:space="preserve">Greene and Rojas </w:t>
      </w:r>
      <w:r w:rsidR="00F52E9A">
        <w:t xml:space="preserve">(2008, p.99) </w:t>
      </w:r>
      <w:r w:rsidR="005475E1" w:rsidRPr="005475E1">
        <w:t>note that</w:t>
      </w:r>
      <w:r w:rsidR="005475E1" w:rsidRPr="00E81DB5">
        <w:rPr>
          <w:b/>
        </w:rPr>
        <w:t xml:space="preserve"> </w:t>
      </w:r>
      <w:r w:rsidR="00F52E9A">
        <w:rPr>
          <w:b/>
        </w:rPr>
        <w:t>‘</w:t>
      </w:r>
      <w:r w:rsidR="005475E1" w:rsidRPr="00250EA9">
        <w:rPr>
          <w:rFonts w:cs="Arial"/>
          <w:i/>
        </w:rPr>
        <w:t xml:space="preserve">Organized access to construction materials has proved to be an effective method of supporting incremental builders. Options range from the establishment of building materials banks, managed by programme promoters, to agreements with local retailers to monitor the prices and quality of the materials acquired by beneficiaries. The development of the construction materials industry is a vital area of public policy in satisfying the needs of </w:t>
      </w:r>
      <w:r w:rsidR="00C627F7" w:rsidRPr="00250EA9">
        <w:rPr>
          <w:rFonts w:cs="Arial"/>
          <w:i/>
        </w:rPr>
        <w:t>self-help</w:t>
      </w:r>
      <w:r w:rsidR="005475E1" w:rsidRPr="00250EA9">
        <w:rPr>
          <w:rFonts w:cs="Arial"/>
          <w:i/>
        </w:rPr>
        <w:t xml:space="preserve"> builders </w:t>
      </w:r>
      <w:r w:rsidR="00C627F7" w:rsidRPr="00250EA9">
        <w:rPr>
          <w:rFonts w:cs="Arial"/>
          <w:i/>
        </w:rPr>
        <w:t>and improving the effi</w:t>
      </w:r>
      <w:r w:rsidR="005475E1" w:rsidRPr="00250EA9">
        <w:rPr>
          <w:rFonts w:cs="Arial"/>
          <w:i/>
        </w:rPr>
        <w:t>ciency</w:t>
      </w:r>
      <w:r w:rsidR="00C627F7" w:rsidRPr="00250EA9">
        <w:rPr>
          <w:rFonts w:cs="Arial"/>
          <w:i/>
        </w:rPr>
        <w:t xml:space="preserve"> </w:t>
      </w:r>
      <w:r w:rsidR="005475E1" w:rsidRPr="00250EA9">
        <w:rPr>
          <w:rFonts w:cs="Arial"/>
          <w:i/>
        </w:rPr>
        <w:t>of incremental construction</w:t>
      </w:r>
      <w:r w:rsidR="00F52E9A" w:rsidRPr="00250EA9">
        <w:rPr>
          <w:rFonts w:cs="Arial"/>
          <w:i/>
        </w:rPr>
        <w:t>.’</w:t>
      </w:r>
      <w:r w:rsidR="00F52E9A" w:rsidRPr="00E81DB5">
        <w:rPr>
          <w:rFonts w:cs="Arial"/>
        </w:rPr>
        <w:t xml:space="preserve"> </w:t>
      </w:r>
    </w:p>
    <w:p w14:paraId="027F6D82" w14:textId="351D139E" w:rsidR="009357E6" w:rsidRPr="009357E6" w:rsidRDefault="00F52E9A" w:rsidP="0055634E">
      <w:pPr>
        <w:pStyle w:val="ListParagraph"/>
        <w:numPr>
          <w:ilvl w:val="0"/>
          <w:numId w:val="21"/>
        </w:numPr>
        <w:ind w:left="720"/>
      </w:pPr>
      <w:r>
        <w:lastRenderedPageBreak/>
        <w:t>They further</w:t>
      </w:r>
      <w:r w:rsidR="009357E6" w:rsidRPr="009357E6">
        <w:t xml:space="preserve"> identify a third area of intervention, </w:t>
      </w:r>
      <w:r w:rsidR="009357E6">
        <w:t xml:space="preserve">namely the </w:t>
      </w:r>
      <w:r w:rsidR="00F248FD">
        <w:t>mobilization</w:t>
      </w:r>
      <w:r w:rsidR="009357E6">
        <w:t xml:space="preserve"> and development of a sector or </w:t>
      </w:r>
      <w:r w:rsidR="009357E6" w:rsidRPr="00E0039C">
        <w:rPr>
          <w:b/>
        </w:rPr>
        <w:t>artisans</w:t>
      </w:r>
      <w:r w:rsidR="009357E6">
        <w:t xml:space="preserve"> needed </w:t>
      </w:r>
      <w:r w:rsidR="00E0039C">
        <w:t xml:space="preserve">to connect the households to the municipal services , principally water, sewers and electricity. </w:t>
      </w:r>
    </w:p>
    <w:tbl>
      <w:tblPr>
        <w:tblStyle w:val="TableGrid"/>
        <w:tblpPr w:leftFromText="180" w:rightFromText="180" w:vertAnchor="text" w:tblpX="250" w:tblpY="1"/>
        <w:tblOverlap w:val="never"/>
        <w:tblW w:w="9356" w:type="dxa"/>
        <w:tblBorders>
          <w:insideH w:val="none" w:sz="0" w:space="0" w:color="auto"/>
          <w:insideV w:val="none" w:sz="0" w:space="0" w:color="auto"/>
        </w:tblBorders>
        <w:tblLook w:val="04A0" w:firstRow="1" w:lastRow="0" w:firstColumn="1" w:lastColumn="0" w:noHBand="0" w:noVBand="1"/>
      </w:tblPr>
      <w:tblGrid>
        <w:gridCol w:w="9356"/>
      </w:tblGrid>
      <w:tr w:rsidR="00BF50FC" w:rsidRPr="008E0069" w14:paraId="0AE13F97" w14:textId="77777777" w:rsidTr="00540DD7">
        <w:trPr>
          <w:trHeight w:val="458"/>
        </w:trPr>
        <w:tc>
          <w:tcPr>
            <w:tcW w:w="9356" w:type="dxa"/>
            <w:shd w:val="clear" w:color="auto" w:fill="auto"/>
          </w:tcPr>
          <w:p w14:paraId="5AC61419" w14:textId="5B719FA2" w:rsidR="00BF50FC" w:rsidRPr="00343DBB" w:rsidRDefault="00540DD7" w:rsidP="00343DBB">
            <w:pPr>
              <w:jc w:val="center"/>
              <w:rPr>
                <w:rFonts w:cs="Arial"/>
                <w:b/>
                <w:bCs/>
                <w:iCs/>
                <w:spacing w:val="-6"/>
              </w:rPr>
            </w:pPr>
            <w:bookmarkStart w:id="359" w:name="_Toc262067902"/>
            <w:bookmarkStart w:id="360" w:name="_Toc262068228"/>
            <w:r>
              <w:rPr>
                <w:rFonts w:cs="Arial"/>
                <w:b/>
                <w:bCs/>
                <w:iCs/>
                <w:spacing w:val="-6"/>
              </w:rPr>
              <w:t>BOX 10</w:t>
            </w:r>
            <w:r w:rsidR="00F52E9A" w:rsidRPr="00343DBB">
              <w:rPr>
                <w:rFonts w:cs="Arial"/>
                <w:b/>
                <w:bCs/>
                <w:iCs/>
                <w:spacing w:val="-6"/>
              </w:rPr>
              <w:t xml:space="preserve">: </w:t>
            </w:r>
            <w:r w:rsidR="00BF50FC" w:rsidRPr="00343DBB">
              <w:rPr>
                <w:rFonts w:cs="Arial"/>
                <w:b/>
                <w:bCs/>
                <w:iCs/>
                <w:spacing w:val="-6"/>
              </w:rPr>
              <w:t>Case Study:  Contractor Development for Shack Improvement (Inanda Newtown, KZN)</w:t>
            </w:r>
            <w:bookmarkEnd w:id="359"/>
            <w:bookmarkEnd w:id="360"/>
          </w:p>
          <w:p w14:paraId="7BFDF99E" w14:textId="77777777" w:rsidR="00BF50FC" w:rsidRPr="001D590D" w:rsidRDefault="00BF50FC" w:rsidP="00F52E9A">
            <w:pPr>
              <w:rPr>
                <w:rFonts w:cs="Arial"/>
                <w:szCs w:val="22"/>
              </w:rPr>
            </w:pPr>
            <w:r w:rsidRPr="001D590D">
              <w:rPr>
                <w:rFonts w:cs="Arial"/>
                <w:b/>
                <w:szCs w:val="22"/>
              </w:rPr>
              <w:t>Scale:</w:t>
            </w:r>
            <w:r w:rsidRPr="001D590D">
              <w:rPr>
                <w:rFonts w:cs="Arial"/>
                <w:szCs w:val="22"/>
              </w:rPr>
              <w:t xml:space="preserve"> 4000 site </w:t>
            </w:r>
            <w:r>
              <w:rPr>
                <w:rFonts w:cs="Arial"/>
                <w:szCs w:val="22"/>
              </w:rPr>
              <w:t>&amp;</w:t>
            </w:r>
            <w:r w:rsidRPr="001D590D">
              <w:rPr>
                <w:rFonts w:cs="Arial"/>
                <w:szCs w:val="22"/>
              </w:rPr>
              <w:t xml:space="preserve"> service </w:t>
            </w:r>
            <w:r>
              <w:rPr>
                <w:rFonts w:cs="Arial"/>
                <w:szCs w:val="22"/>
              </w:rPr>
              <w:t xml:space="preserve">stands </w:t>
            </w:r>
            <w:r w:rsidRPr="001D590D">
              <w:rPr>
                <w:rFonts w:cs="Arial"/>
                <w:szCs w:val="22"/>
              </w:rPr>
              <w:t>incrementally converted to formal units</w:t>
            </w:r>
            <w:r>
              <w:rPr>
                <w:rFonts w:cs="Arial"/>
                <w:szCs w:val="22"/>
              </w:rPr>
              <w:t xml:space="preserve"> </w:t>
            </w:r>
            <w:r w:rsidRPr="001D5A94">
              <w:rPr>
                <w:rFonts w:cs="Arial"/>
                <w:b/>
                <w:szCs w:val="22"/>
              </w:rPr>
              <w:t>Date</w:t>
            </w:r>
            <w:r w:rsidRPr="001D590D">
              <w:rPr>
                <w:rFonts w:cs="Arial"/>
                <w:szCs w:val="22"/>
              </w:rPr>
              <w:t>: 1980</w:t>
            </w:r>
          </w:p>
          <w:p w14:paraId="595E09E0" w14:textId="77777777" w:rsidR="00BF50FC" w:rsidRPr="001D590D" w:rsidRDefault="00BF50FC" w:rsidP="00F52E9A">
            <w:pPr>
              <w:tabs>
                <w:tab w:val="left" w:pos="3191"/>
              </w:tabs>
              <w:rPr>
                <w:rFonts w:cs="Arial"/>
                <w:szCs w:val="22"/>
              </w:rPr>
            </w:pPr>
            <w:r w:rsidRPr="001D590D">
              <w:rPr>
                <w:rFonts w:cs="Arial"/>
                <w:b/>
                <w:szCs w:val="22"/>
              </w:rPr>
              <w:t>Background:</w:t>
            </w:r>
            <w:r>
              <w:rPr>
                <w:rFonts w:cs="Arial"/>
                <w:b/>
                <w:szCs w:val="22"/>
              </w:rPr>
              <w:t xml:space="preserve"> </w:t>
            </w:r>
            <w:r w:rsidRPr="001D590D">
              <w:rPr>
                <w:rFonts w:cs="Arial"/>
                <w:szCs w:val="22"/>
              </w:rPr>
              <w:t>The Urban Foundation’s intervention in Inanda Newtown, KwaZulu-Natal</w:t>
            </w:r>
            <w:r w:rsidRPr="001D590D">
              <w:rPr>
                <w:rStyle w:val="FootnoteReference"/>
                <w:rFonts w:cs="Arial"/>
                <w:szCs w:val="22"/>
              </w:rPr>
              <w:footnoteReference w:id="19"/>
            </w:r>
            <w:r w:rsidRPr="001D590D">
              <w:rPr>
                <w:rFonts w:cs="Arial"/>
                <w:szCs w:val="22"/>
              </w:rPr>
              <w:t xml:space="preserve"> offers an insight into support in the implementation phase of housing upgrading. In the case of Inanda</w:t>
            </w:r>
            <w:r>
              <w:rPr>
                <w:rFonts w:cs="Arial"/>
                <w:szCs w:val="22"/>
              </w:rPr>
              <w:t>,</w:t>
            </w:r>
            <w:r w:rsidRPr="001D590D">
              <w:rPr>
                <w:rFonts w:cs="Arial"/>
                <w:szCs w:val="22"/>
              </w:rPr>
              <w:t xml:space="preserve"> the project took place in the early 1980s and was originally a site and service scheme of 4000 households, whereby relocated residents were provided with a laid out township and secure tenure in the form of a deed of grant. The level of servicing was very basic and each site had a pit latrine with a top structure that could be moved when the pit was full. Standpipes were communal and located 60-100 meters apart, and refuse removal was by residents to local bin collection points which were emptied twice weekly. The idea was for residents to be able to move from the provided tent, then upgrade to a shack and finally to a home. The Urban Foundation was engaged in all aspects of the long-term upgrading. </w:t>
            </w:r>
          </w:p>
          <w:p w14:paraId="07ADAA60" w14:textId="77777777" w:rsidR="00BF50FC" w:rsidRPr="001D590D" w:rsidRDefault="00BF50FC" w:rsidP="00F52E9A">
            <w:pPr>
              <w:rPr>
                <w:rFonts w:cs="Arial"/>
                <w:szCs w:val="22"/>
              </w:rPr>
            </w:pPr>
            <w:r w:rsidRPr="001D590D">
              <w:rPr>
                <w:rFonts w:cs="Arial"/>
                <w:b/>
                <w:szCs w:val="22"/>
              </w:rPr>
              <w:t>Project intervention and Outcomes:</w:t>
            </w:r>
            <w:r>
              <w:rPr>
                <w:rFonts w:cs="Arial"/>
                <w:b/>
                <w:szCs w:val="22"/>
              </w:rPr>
              <w:t xml:space="preserve"> </w:t>
            </w:r>
            <w:r w:rsidRPr="001D590D">
              <w:rPr>
                <w:rFonts w:cs="Arial"/>
                <w:szCs w:val="22"/>
              </w:rPr>
              <w:t>The Urban Foundation took on a number of roles in this project, however in the shack or informal dwelling establishment, they initially established an advice centre to aid local residents with shack construction and in preparation for the last phase of the project. They also constructed a materials yard close to the settlements, and provided the site and training for small businesses and local contractors, which included: a truss manufacturer; window glazing and site levelling, “</w:t>
            </w:r>
            <w:r w:rsidRPr="001D5A94">
              <w:rPr>
                <w:rFonts w:cs="Arial"/>
                <w:i/>
                <w:szCs w:val="22"/>
              </w:rPr>
              <w:t>which involved the cutting of a building platform on often very steep slopes</w:t>
            </w:r>
            <w:r>
              <w:rPr>
                <w:rFonts w:cs="Arial"/>
                <w:i/>
                <w:szCs w:val="22"/>
              </w:rPr>
              <w:t>”</w:t>
            </w:r>
            <w:r w:rsidRPr="001D590D">
              <w:rPr>
                <w:rFonts w:cs="Arial"/>
                <w:szCs w:val="22"/>
              </w:rPr>
              <w:t xml:space="preserve"> (slopes varied from 1:3 to 1:8). The UF also built test houses to demonstrate the options that would be on offer in the last phase of the project and trained local people who later became contractors for the construction of the final units.</w:t>
            </w:r>
          </w:p>
          <w:p w14:paraId="2C6DC9BE" w14:textId="647E346B" w:rsidR="00BF50FC" w:rsidRPr="003C7C54" w:rsidRDefault="00BF50FC" w:rsidP="00F52E9A">
            <w:pPr>
              <w:rPr>
                <w:rFonts w:cs="Arial"/>
              </w:rPr>
            </w:pPr>
            <w:r w:rsidRPr="001D590D">
              <w:rPr>
                <w:rFonts w:cs="Arial"/>
                <w:b/>
                <w:szCs w:val="22"/>
              </w:rPr>
              <w:t xml:space="preserve">Comment: </w:t>
            </w:r>
            <w:r w:rsidRPr="001D590D">
              <w:rPr>
                <w:rFonts w:cs="Arial"/>
                <w:szCs w:val="22"/>
              </w:rPr>
              <w:t xml:space="preserve">The Inanda Newtown project had a subsequent phase which was the development of formal units either a shell house or a starter home, at which point it was expected that households would move from their self-constructed shacks to the new more formal structures. However, the work done by the Urban Foundation ensured a first phase that provided relocated households with access to relatively inexpensive materials that were affordable by the very low income residents and access to skilled-labour that assisted in ensuring the quality of shacks and informal structures until the last phase was completed and housing provided. It also encouraged local skills development and entrepreneurship in activities that went beyond the life of the project. The UF also trained people for the longer term and offered a site from which local businesses, which supplied the appropriate goods and services could work from. Napier (2002) comments that this project was typical of the </w:t>
            </w:r>
            <w:r w:rsidRPr="001D5A94">
              <w:rPr>
                <w:rFonts w:cs="Arial"/>
                <w:i/>
                <w:szCs w:val="22"/>
              </w:rPr>
              <w:t xml:space="preserve">“well-funded NGO  model, which enabled many of the support costs to be absorbed within the </w:t>
            </w:r>
            <w:r w:rsidR="008B47BF">
              <w:rPr>
                <w:rFonts w:cs="Arial"/>
                <w:i/>
                <w:szCs w:val="22"/>
              </w:rPr>
              <w:t>organization</w:t>
            </w:r>
            <w:r w:rsidRPr="001D5A94">
              <w:rPr>
                <w:rFonts w:cs="Arial"/>
                <w:i/>
                <w:szCs w:val="22"/>
              </w:rPr>
              <w:t>…”</w:t>
            </w:r>
            <w:r w:rsidRPr="001D590D">
              <w:rPr>
                <w:rFonts w:cs="Arial"/>
                <w:szCs w:val="22"/>
              </w:rPr>
              <w:t xml:space="preserve"> and not be passed on to the households, keeping prices of materials and services down and thus affordable for the target market. </w:t>
            </w:r>
          </w:p>
        </w:tc>
      </w:tr>
    </w:tbl>
    <w:p w14:paraId="7E5134DB" w14:textId="77777777" w:rsidR="00BF50FC" w:rsidRDefault="00BF50FC" w:rsidP="00BF50FC">
      <w:pPr>
        <w:rPr>
          <w:rFonts w:cs="Arial"/>
          <w:i/>
          <w:szCs w:val="22"/>
        </w:rPr>
      </w:pPr>
    </w:p>
    <w:p w14:paraId="7132CA04" w14:textId="77777777" w:rsidR="00B00057" w:rsidRDefault="00B00057" w:rsidP="00C273B1">
      <w:pPr>
        <w:pStyle w:val="Heading3"/>
      </w:pPr>
      <w:bookmarkStart w:id="361" w:name="_Toc262041248"/>
      <w:bookmarkStart w:id="362" w:name="_Toc262067903"/>
      <w:bookmarkStart w:id="363" w:name="_Toc262068229"/>
      <w:r>
        <w:t>Suggested Implementation Arrangements</w:t>
      </w:r>
      <w:bookmarkEnd w:id="361"/>
      <w:bookmarkEnd w:id="362"/>
      <w:bookmarkEnd w:id="363"/>
    </w:p>
    <w:p w14:paraId="447CF510" w14:textId="1295570E" w:rsidR="00B00057" w:rsidRDefault="00E81DB5" w:rsidP="00250EA9">
      <w:pPr>
        <w:spacing w:line="360" w:lineRule="auto"/>
        <w:rPr>
          <w:rFonts w:cs="Arial"/>
          <w:szCs w:val="22"/>
        </w:rPr>
      </w:pPr>
      <w:r>
        <w:rPr>
          <w:rFonts w:cs="Arial"/>
          <w:szCs w:val="22"/>
        </w:rPr>
        <w:lastRenderedPageBreak/>
        <w:t>Interventions targeting the strengthening of the local construction sector need to be tackled at two levels:</w:t>
      </w:r>
    </w:p>
    <w:p w14:paraId="686959F0" w14:textId="77777777" w:rsidR="009357E6" w:rsidRPr="005F280F" w:rsidRDefault="00E81DB5" w:rsidP="0055634E">
      <w:pPr>
        <w:pStyle w:val="ListParagraph"/>
        <w:numPr>
          <w:ilvl w:val="0"/>
          <w:numId w:val="21"/>
        </w:numPr>
        <w:ind w:left="720"/>
      </w:pPr>
      <w:r w:rsidRPr="005F280F">
        <w:t xml:space="preserve">At the local or project level an assessment of the capacity of the local and area construction industry to service the housing consolidation process needs to be made at an early stage in the ISU process, and as soon as </w:t>
      </w:r>
      <w:r w:rsidR="009357E6" w:rsidRPr="005F280F">
        <w:t>clarity starts to emerge on the house types and building technologies that will be promoted in  consolidation process. Key points of intervention will need to be identified.</w:t>
      </w:r>
    </w:p>
    <w:p w14:paraId="3AA34417" w14:textId="77777777" w:rsidR="00E0039C" w:rsidRPr="005F280F" w:rsidRDefault="009357E6" w:rsidP="0055634E">
      <w:pPr>
        <w:pStyle w:val="ListParagraph"/>
        <w:numPr>
          <w:ilvl w:val="0"/>
          <w:numId w:val="21"/>
        </w:numPr>
        <w:ind w:left="720"/>
      </w:pPr>
      <w:r w:rsidRPr="005F280F">
        <w:t>Once the capacity shortfalls are isolated</w:t>
      </w:r>
      <w:r w:rsidR="00E0039C" w:rsidRPr="005F280F">
        <w:t>,</w:t>
      </w:r>
      <w:r w:rsidRPr="005F280F">
        <w:t xml:space="preserve"> agencies responsible for capacity development in the relevant sectors can be approached for assistance and funding in addressing these shortfalls.  </w:t>
      </w:r>
    </w:p>
    <w:p w14:paraId="5BE2459C" w14:textId="6E261391" w:rsidR="00E81DB5" w:rsidRDefault="00E0039C" w:rsidP="0055634E">
      <w:pPr>
        <w:pStyle w:val="ListParagraph"/>
        <w:numPr>
          <w:ilvl w:val="0"/>
          <w:numId w:val="21"/>
        </w:numPr>
        <w:ind w:left="720"/>
      </w:pPr>
      <w:r w:rsidRPr="005F280F">
        <w:t xml:space="preserve">In respect of identifying and developing the </w:t>
      </w:r>
      <w:r w:rsidR="00DD478B" w:rsidRPr="005F280F">
        <w:t>capacities needed</w:t>
      </w:r>
      <w:r w:rsidRPr="005F280F">
        <w:t xml:space="preserve"> to </w:t>
      </w:r>
      <w:r w:rsidR="00DD478B" w:rsidRPr="005F280F">
        <w:t>connect to and maintain utilities this needs to be undertaken between the project level and the authorities responsible for the supply of the particular service.</w:t>
      </w:r>
    </w:p>
    <w:p w14:paraId="6FD1E0B2" w14:textId="77777777" w:rsidR="00F248FD" w:rsidRPr="005F280F" w:rsidRDefault="00F248FD" w:rsidP="00F248FD">
      <w:pPr>
        <w:ind w:left="1080"/>
      </w:pPr>
    </w:p>
    <w:p w14:paraId="08D2392A" w14:textId="77777777" w:rsidR="00B00057" w:rsidRPr="00EB7C8E" w:rsidRDefault="00B00057" w:rsidP="00C273B1">
      <w:pPr>
        <w:pStyle w:val="Heading3"/>
      </w:pPr>
      <w:bookmarkStart w:id="364" w:name="_Toc262041249"/>
      <w:bookmarkStart w:id="365" w:name="_Toc262067904"/>
      <w:bookmarkStart w:id="366" w:name="_Toc262068230"/>
      <w:r>
        <w:t>Sources of Finance Assistance</w:t>
      </w:r>
      <w:bookmarkEnd w:id="364"/>
      <w:bookmarkEnd w:id="365"/>
      <w:bookmarkEnd w:id="366"/>
    </w:p>
    <w:p w14:paraId="016636EF" w14:textId="4ABC1E5A" w:rsidR="00DD478B" w:rsidRDefault="00DD478B" w:rsidP="00F248FD">
      <w:pPr>
        <w:pStyle w:val="ListParagraph"/>
        <w:numPr>
          <w:ilvl w:val="0"/>
          <w:numId w:val="75"/>
        </w:numPr>
        <w:ind w:left="720"/>
      </w:pPr>
      <w:r>
        <w:t>It is immediately evident that the UISP does not current</w:t>
      </w:r>
      <w:r w:rsidR="007569D7">
        <w:t>ly</w:t>
      </w:r>
      <w:r>
        <w:t xml:space="preserve"> provide for and allocate funding to the functions associated with local construction sector capacity development.</w:t>
      </w:r>
    </w:p>
    <w:p w14:paraId="63C4F2C8" w14:textId="58ADE2BB" w:rsidR="00DD478B" w:rsidRDefault="00DD478B" w:rsidP="00F248FD">
      <w:pPr>
        <w:pStyle w:val="ListParagraph"/>
        <w:numPr>
          <w:ilvl w:val="0"/>
          <w:numId w:val="75"/>
        </w:numPr>
        <w:ind w:left="720"/>
      </w:pPr>
      <w:r>
        <w:t xml:space="preserve">The EPHP could potentially be used for this purpose but its current formulation is tied to the construction of </w:t>
      </w:r>
      <w:r w:rsidR="00E01C9B">
        <w:t>subsidized</w:t>
      </w:r>
      <w:r>
        <w:t xml:space="preserve"> units.</w:t>
      </w:r>
    </w:p>
    <w:p w14:paraId="4030F2F1" w14:textId="2C0FA8F7" w:rsidR="005C6AB4" w:rsidRDefault="00DD478B" w:rsidP="00F248FD">
      <w:pPr>
        <w:pStyle w:val="ListParagraph"/>
        <w:numPr>
          <w:ilvl w:val="0"/>
          <w:numId w:val="75"/>
        </w:numPr>
        <w:ind w:left="720"/>
      </w:pPr>
      <w:r>
        <w:t xml:space="preserve">An array of funding streams could be potentially be tapped for the implementation of local construction sector capacity development, including the various </w:t>
      </w:r>
      <w:r w:rsidR="00B00057">
        <w:t>SETA</w:t>
      </w:r>
      <w:r>
        <w:t>s, SEDAs, the NHBRC,</w:t>
      </w:r>
      <w:r w:rsidR="005F280F">
        <w:t xml:space="preserve"> the CIDB,</w:t>
      </w:r>
      <w:r>
        <w:t xml:space="preserve"> and various LED programmes but the diverse and dissipated </w:t>
      </w:r>
      <w:r w:rsidR="005C6AB4">
        <w:t xml:space="preserve">distribution of these agencies, different programme applications will  probably make it unviable to mobilise them  at the project level. </w:t>
      </w:r>
    </w:p>
    <w:p w14:paraId="5A060FB6" w14:textId="034D5CDE" w:rsidR="005C6AB4" w:rsidRDefault="005C6AB4" w:rsidP="00F248FD">
      <w:pPr>
        <w:pStyle w:val="ListParagraph"/>
        <w:numPr>
          <w:ilvl w:val="0"/>
          <w:numId w:val="75"/>
        </w:numPr>
        <w:ind w:left="720"/>
      </w:pPr>
      <w:r>
        <w:t>It is therefore apparent that two options exist for the funding of the local construction sector capacity development required by the “blended” mode of housing consolidation:</w:t>
      </w:r>
    </w:p>
    <w:p w14:paraId="682C372B" w14:textId="63AD88C7" w:rsidR="005C6AB4" w:rsidRDefault="005C6AB4" w:rsidP="00F248FD">
      <w:pPr>
        <w:pStyle w:val="ListParagraph"/>
        <w:numPr>
          <w:ilvl w:val="1"/>
          <w:numId w:val="75"/>
        </w:numPr>
        <w:ind w:left="1080"/>
      </w:pPr>
      <w:r>
        <w:t>Modify the UISP parameters and funding provisions to cater for local construction sector capacity development.</w:t>
      </w:r>
    </w:p>
    <w:p w14:paraId="3B3FF5F1" w14:textId="6B014580" w:rsidR="005C6AB4" w:rsidRDefault="005C6AB4" w:rsidP="00F248FD">
      <w:pPr>
        <w:pStyle w:val="ListParagraph"/>
        <w:numPr>
          <w:ilvl w:val="1"/>
          <w:numId w:val="75"/>
        </w:numPr>
        <w:ind w:left="1080"/>
      </w:pPr>
      <w:r>
        <w:t xml:space="preserve">Create </w:t>
      </w:r>
      <w:r w:rsidR="005F280F">
        <w:t>regional and</w:t>
      </w:r>
      <w:r>
        <w:t xml:space="preserve"> national programmes that couple and systematize support from the various SETAs</w:t>
      </w:r>
      <w:r w:rsidR="005F280F">
        <w:t>,</w:t>
      </w:r>
      <w:r>
        <w:t xml:space="preserve"> </w:t>
      </w:r>
      <w:r w:rsidR="005F280F">
        <w:t>SEDAs,</w:t>
      </w:r>
      <w:r>
        <w:t xml:space="preserve"> </w:t>
      </w:r>
      <w:r w:rsidR="005F280F">
        <w:t xml:space="preserve">the CIDB, NHBRC etc. </w:t>
      </w:r>
    </w:p>
    <w:p w14:paraId="000C50F8" w14:textId="140183B3" w:rsidR="00B00057" w:rsidRDefault="00B03E6C" w:rsidP="00540DD7">
      <w:pPr>
        <w:pStyle w:val="Heading2"/>
      </w:pPr>
      <w:bookmarkStart w:id="367" w:name="_Toc262067905"/>
      <w:bookmarkStart w:id="368" w:name="_Toc270946055"/>
      <w:bookmarkStart w:id="369" w:name="_Toc262041250"/>
      <w:r>
        <w:lastRenderedPageBreak/>
        <w:t>Special Needs Supplementary</w:t>
      </w:r>
      <w:r w:rsidR="00B00057">
        <w:t xml:space="preserve"> </w:t>
      </w:r>
      <w:r w:rsidR="00F83372">
        <w:t xml:space="preserve">Financial </w:t>
      </w:r>
      <w:r w:rsidR="00B00057">
        <w:t>Support</w:t>
      </w:r>
      <w:bookmarkEnd w:id="367"/>
      <w:bookmarkEnd w:id="368"/>
      <w:r w:rsidR="00B00057">
        <w:t xml:space="preserve"> </w:t>
      </w:r>
      <w:bookmarkEnd w:id="369"/>
    </w:p>
    <w:p w14:paraId="66C8E7EE" w14:textId="77777777" w:rsidR="007273E8" w:rsidRDefault="007273E8" w:rsidP="00250EA9">
      <w:pPr>
        <w:spacing w:after="0"/>
        <w:rPr>
          <w:rFonts w:cs="Arial"/>
          <w:szCs w:val="22"/>
        </w:rPr>
      </w:pPr>
    </w:p>
    <w:p w14:paraId="76EA2F5B" w14:textId="2B03FCB8" w:rsidR="005F280F" w:rsidRDefault="005F280F" w:rsidP="00250EA9">
      <w:pPr>
        <w:spacing w:line="360" w:lineRule="auto"/>
        <w:rPr>
          <w:rFonts w:cs="Arial"/>
          <w:szCs w:val="22"/>
        </w:rPr>
      </w:pPr>
      <w:r>
        <w:rPr>
          <w:rFonts w:cs="Arial"/>
          <w:szCs w:val="22"/>
        </w:rPr>
        <w:t>Green</w:t>
      </w:r>
      <w:r w:rsidR="007273E8">
        <w:rPr>
          <w:rFonts w:cs="Arial"/>
          <w:szCs w:val="22"/>
        </w:rPr>
        <w:t>e</w:t>
      </w:r>
      <w:r>
        <w:rPr>
          <w:rFonts w:cs="Arial"/>
          <w:szCs w:val="22"/>
        </w:rPr>
        <w:t xml:space="preserve"> and Rojas </w:t>
      </w:r>
      <w:r w:rsidR="007273E8">
        <w:rPr>
          <w:rFonts w:cs="Arial"/>
          <w:szCs w:val="22"/>
        </w:rPr>
        <w:t>(</w:t>
      </w:r>
      <w:r>
        <w:rPr>
          <w:rFonts w:cs="Arial"/>
          <w:szCs w:val="22"/>
        </w:rPr>
        <w:t>2008</w:t>
      </w:r>
      <w:r w:rsidR="000F6F85">
        <w:rPr>
          <w:rFonts w:cs="Arial"/>
          <w:szCs w:val="22"/>
        </w:rPr>
        <w:t>, p.99</w:t>
      </w:r>
      <w:r w:rsidR="007273E8">
        <w:rPr>
          <w:rFonts w:cs="Arial"/>
          <w:szCs w:val="22"/>
        </w:rPr>
        <w:t>)</w:t>
      </w:r>
      <w:r>
        <w:rPr>
          <w:rFonts w:cs="Arial"/>
          <w:szCs w:val="22"/>
        </w:rPr>
        <w:t>, reflecting on the Latin American experience with incremental housing, note that</w:t>
      </w:r>
      <w:r w:rsidR="000F6F85">
        <w:rPr>
          <w:rFonts w:cs="Arial"/>
          <w:szCs w:val="22"/>
        </w:rPr>
        <w:t xml:space="preserve"> ‘</w:t>
      </w:r>
      <w:r w:rsidR="000F6F85" w:rsidRPr="00250EA9">
        <w:rPr>
          <w:rFonts w:cs="Arial"/>
          <w:i/>
          <w:szCs w:val="22"/>
        </w:rPr>
        <w:t>U</w:t>
      </w:r>
      <w:r w:rsidRPr="00250EA9">
        <w:rPr>
          <w:rFonts w:cs="Arial"/>
          <w:i/>
          <w:szCs w:val="22"/>
        </w:rPr>
        <w:t>nfortunately, there are homes that have never been upgraded from this original state.</w:t>
      </w:r>
      <w:r w:rsidR="00186475" w:rsidRPr="00250EA9">
        <w:rPr>
          <w:rFonts w:cs="Arial"/>
          <w:i/>
          <w:szCs w:val="22"/>
        </w:rPr>
        <w:t xml:space="preserve"> </w:t>
      </w:r>
      <w:r w:rsidRPr="00250EA9">
        <w:rPr>
          <w:rFonts w:cs="Arial"/>
          <w:i/>
          <w:szCs w:val="22"/>
        </w:rPr>
        <w:t>There are multiple causes for this, such as a lack of resources for acquiring building materials and manual labour, the advanced stage of the beneficiaries’ family cycle, or  uncertainty with regards to land tenure. One parent households, especially those led by women,</w:t>
      </w:r>
      <w:r w:rsidR="00186475" w:rsidRPr="00250EA9">
        <w:rPr>
          <w:rFonts w:cs="Arial"/>
          <w:i/>
          <w:szCs w:val="22"/>
        </w:rPr>
        <w:t xml:space="preserve"> </w:t>
      </w:r>
      <w:r w:rsidRPr="00250EA9">
        <w:rPr>
          <w:rFonts w:cs="Arial"/>
          <w:i/>
          <w:szCs w:val="22"/>
        </w:rPr>
        <w:t>face greater problems in consolidating and expanding the homes than families with two partners involved; therefore incremental housing programmes should develop specific interventions for these families</w:t>
      </w:r>
      <w:r w:rsidR="000F6F85" w:rsidRPr="005F280F">
        <w:rPr>
          <w:rFonts w:cs="Arial"/>
          <w:szCs w:val="22"/>
        </w:rPr>
        <w:t>.</w:t>
      </w:r>
      <w:r w:rsidR="000F6F85">
        <w:rPr>
          <w:rFonts w:cs="Arial"/>
          <w:szCs w:val="22"/>
        </w:rPr>
        <w:t xml:space="preserve">’ </w:t>
      </w:r>
    </w:p>
    <w:p w14:paraId="738AF91B" w14:textId="2F3FBA78" w:rsidR="00B00057" w:rsidRPr="004F578B" w:rsidRDefault="00B00057" w:rsidP="00250EA9">
      <w:pPr>
        <w:spacing w:line="360" w:lineRule="auto"/>
        <w:rPr>
          <w:rFonts w:cs="Arial"/>
          <w:szCs w:val="22"/>
        </w:rPr>
      </w:pPr>
      <w:r>
        <w:rPr>
          <w:rFonts w:cs="Arial"/>
          <w:szCs w:val="22"/>
        </w:rPr>
        <w:t>In the context of UISP project implementation, every project is likely to face a number of special case households or individuals who require special, additional targeted assistance to improve their housing conditions.</w:t>
      </w:r>
      <w:r w:rsidR="005F280F">
        <w:rPr>
          <w:rFonts w:cs="Arial"/>
          <w:szCs w:val="22"/>
        </w:rPr>
        <w:t xml:space="preserve"> </w:t>
      </w:r>
      <w:r w:rsidR="000F6F85">
        <w:rPr>
          <w:rFonts w:cs="Arial"/>
          <w:szCs w:val="22"/>
        </w:rPr>
        <w:t>S</w:t>
      </w:r>
      <w:r>
        <w:rPr>
          <w:rFonts w:cs="Arial"/>
          <w:szCs w:val="22"/>
        </w:rPr>
        <w:t>pecial need</w:t>
      </w:r>
      <w:r w:rsidR="000F6F85">
        <w:rPr>
          <w:rFonts w:cs="Arial"/>
          <w:szCs w:val="22"/>
        </w:rPr>
        <w:t xml:space="preserve">s may include </w:t>
      </w:r>
      <w:r>
        <w:rPr>
          <w:rFonts w:cs="Arial"/>
          <w:szCs w:val="22"/>
        </w:rPr>
        <w:t>aged or child headed households, physically or mentally disabled people and the very sick. Some mechanisms for dealing with these are discussed here.</w:t>
      </w:r>
    </w:p>
    <w:p w14:paraId="358377CC" w14:textId="77777777" w:rsidR="00B00057" w:rsidRDefault="00B00057" w:rsidP="00C273B1">
      <w:pPr>
        <w:pStyle w:val="Heading3"/>
      </w:pPr>
      <w:bookmarkStart w:id="370" w:name="_Toc262041251"/>
      <w:bookmarkStart w:id="371" w:name="_Toc262067906"/>
      <w:bookmarkStart w:id="372" w:name="_Toc262068232"/>
      <w:r>
        <w:t>Potential Forms of Support</w:t>
      </w:r>
      <w:bookmarkEnd w:id="370"/>
      <w:bookmarkEnd w:id="371"/>
      <w:bookmarkEnd w:id="372"/>
    </w:p>
    <w:p w14:paraId="0F979F75" w14:textId="77777777" w:rsidR="00B00057" w:rsidRPr="00F04CB0" w:rsidRDefault="00B00057" w:rsidP="00250EA9">
      <w:pPr>
        <w:spacing w:line="360" w:lineRule="auto"/>
        <w:rPr>
          <w:rFonts w:cs="Arial"/>
          <w:szCs w:val="22"/>
        </w:rPr>
      </w:pPr>
      <w:r>
        <w:rPr>
          <w:rFonts w:cs="Arial"/>
          <w:szCs w:val="22"/>
        </w:rPr>
        <w:t>The following potential forms of support need to be considered for special needs households:</w:t>
      </w:r>
    </w:p>
    <w:p w14:paraId="46CD16E2" w14:textId="3AE161F7" w:rsidR="00B00057" w:rsidRPr="00B1369E" w:rsidRDefault="00B00057" w:rsidP="00F248FD">
      <w:pPr>
        <w:pStyle w:val="ListParagraph"/>
        <w:numPr>
          <w:ilvl w:val="0"/>
          <w:numId w:val="75"/>
        </w:numPr>
        <w:ind w:left="720"/>
      </w:pPr>
      <w:r w:rsidRPr="00B1369E">
        <w:t>Implementing fully-</w:t>
      </w:r>
      <w:r w:rsidR="00E01C9B">
        <w:t>subsidized</w:t>
      </w:r>
      <w:r w:rsidRPr="00B1369E">
        <w:t xml:space="preserve"> house development for specific categories of household</w:t>
      </w:r>
      <w:r w:rsidR="000F6F85">
        <w:t>s</w:t>
      </w:r>
      <w:r w:rsidRPr="00B1369E">
        <w:t xml:space="preserve"> </w:t>
      </w:r>
      <w:r w:rsidR="00242179" w:rsidRPr="00B1369E">
        <w:t xml:space="preserve">such as aged people and child headed household </w:t>
      </w:r>
      <w:r w:rsidRPr="00B1369E">
        <w:t>within an overall upgrading project that does not provide top structures to all;</w:t>
      </w:r>
    </w:p>
    <w:p w14:paraId="530B0212" w14:textId="191D19F8" w:rsidR="00B00057" w:rsidRPr="00B1369E" w:rsidRDefault="00B00057" w:rsidP="00F248FD">
      <w:pPr>
        <w:pStyle w:val="ListParagraph"/>
        <w:numPr>
          <w:ilvl w:val="0"/>
          <w:numId w:val="75"/>
        </w:numPr>
        <w:ind w:left="720"/>
      </w:pPr>
      <w:r w:rsidRPr="00B1369E">
        <w:t>Applying subsidy programmes</w:t>
      </w:r>
      <w:r w:rsidR="00B1369E">
        <w:t xml:space="preserve"> </w:t>
      </w:r>
      <w:r w:rsidR="00242179" w:rsidRPr="00B1369E">
        <w:t xml:space="preserve">that target </w:t>
      </w:r>
      <w:r w:rsidRPr="00B1369E">
        <w:t>particu</w:t>
      </w:r>
      <w:r w:rsidR="00242179" w:rsidRPr="00B1369E">
        <w:t xml:space="preserve">lar beneficiary groups, such as special facilities needed </w:t>
      </w:r>
      <w:r w:rsidR="00B1369E" w:rsidRPr="00B1369E">
        <w:t>by disabled persons</w:t>
      </w:r>
      <w:r w:rsidRPr="00B1369E">
        <w:t>, for which special concessions are allowed in terms of subsidy policy;</w:t>
      </w:r>
    </w:p>
    <w:p w14:paraId="00465009" w14:textId="77777777" w:rsidR="00B00057" w:rsidRDefault="00B00057" w:rsidP="00F248FD">
      <w:pPr>
        <w:pStyle w:val="ListParagraph"/>
        <w:numPr>
          <w:ilvl w:val="0"/>
          <w:numId w:val="75"/>
        </w:numPr>
        <w:ind w:left="720"/>
      </w:pPr>
      <w:r w:rsidRPr="00B1369E">
        <w:t>Applying for specific cases to be transferred</w:t>
      </w:r>
      <w:r>
        <w:t xml:space="preserve"> to more appropriate accommodation or managed care facilities, such as retirement homes, orphanages or hospices.</w:t>
      </w:r>
    </w:p>
    <w:p w14:paraId="24790778" w14:textId="77777777" w:rsidR="00B00057" w:rsidRDefault="00B00057" w:rsidP="00C273B1">
      <w:pPr>
        <w:pStyle w:val="Heading3"/>
      </w:pPr>
      <w:bookmarkStart w:id="373" w:name="_Toc262041252"/>
      <w:bookmarkStart w:id="374" w:name="_Toc262067907"/>
      <w:bookmarkStart w:id="375" w:name="_Toc262068233"/>
      <w:r>
        <w:t>Suggested Implementation Arrangements</w:t>
      </w:r>
      <w:bookmarkEnd w:id="373"/>
      <w:bookmarkEnd w:id="374"/>
      <w:bookmarkEnd w:id="375"/>
    </w:p>
    <w:p w14:paraId="29EBF0EB" w14:textId="5B9CF152" w:rsidR="00B00057" w:rsidRDefault="00B00057" w:rsidP="00250EA9">
      <w:pPr>
        <w:spacing w:line="360" w:lineRule="auto"/>
      </w:pPr>
      <w:r w:rsidRPr="00022015">
        <w:rPr>
          <w:rFonts w:cs="Arial"/>
          <w:szCs w:val="22"/>
        </w:rPr>
        <w:t>Implementing different eligibility criteria within the same project can raise important design and equity issues, and therefore needs to</w:t>
      </w:r>
      <w:r w:rsidR="00186475">
        <w:rPr>
          <w:rFonts w:cs="Arial"/>
          <w:szCs w:val="22"/>
        </w:rPr>
        <w:t xml:space="preserve"> be carefully managed by the IA. </w:t>
      </w:r>
      <w:r w:rsidRPr="00022015">
        <w:t>How</w:t>
      </w:r>
      <w:r w:rsidR="000F6F85">
        <w:t xml:space="preserve"> such an approach raises the question of whether</w:t>
      </w:r>
      <w:r w:rsidR="00186475">
        <w:t xml:space="preserve"> special need</w:t>
      </w:r>
      <w:r w:rsidR="00343DBB">
        <w:t>s</w:t>
      </w:r>
      <w:r w:rsidR="00186475">
        <w:t xml:space="preserve"> accommodation </w:t>
      </w:r>
      <w:r w:rsidRPr="00022015">
        <w:t xml:space="preserve">subsidies </w:t>
      </w:r>
      <w:r w:rsidR="000F6F85">
        <w:t xml:space="preserve">can </w:t>
      </w:r>
      <w:r w:rsidR="00186475">
        <w:t>best be applied within the “Blended” consolidation mode? Noting that special need beneficiaries will probably be scattered across the settlement</w:t>
      </w:r>
      <w:r w:rsidR="000F6F85">
        <w:t xml:space="preserve">. In response there are </w:t>
      </w:r>
      <w:r w:rsidR="00186475">
        <w:t xml:space="preserve">two </w:t>
      </w:r>
      <w:r w:rsidR="000F6F85">
        <w:t xml:space="preserve">possible </w:t>
      </w:r>
      <w:r w:rsidR="00186475">
        <w:t>delivery modes:</w:t>
      </w:r>
    </w:p>
    <w:p w14:paraId="69B4742A" w14:textId="2B0AB7A0" w:rsidR="00186475" w:rsidRDefault="00186475" w:rsidP="0055634E">
      <w:pPr>
        <w:pStyle w:val="ListParagraph"/>
        <w:numPr>
          <w:ilvl w:val="0"/>
          <w:numId w:val="36"/>
        </w:numPr>
        <w:ind w:left="720"/>
      </w:pPr>
      <w:r>
        <w:lastRenderedPageBreak/>
        <w:t xml:space="preserve">Individual subsidies through a voucher system similar to the system discussed in Section </w:t>
      </w:r>
      <w:r w:rsidR="00E03B3C">
        <w:t xml:space="preserve">5.6 above. </w:t>
      </w:r>
    </w:p>
    <w:p w14:paraId="5533375C" w14:textId="30801373" w:rsidR="00E03B3C" w:rsidRDefault="00E03B3C" w:rsidP="0055634E">
      <w:pPr>
        <w:pStyle w:val="ListParagraph"/>
        <w:numPr>
          <w:ilvl w:val="0"/>
          <w:numId w:val="36"/>
        </w:numPr>
        <w:ind w:left="720"/>
        <w:rPr>
          <w:rFonts w:eastAsia="Times New Roman" w:cs="Arial"/>
          <w:lang w:val="en-GB"/>
        </w:rPr>
      </w:pPr>
      <w:r>
        <w:t xml:space="preserve">Contractor built accommodation – though appointed contractors procured through </w:t>
      </w:r>
      <w:r w:rsidRPr="00E03B3C">
        <w:rPr>
          <w:rFonts w:eastAsia="Times New Roman" w:cs="Arial"/>
          <w:lang w:val="en-GB"/>
        </w:rPr>
        <w:t>MFMA/PFMA compliant process.</w:t>
      </w:r>
    </w:p>
    <w:p w14:paraId="3F97AFBF" w14:textId="5FEAF9DF" w:rsidR="00E03B3C" w:rsidRPr="00E03B3C" w:rsidRDefault="00E03B3C" w:rsidP="00250EA9">
      <w:pPr>
        <w:spacing w:line="360" w:lineRule="auto"/>
        <w:rPr>
          <w:rFonts w:cs="Arial"/>
        </w:rPr>
      </w:pPr>
      <w:r>
        <w:rPr>
          <w:rFonts w:cs="Arial"/>
        </w:rPr>
        <w:t xml:space="preserve">Both of these modes </w:t>
      </w:r>
      <w:r w:rsidR="00E24D72">
        <w:rPr>
          <w:rFonts w:cs="Arial"/>
        </w:rPr>
        <w:t>may be problematic</w:t>
      </w:r>
      <w:r>
        <w:rPr>
          <w:rFonts w:cs="Arial"/>
        </w:rPr>
        <w:t xml:space="preserve"> at the </w:t>
      </w:r>
      <w:r w:rsidR="00E24D72">
        <w:rPr>
          <w:rFonts w:cs="Arial"/>
        </w:rPr>
        <w:t>p</w:t>
      </w:r>
      <w:r>
        <w:rPr>
          <w:rFonts w:cs="Arial"/>
        </w:rPr>
        <w:t>roject level and hence would best be tackled at a city wide or regional level.</w:t>
      </w:r>
    </w:p>
    <w:p w14:paraId="765F2F9D" w14:textId="77777777" w:rsidR="00B00057" w:rsidRPr="00EB7C8E" w:rsidRDefault="00B00057" w:rsidP="00C273B1">
      <w:pPr>
        <w:pStyle w:val="Heading3"/>
      </w:pPr>
      <w:bookmarkStart w:id="376" w:name="_Toc262041253"/>
      <w:bookmarkStart w:id="377" w:name="_Toc262067908"/>
      <w:bookmarkStart w:id="378" w:name="_Toc262068234"/>
      <w:r>
        <w:t>Sources of Subsidy Assistance</w:t>
      </w:r>
      <w:bookmarkEnd w:id="376"/>
      <w:bookmarkEnd w:id="377"/>
      <w:bookmarkEnd w:id="378"/>
    </w:p>
    <w:p w14:paraId="37038F21" w14:textId="77777777" w:rsidR="00E03B3C" w:rsidRDefault="00E03B3C" w:rsidP="00250EA9">
      <w:pPr>
        <w:spacing w:line="360" w:lineRule="auto"/>
        <w:rPr>
          <w:rFonts w:cs="Arial"/>
          <w:szCs w:val="22"/>
        </w:rPr>
      </w:pPr>
      <w:r>
        <w:rPr>
          <w:rFonts w:cs="Arial"/>
          <w:szCs w:val="22"/>
        </w:rPr>
        <w:t>These special needs accommodation subsidies could be sourced from a number of national programmes including the:</w:t>
      </w:r>
    </w:p>
    <w:p w14:paraId="2BB6FDC4" w14:textId="5C7BD9E3" w:rsidR="00B00057" w:rsidRPr="008512E2" w:rsidRDefault="00B00057" w:rsidP="00F248FD">
      <w:pPr>
        <w:pStyle w:val="ListParagraph"/>
        <w:numPr>
          <w:ilvl w:val="0"/>
          <w:numId w:val="75"/>
        </w:numPr>
        <w:ind w:left="720"/>
        <w:jc w:val="left"/>
      </w:pPr>
      <w:r w:rsidRPr="008512E2">
        <w:t>Department of Human Settlements</w:t>
      </w:r>
      <w:r w:rsidR="00E03B3C">
        <w:t xml:space="preserve">- </w:t>
      </w:r>
      <w:r w:rsidR="00E03B3C" w:rsidRPr="00F248FD">
        <w:t>Special Needs Programme</w:t>
      </w:r>
      <w:r w:rsidR="00F248FD">
        <w:t>s</w:t>
      </w:r>
    </w:p>
    <w:p w14:paraId="26321CE0" w14:textId="77777777" w:rsidR="00B00057" w:rsidRPr="008512E2" w:rsidRDefault="00B00057" w:rsidP="00F248FD">
      <w:pPr>
        <w:pStyle w:val="ListParagraph"/>
        <w:numPr>
          <w:ilvl w:val="0"/>
          <w:numId w:val="75"/>
        </w:numPr>
        <w:ind w:left="720"/>
        <w:jc w:val="left"/>
      </w:pPr>
      <w:r w:rsidRPr="008512E2">
        <w:t>Department of Health</w:t>
      </w:r>
    </w:p>
    <w:p w14:paraId="6B8A7A97" w14:textId="39223BBB" w:rsidR="00B00057" w:rsidRPr="008512E2" w:rsidRDefault="00B00057" w:rsidP="00F248FD">
      <w:pPr>
        <w:pStyle w:val="ListParagraph"/>
        <w:numPr>
          <w:ilvl w:val="0"/>
          <w:numId w:val="75"/>
        </w:numPr>
        <w:ind w:left="720"/>
        <w:jc w:val="left"/>
      </w:pPr>
      <w:r w:rsidRPr="008512E2">
        <w:t>D</w:t>
      </w:r>
      <w:r w:rsidR="00E03B3C">
        <w:t>epartment of Social Development</w:t>
      </w:r>
    </w:p>
    <w:bookmarkEnd w:id="340"/>
    <w:bookmarkEnd w:id="341"/>
    <w:bookmarkEnd w:id="342"/>
    <w:bookmarkEnd w:id="343"/>
    <w:p w14:paraId="0A9C19ED" w14:textId="77777777" w:rsidR="00C83373" w:rsidRDefault="00C83373" w:rsidP="00BC4745">
      <w:pPr>
        <w:spacing w:line="360" w:lineRule="auto"/>
        <w:rPr>
          <w:rFonts w:cs="Arial"/>
          <w:szCs w:val="22"/>
          <w:highlight w:val="yellow"/>
        </w:rPr>
      </w:pPr>
    </w:p>
    <w:p w14:paraId="4B352400" w14:textId="3971F185" w:rsidR="00A6659A" w:rsidRPr="0014429F" w:rsidRDefault="00A6659A" w:rsidP="0055634E">
      <w:pPr>
        <w:pStyle w:val="ListParagraph"/>
        <w:numPr>
          <w:ilvl w:val="0"/>
          <w:numId w:val="5"/>
        </w:numPr>
        <w:sectPr w:rsidR="00A6659A" w:rsidRPr="0014429F">
          <w:pgSz w:w="12240" w:h="15840"/>
          <w:pgMar w:top="1440" w:right="1440" w:bottom="1440" w:left="1440" w:header="720" w:footer="720" w:gutter="0"/>
          <w:cols w:space="720"/>
          <w:docGrid w:linePitch="360"/>
        </w:sectPr>
      </w:pPr>
      <w:bookmarkStart w:id="379" w:name="_Toc261617696"/>
      <w:bookmarkStart w:id="380" w:name="_Toc261701458"/>
      <w:bookmarkStart w:id="381" w:name="_Toc261850029"/>
      <w:bookmarkStart w:id="382" w:name="_Toc261860559"/>
      <w:bookmarkEnd w:id="273"/>
      <w:bookmarkEnd w:id="379"/>
      <w:bookmarkEnd w:id="380"/>
      <w:bookmarkEnd w:id="381"/>
      <w:bookmarkEnd w:id="382"/>
    </w:p>
    <w:p w14:paraId="4A04EF4B" w14:textId="40A40774" w:rsidR="00781CCB" w:rsidRDefault="00A6659A" w:rsidP="00E24D72">
      <w:pPr>
        <w:pStyle w:val="Heading1"/>
      </w:pPr>
      <w:bookmarkStart w:id="383" w:name="_Toc261617697"/>
      <w:bookmarkStart w:id="384" w:name="_Toc262067910"/>
      <w:bookmarkStart w:id="385" w:name="_Toc270946056"/>
      <w:r w:rsidRPr="00CF1919">
        <w:lastRenderedPageBreak/>
        <w:t>Conclusions</w:t>
      </w:r>
      <w:bookmarkEnd w:id="383"/>
      <w:bookmarkEnd w:id="384"/>
      <w:r w:rsidR="00781CCB" w:rsidRPr="00CF1919">
        <w:t xml:space="preserve"> </w:t>
      </w:r>
      <w:r w:rsidR="006E4627">
        <w:t>and R</w:t>
      </w:r>
      <w:r w:rsidR="00AE526D">
        <w:t>ecommendations</w:t>
      </w:r>
      <w:bookmarkEnd w:id="385"/>
      <w:r w:rsidR="00AE526D">
        <w:t xml:space="preserve"> </w:t>
      </w:r>
    </w:p>
    <w:p w14:paraId="1F47AD46" w14:textId="233BDA49" w:rsidR="009260F4" w:rsidRDefault="00B744BD" w:rsidP="007C5BBE">
      <w:pPr>
        <w:spacing w:line="360" w:lineRule="auto"/>
      </w:pPr>
      <w:r w:rsidRPr="00814A84">
        <w:rPr>
          <w:rFonts w:cs="Arial"/>
          <w:szCs w:val="22"/>
        </w:rPr>
        <w:t xml:space="preserve">This section outlines </w:t>
      </w:r>
      <w:r w:rsidR="00814A84" w:rsidRPr="00814A84">
        <w:rPr>
          <w:rFonts w:cs="Arial"/>
          <w:szCs w:val="22"/>
        </w:rPr>
        <w:t xml:space="preserve">key conclusions emanating from this document, and then provides a set </w:t>
      </w:r>
      <w:r w:rsidR="00AD108A" w:rsidRPr="00814A84">
        <w:rPr>
          <w:rFonts w:cs="Arial"/>
          <w:szCs w:val="22"/>
        </w:rPr>
        <w:t>of recommendations</w:t>
      </w:r>
      <w:r w:rsidRPr="00814A84">
        <w:rPr>
          <w:rFonts w:cs="Arial"/>
          <w:szCs w:val="22"/>
        </w:rPr>
        <w:t xml:space="preserve"> for taking the findings of this report forward. </w:t>
      </w:r>
    </w:p>
    <w:p w14:paraId="63AED651" w14:textId="15F35D89" w:rsidR="00914CB0" w:rsidRDefault="00914CB0" w:rsidP="00540DD7">
      <w:pPr>
        <w:pStyle w:val="Heading2"/>
      </w:pPr>
      <w:bookmarkStart w:id="386" w:name="_Toc262067911"/>
      <w:bookmarkStart w:id="387" w:name="_Toc270946057"/>
      <w:r w:rsidRPr="00914CB0">
        <w:t xml:space="preserve">Key </w:t>
      </w:r>
      <w:r w:rsidR="00AD15A1">
        <w:t xml:space="preserve">Conclusions and their </w:t>
      </w:r>
      <w:r w:rsidRPr="00914CB0">
        <w:t xml:space="preserve">Implications for </w:t>
      </w:r>
      <w:r w:rsidR="00AD15A1">
        <w:t xml:space="preserve">the funding of </w:t>
      </w:r>
      <w:r w:rsidRPr="00914CB0">
        <w:t>House Consolidation in the UISP</w:t>
      </w:r>
      <w:bookmarkEnd w:id="386"/>
      <w:bookmarkEnd w:id="387"/>
    </w:p>
    <w:p w14:paraId="1F270E84" w14:textId="3B421D26" w:rsidR="00BD4388" w:rsidRPr="008B3D18" w:rsidRDefault="00BD4388" w:rsidP="00BD4388">
      <w:pPr>
        <w:pStyle w:val="ListParagraph"/>
        <w:numPr>
          <w:ilvl w:val="0"/>
          <w:numId w:val="5"/>
        </w:numPr>
      </w:pPr>
      <w:r w:rsidRPr="00BD4388">
        <w:rPr>
          <w:b/>
        </w:rPr>
        <w:t xml:space="preserve">The UISP is still in early stages of implementation. </w:t>
      </w:r>
      <w:r>
        <w:t xml:space="preserve">Given long project cycles, and the </w:t>
      </w:r>
      <w:r w:rsidR="002B3C10">
        <w:t>lead-time</w:t>
      </w:r>
      <w:r>
        <w:t xml:space="preserve"> required to develop a pipeline of UISP projects, limited advanced or completed UISP projects exist. This hampers the ability to obtain clear information on house consolidation practices, but also provides an opportunity to influence these processes across participating NUSP municipalities.</w:t>
      </w:r>
    </w:p>
    <w:p w14:paraId="00BA62B9" w14:textId="34F5F64B" w:rsidR="00747701" w:rsidRPr="00747701" w:rsidRDefault="00747701" w:rsidP="00387481">
      <w:pPr>
        <w:pStyle w:val="ListParagraph"/>
        <w:numPr>
          <w:ilvl w:val="0"/>
          <w:numId w:val="5"/>
        </w:numPr>
      </w:pPr>
      <w:r>
        <w:rPr>
          <w:b/>
        </w:rPr>
        <w:t xml:space="preserve">The current political, policy and financing context in South Africa combine to drive in-situ upgrading programme and projects away from its original, intended purpose.  </w:t>
      </w:r>
      <w:r>
        <w:t>The UISP is often being used as a mechanism through which informal settlements are subject to rollover, relocation and substantial re-blocking, rather than appropriate in-situ approaches. This significantly limits the potential for effective house consolidation</w:t>
      </w:r>
      <w:r w:rsidR="001D6DC0">
        <w:t xml:space="preserve"> within UISP programmes.</w:t>
      </w:r>
    </w:p>
    <w:p w14:paraId="1662EC3F" w14:textId="2F1C7270" w:rsidR="006F1F6B" w:rsidRDefault="009260F4" w:rsidP="00387481">
      <w:pPr>
        <w:pStyle w:val="ListParagraph"/>
        <w:numPr>
          <w:ilvl w:val="0"/>
          <w:numId w:val="5"/>
        </w:numPr>
      </w:pPr>
      <w:r w:rsidRPr="009260F4">
        <w:rPr>
          <w:b/>
        </w:rPr>
        <w:t xml:space="preserve">The UISP is </w:t>
      </w:r>
      <w:r w:rsidR="00E8596D">
        <w:rPr>
          <w:b/>
        </w:rPr>
        <w:t xml:space="preserve">currently </w:t>
      </w:r>
      <w:r w:rsidRPr="009260F4">
        <w:rPr>
          <w:b/>
        </w:rPr>
        <w:t>clearly located within the State Dominant Mode of Housing Consolidation</w:t>
      </w:r>
      <w:r>
        <w:t xml:space="preserve">. </w:t>
      </w:r>
      <w:r w:rsidR="00387481">
        <w:t>The UISP</w:t>
      </w:r>
      <w:r w:rsidR="006F1F6B">
        <w:t>,</w:t>
      </w:r>
      <w:r w:rsidR="00387481">
        <w:t xml:space="preserve"> as currently formulated</w:t>
      </w:r>
      <w:r w:rsidR="006F1F6B">
        <w:t>,</w:t>
      </w:r>
      <w:r w:rsidR="00387481">
        <w:t xml:space="preserve"> is envisaged as an instrument for </w:t>
      </w:r>
      <w:r>
        <w:t>servicing and provision of tenure to residents in informal settlements.  This is a</w:t>
      </w:r>
      <w:r w:rsidR="00387481">
        <w:t xml:space="preserve"> platform through which s</w:t>
      </w:r>
      <w:r w:rsidR="006C760F">
        <w:t xml:space="preserve">upplementary </w:t>
      </w:r>
      <w:r w:rsidR="00DA56D5">
        <w:t xml:space="preserve">top structure </w:t>
      </w:r>
      <w:r w:rsidR="006C760F">
        <w:t xml:space="preserve">subsidy </w:t>
      </w:r>
      <w:r w:rsidR="00387481">
        <w:t xml:space="preserve">programmes </w:t>
      </w:r>
      <w:r>
        <w:t xml:space="preserve">are envisaged to </w:t>
      </w:r>
      <w:r w:rsidR="00387481">
        <w:t>deliver fully</w:t>
      </w:r>
      <w:r w:rsidR="001D6DC0">
        <w:t xml:space="preserve"> </w:t>
      </w:r>
      <w:r w:rsidR="00387481">
        <w:t xml:space="preserve">subsidised houses to </w:t>
      </w:r>
      <w:r w:rsidR="00AD15A1">
        <w:t xml:space="preserve">qualifying </w:t>
      </w:r>
      <w:r w:rsidR="005A027D">
        <w:t xml:space="preserve">beneficiaries. </w:t>
      </w:r>
      <w:r>
        <w:t>However, the UISP implicitly supports</w:t>
      </w:r>
      <w:r w:rsidR="00AD15A1">
        <w:t xml:space="preserve"> some of the elements required to cater for other modes of housing consolidation.</w:t>
      </w:r>
    </w:p>
    <w:p w14:paraId="5B3E1217" w14:textId="4BAFB4F8" w:rsidR="00387481" w:rsidRPr="00EF1BFF" w:rsidRDefault="00DA56D5" w:rsidP="00387481">
      <w:pPr>
        <w:pStyle w:val="ListParagraph"/>
        <w:numPr>
          <w:ilvl w:val="0"/>
          <w:numId w:val="5"/>
        </w:numPr>
        <w:rPr>
          <w:highlight w:val="yellow"/>
        </w:rPr>
      </w:pPr>
      <w:r w:rsidRPr="00EF1BFF">
        <w:rPr>
          <w:b/>
          <w:highlight w:val="yellow"/>
        </w:rPr>
        <w:t>In many SA in situ upgrading projects</w:t>
      </w:r>
      <w:r w:rsidR="00AD15A1" w:rsidRPr="00EF1BFF">
        <w:rPr>
          <w:b/>
          <w:highlight w:val="yellow"/>
        </w:rPr>
        <w:t>,</w:t>
      </w:r>
      <w:r w:rsidRPr="00EF1BFF">
        <w:rPr>
          <w:b/>
          <w:highlight w:val="yellow"/>
        </w:rPr>
        <w:t xml:space="preserve"> </w:t>
      </w:r>
      <w:r w:rsidR="009260F4" w:rsidRPr="00EF1BFF">
        <w:rPr>
          <w:b/>
          <w:highlight w:val="yellow"/>
        </w:rPr>
        <w:t>the State Dominant Mode of Housing Consolidation unfeasible and/or undesirable.</w:t>
      </w:r>
      <w:r w:rsidR="009260F4" w:rsidRPr="00EF1BFF">
        <w:rPr>
          <w:highlight w:val="yellow"/>
        </w:rPr>
        <w:t xml:space="preserve"> This is due to </w:t>
      </w:r>
      <w:r w:rsidRPr="00EF1BFF">
        <w:rPr>
          <w:highlight w:val="yellow"/>
        </w:rPr>
        <w:t xml:space="preserve">an amalgam of </w:t>
      </w:r>
      <w:r w:rsidR="00AD15A1" w:rsidRPr="00EF1BFF">
        <w:rPr>
          <w:highlight w:val="yellow"/>
        </w:rPr>
        <w:t>fiscal,</w:t>
      </w:r>
      <w:r w:rsidRPr="00EF1BFF">
        <w:rPr>
          <w:highlight w:val="yellow"/>
        </w:rPr>
        <w:t xml:space="preserve"> technical and social considerations </w:t>
      </w:r>
      <w:r w:rsidR="009260F4" w:rsidRPr="00EF1BFF">
        <w:rPr>
          <w:highlight w:val="yellow"/>
        </w:rPr>
        <w:t>that</w:t>
      </w:r>
      <w:r w:rsidRPr="00EF1BFF">
        <w:rPr>
          <w:highlight w:val="yellow"/>
        </w:rPr>
        <w:t xml:space="preserve"> </w:t>
      </w:r>
      <w:r w:rsidR="009260F4" w:rsidRPr="00EF1BFF">
        <w:rPr>
          <w:highlight w:val="yellow"/>
        </w:rPr>
        <w:t xml:space="preserve">jointly or separately constrain the ability to effectively implement the delivery of fully subsidised houses in Phase Four. </w:t>
      </w:r>
      <w:r w:rsidR="00AD15A1" w:rsidRPr="00EF1BFF">
        <w:rPr>
          <w:highlight w:val="yellow"/>
        </w:rPr>
        <w:t>Hence t</w:t>
      </w:r>
      <w:r w:rsidR="00387481" w:rsidRPr="00EF1BFF">
        <w:rPr>
          <w:highlight w:val="yellow"/>
        </w:rPr>
        <w:t xml:space="preserve">he nature of top structure consolidation </w:t>
      </w:r>
      <w:r w:rsidR="00AD15A1" w:rsidRPr="00EF1BFF">
        <w:rPr>
          <w:highlight w:val="yellow"/>
        </w:rPr>
        <w:t>will increasingly</w:t>
      </w:r>
      <w:r w:rsidR="00387481" w:rsidRPr="00EF1BFF">
        <w:rPr>
          <w:highlight w:val="yellow"/>
        </w:rPr>
        <w:t xml:space="preserve"> vary in South Africa</w:t>
      </w:r>
      <w:r w:rsidR="00AD15A1" w:rsidRPr="00EF1BFF">
        <w:rPr>
          <w:highlight w:val="yellow"/>
        </w:rPr>
        <w:t xml:space="preserve"> ISU and will require a move towards a mixed or </w:t>
      </w:r>
      <w:r w:rsidR="00387481" w:rsidRPr="00EF1BFF">
        <w:rPr>
          <w:highlight w:val="yellow"/>
        </w:rPr>
        <w:t>a ble</w:t>
      </w:r>
      <w:r w:rsidR="00F42F49" w:rsidRPr="00EF1BFF">
        <w:rPr>
          <w:highlight w:val="yellow"/>
        </w:rPr>
        <w:t xml:space="preserve">nded </w:t>
      </w:r>
      <w:r w:rsidR="00AD15A1" w:rsidRPr="00EF1BFF">
        <w:rPr>
          <w:highlight w:val="yellow"/>
        </w:rPr>
        <w:t xml:space="preserve">consolidation mode </w:t>
      </w:r>
      <w:r w:rsidR="00F42F49" w:rsidRPr="00EF1BFF">
        <w:rPr>
          <w:highlight w:val="yellow"/>
        </w:rPr>
        <w:t>where</w:t>
      </w:r>
      <w:r w:rsidR="005A027D" w:rsidRPr="00EF1BFF">
        <w:rPr>
          <w:highlight w:val="yellow"/>
        </w:rPr>
        <w:t xml:space="preserve">by </w:t>
      </w:r>
      <w:r w:rsidR="00AD15A1" w:rsidRPr="00EF1BFF">
        <w:rPr>
          <w:highlight w:val="yellow"/>
        </w:rPr>
        <w:t xml:space="preserve">state </w:t>
      </w:r>
      <w:r w:rsidR="00F42F49" w:rsidRPr="00EF1BFF">
        <w:rPr>
          <w:highlight w:val="yellow"/>
        </w:rPr>
        <w:t xml:space="preserve">subsidy is combined with other </w:t>
      </w:r>
      <w:r w:rsidR="00AD15A1" w:rsidRPr="00EF1BFF">
        <w:rPr>
          <w:highlight w:val="yellow"/>
        </w:rPr>
        <w:t xml:space="preserve">support and individual household </w:t>
      </w:r>
      <w:r w:rsidR="00F42F49" w:rsidRPr="00EF1BFF">
        <w:rPr>
          <w:highlight w:val="yellow"/>
        </w:rPr>
        <w:t>resources</w:t>
      </w:r>
      <w:r w:rsidR="00AD15A1" w:rsidRPr="00EF1BFF">
        <w:rPr>
          <w:highlight w:val="yellow"/>
        </w:rPr>
        <w:t>.</w:t>
      </w:r>
    </w:p>
    <w:p w14:paraId="3D5AA150" w14:textId="48A1BD6E" w:rsidR="00AD15A1" w:rsidRPr="003109EC" w:rsidRDefault="009260F4" w:rsidP="00387481">
      <w:pPr>
        <w:pStyle w:val="ListParagraph"/>
        <w:numPr>
          <w:ilvl w:val="0"/>
          <w:numId w:val="5"/>
        </w:numPr>
        <w:rPr>
          <w:highlight w:val="yellow"/>
        </w:rPr>
      </w:pPr>
      <w:r w:rsidRPr="00EF1BFF">
        <w:rPr>
          <w:b/>
          <w:highlight w:val="yellow"/>
        </w:rPr>
        <w:lastRenderedPageBreak/>
        <w:t xml:space="preserve">The Blended Mode of Housing Consolidation is only partially developed and several significant gaps exist within the </w:t>
      </w:r>
      <w:r w:rsidR="00747701" w:rsidRPr="00EF1BFF">
        <w:rPr>
          <w:b/>
          <w:highlight w:val="yellow"/>
        </w:rPr>
        <w:t xml:space="preserve">informal settlement upgrading </w:t>
      </w:r>
      <w:r w:rsidRPr="00EF1BFF">
        <w:rPr>
          <w:b/>
          <w:highlight w:val="yellow"/>
        </w:rPr>
        <w:t>funding framework.</w:t>
      </w:r>
      <w:r>
        <w:t xml:space="preserve"> </w:t>
      </w:r>
      <w:r w:rsidR="00AD15A1" w:rsidRPr="003109EC">
        <w:rPr>
          <w:highlight w:val="yellow"/>
        </w:rPr>
        <w:t xml:space="preserve">The public </w:t>
      </w:r>
      <w:r w:rsidR="005A027D" w:rsidRPr="003109EC">
        <w:rPr>
          <w:highlight w:val="yellow"/>
        </w:rPr>
        <w:t>sector funding</w:t>
      </w:r>
      <w:r w:rsidR="00AD15A1" w:rsidRPr="003109EC">
        <w:rPr>
          <w:highlight w:val="yellow"/>
        </w:rPr>
        <w:t xml:space="preserve"> instruments necessary to support </w:t>
      </w:r>
      <w:r w:rsidRPr="003109EC">
        <w:rPr>
          <w:highlight w:val="yellow"/>
        </w:rPr>
        <w:t>such</w:t>
      </w:r>
      <w:r w:rsidR="00AD15A1" w:rsidRPr="003109EC">
        <w:rPr>
          <w:highlight w:val="yellow"/>
        </w:rPr>
        <w:t xml:space="preserve"> owner</w:t>
      </w:r>
      <w:r w:rsidRPr="003109EC">
        <w:rPr>
          <w:highlight w:val="yellow"/>
        </w:rPr>
        <w:t>-</w:t>
      </w:r>
      <w:r w:rsidR="00AD15A1" w:rsidRPr="003109EC">
        <w:rPr>
          <w:highlight w:val="yellow"/>
        </w:rPr>
        <w:t xml:space="preserve">builder driven processes </w:t>
      </w:r>
      <w:r w:rsidR="004C5522" w:rsidRPr="003109EC">
        <w:rPr>
          <w:highlight w:val="yellow"/>
        </w:rPr>
        <w:t>entailed in</w:t>
      </w:r>
      <w:r w:rsidR="00AD15A1" w:rsidRPr="003109EC">
        <w:rPr>
          <w:highlight w:val="yellow"/>
        </w:rPr>
        <w:t xml:space="preserve"> </w:t>
      </w:r>
      <w:r w:rsidRPr="003109EC">
        <w:rPr>
          <w:highlight w:val="yellow"/>
        </w:rPr>
        <w:t xml:space="preserve">this mode are not clearly supported in the policy, nor adequately resourced within the UISP. </w:t>
      </w:r>
      <w:r w:rsidR="005A027D" w:rsidRPr="003109EC">
        <w:rPr>
          <w:highlight w:val="yellow"/>
        </w:rPr>
        <w:t>These funding gaps include:</w:t>
      </w:r>
    </w:p>
    <w:p w14:paraId="056CFD61" w14:textId="71199641" w:rsidR="005A027D" w:rsidRPr="003109EC" w:rsidRDefault="009260F4" w:rsidP="005A027D">
      <w:pPr>
        <w:pStyle w:val="ListParagraph"/>
        <w:numPr>
          <w:ilvl w:val="1"/>
          <w:numId w:val="5"/>
        </w:numPr>
        <w:rPr>
          <w:highlight w:val="yellow"/>
        </w:rPr>
      </w:pPr>
      <w:r w:rsidRPr="003109EC">
        <w:rPr>
          <w:b/>
          <w:highlight w:val="yellow"/>
        </w:rPr>
        <w:t>Enabling Environment Supports</w:t>
      </w:r>
      <w:r w:rsidRPr="003109EC">
        <w:rPr>
          <w:highlight w:val="yellow"/>
        </w:rPr>
        <w:t xml:space="preserve">: </w:t>
      </w:r>
      <w:r w:rsidR="005A027D" w:rsidRPr="003109EC">
        <w:rPr>
          <w:highlight w:val="yellow"/>
        </w:rPr>
        <w:t xml:space="preserve">Funding provision for the set of “enabling environment” interventions needed to create the conditions within </w:t>
      </w:r>
      <w:r w:rsidR="004C5522" w:rsidRPr="003109EC">
        <w:rPr>
          <w:highlight w:val="yellow"/>
        </w:rPr>
        <w:t>which “</w:t>
      </w:r>
      <w:r w:rsidR="005A027D" w:rsidRPr="003109EC">
        <w:rPr>
          <w:highlight w:val="yellow"/>
        </w:rPr>
        <w:t>household effective demand” for housing can be realized.</w:t>
      </w:r>
    </w:p>
    <w:p w14:paraId="0560DDCD" w14:textId="0002B930" w:rsidR="005A027D" w:rsidRPr="003109EC" w:rsidRDefault="009260F4" w:rsidP="005A027D">
      <w:pPr>
        <w:pStyle w:val="ListParagraph"/>
        <w:numPr>
          <w:ilvl w:val="1"/>
          <w:numId w:val="5"/>
        </w:numPr>
        <w:rPr>
          <w:highlight w:val="yellow"/>
        </w:rPr>
      </w:pPr>
      <w:r w:rsidRPr="003109EC">
        <w:rPr>
          <w:b/>
          <w:highlight w:val="yellow"/>
        </w:rPr>
        <w:t>Support Interventions</w:t>
      </w:r>
      <w:r w:rsidRPr="003109EC">
        <w:rPr>
          <w:highlight w:val="yellow"/>
        </w:rPr>
        <w:t xml:space="preserve">: </w:t>
      </w:r>
      <w:r w:rsidR="005A027D" w:rsidRPr="003109EC">
        <w:rPr>
          <w:highlight w:val="yellow"/>
        </w:rPr>
        <w:t>Funding for the provision of the set of support interventions needed to enable owner builders to successfully consolidate their housing over time.</w:t>
      </w:r>
    </w:p>
    <w:p w14:paraId="7B9BC2BF" w14:textId="10C8A2BD" w:rsidR="005A027D" w:rsidRPr="003109EC" w:rsidRDefault="009260F4" w:rsidP="005A027D">
      <w:pPr>
        <w:pStyle w:val="ListParagraph"/>
        <w:numPr>
          <w:ilvl w:val="1"/>
          <w:numId w:val="5"/>
        </w:numPr>
        <w:rPr>
          <w:highlight w:val="yellow"/>
        </w:rPr>
      </w:pPr>
      <w:r w:rsidRPr="003109EC">
        <w:rPr>
          <w:b/>
          <w:highlight w:val="yellow"/>
        </w:rPr>
        <w:t>Capital Funding for Critical Accommodation Elements</w:t>
      </w:r>
      <w:r w:rsidRPr="003109EC">
        <w:rPr>
          <w:highlight w:val="yellow"/>
        </w:rPr>
        <w:t>: Partial or flexible f</w:t>
      </w:r>
      <w:r w:rsidR="004C5522" w:rsidRPr="003109EC">
        <w:rPr>
          <w:highlight w:val="yellow"/>
        </w:rPr>
        <w:t>unding for the provision of essential non</w:t>
      </w:r>
      <w:r w:rsidR="009D3CCE" w:rsidRPr="003109EC">
        <w:rPr>
          <w:highlight w:val="yellow"/>
        </w:rPr>
        <w:t>-</w:t>
      </w:r>
      <w:r w:rsidR="004C5522" w:rsidRPr="003109EC">
        <w:rPr>
          <w:highlight w:val="yellow"/>
        </w:rPr>
        <w:t>infrastructural capital elements (such as party walls) in higher density contexts.</w:t>
      </w:r>
    </w:p>
    <w:p w14:paraId="51D22EC0" w14:textId="3689F744" w:rsidR="004C5522" w:rsidRPr="003109EC" w:rsidRDefault="009260F4" w:rsidP="005A027D">
      <w:pPr>
        <w:pStyle w:val="ListParagraph"/>
        <w:numPr>
          <w:ilvl w:val="1"/>
          <w:numId w:val="5"/>
        </w:numPr>
        <w:rPr>
          <w:highlight w:val="yellow"/>
        </w:rPr>
      </w:pPr>
      <w:r w:rsidRPr="003109EC">
        <w:rPr>
          <w:b/>
          <w:highlight w:val="yellow"/>
        </w:rPr>
        <w:t>Top Structure Subsidies Applicable to Owner Builders</w:t>
      </w:r>
      <w:r w:rsidRPr="003109EC">
        <w:rPr>
          <w:highlight w:val="yellow"/>
        </w:rPr>
        <w:t xml:space="preserve">: </w:t>
      </w:r>
      <w:r w:rsidR="004C5522" w:rsidRPr="003109EC">
        <w:rPr>
          <w:highlight w:val="yellow"/>
        </w:rPr>
        <w:t xml:space="preserve">Top structure subsidy instruments that </w:t>
      </w:r>
      <w:r w:rsidR="00F95A9C" w:rsidRPr="003109EC">
        <w:rPr>
          <w:highlight w:val="yellow"/>
        </w:rPr>
        <w:t>could</w:t>
      </w:r>
      <w:r w:rsidR="004C5522" w:rsidRPr="003109EC">
        <w:rPr>
          <w:highlight w:val="yellow"/>
        </w:rPr>
        <w:t xml:space="preserve"> </w:t>
      </w:r>
      <w:r w:rsidR="006C760F" w:rsidRPr="003109EC">
        <w:rPr>
          <w:highlight w:val="yellow"/>
        </w:rPr>
        <w:t xml:space="preserve">be deployed </w:t>
      </w:r>
      <w:r w:rsidR="004C5522" w:rsidRPr="003109EC">
        <w:rPr>
          <w:highlight w:val="yellow"/>
        </w:rPr>
        <w:t xml:space="preserve">to assist owner builders who have already commenced with house consolidation using their own resources. </w:t>
      </w:r>
    </w:p>
    <w:p w14:paraId="307A805D" w14:textId="275877B8" w:rsidR="00AF2EFE" w:rsidRPr="00AF2EFE" w:rsidRDefault="00AF2EFE" w:rsidP="004C5522">
      <w:pPr>
        <w:pStyle w:val="ListParagraph"/>
        <w:numPr>
          <w:ilvl w:val="0"/>
          <w:numId w:val="5"/>
        </w:numPr>
      </w:pPr>
      <w:r w:rsidRPr="00AF2EFE">
        <w:rPr>
          <w:b/>
        </w:rPr>
        <w:t xml:space="preserve">Practical Implementation Experience: </w:t>
      </w:r>
      <w:r w:rsidR="00E8596D" w:rsidRPr="00612C55">
        <w:t xml:space="preserve">Many </w:t>
      </w:r>
      <w:r w:rsidR="00E8596D">
        <w:t xml:space="preserve">areas of </w:t>
      </w:r>
      <w:r w:rsidR="00E8596D" w:rsidRPr="00612C55">
        <w:t>higher densities in in</w:t>
      </w:r>
      <w:r w:rsidR="00E8596D">
        <w:t>-</w:t>
      </w:r>
      <w:r w:rsidR="00E8596D" w:rsidRPr="00612C55">
        <w:t xml:space="preserve">situ projects further down the pipeline </w:t>
      </w:r>
      <w:r w:rsidR="00E8596D">
        <w:t xml:space="preserve">are stalled due to the absence of funding mechanisms to enable higher density housing solutions. </w:t>
      </w:r>
      <w:r w:rsidRPr="00AF2EFE">
        <w:t>Currently, plans and decisions are being made at an operational</w:t>
      </w:r>
      <w:r>
        <w:t xml:space="preserve"> / project</w:t>
      </w:r>
      <w:r w:rsidRPr="00AF2EFE">
        <w:t xml:space="preserve"> level to make </w:t>
      </w:r>
      <w:r>
        <w:t>UISP work in various parts of the country t</w:t>
      </w:r>
      <w:r w:rsidRPr="00AF2EFE">
        <w:t xml:space="preserve">hat relate to the issues identified in </w:t>
      </w:r>
      <w:r>
        <w:t xml:space="preserve">this report. </w:t>
      </w:r>
      <w:r w:rsidRPr="00AF2EFE">
        <w:t>That is, implementation innovation, and creative approaches to making projects work are happening in many areas. However, these are done with little confidence, and such experiences are not yet being shared across metros so that others could benefit from these experiences.</w:t>
      </w:r>
      <w:r>
        <w:t xml:space="preserve"> A process of identifying, developing, recording and mainstreaming successful approaches is urgently required.</w:t>
      </w:r>
    </w:p>
    <w:p w14:paraId="7A907E94" w14:textId="5DC05225" w:rsidR="00E8596D" w:rsidRDefault="00E8596D" w:rsidP="00E8596D">
      <w:pPr>
        <w:pStyle w:val="ListParagraph"/>
        <w:numPr>
          <w:ilvl w:val="0"/>
          <w:numId w:val="5"/>
        </w:numPr>
      </w:pPr>
      <w:r w:rsidRPr="003109EC">
        <w:rPr>
          <w:b/>
          <w:highlight w:val="yellow"/>
        </w:rPr>
        <w:t xml:space="preserve">UISP Implementation Capacity Constraints: </w:t>
      </w:r>
      <w:r w:rsidRPr="003109EC">
        <w:rPr>
          <w:highlight w:val="yellow"/>
        </w:rPr>
        <w:t>The housing sector is currently weak on capacity for participative planning, sustainable livelihoods and securing community partners for the implementation of UISP projects.</w:t>
      </w:r>
      <w:r>
        <w:t xml:space="preserve"> This is likely to be exacerbated by the increased requirements for facilitation and support indicated in this report.  There is a need to embed a socio-technical approach – social (participatory, consultative, co-</w:t>
      </w:r>
      <w:r>
        <w:lastRenderedPageBreak/>
        <w:t>production, community-based planning) with technical (layout and design, services and infrastructure) to implementing UISP projects that support house consolidation.</w:t>
      </w:r>
    </w:p>
    <w:p w14:paraId="28D02257" w14:textId="77777777" w:rsidR="00E8596D" w:rsidRDefault="00E8596D" w:rsidP="00E8596D">
      <w:pPr>
        <w:pStyle w:val="ListParagraph"/>
        <w:numPr>
          <w:ilvl w:val="1"/>
          <w:numId w:val="5"/>
        </w:numPr>
      </w:pPr>
      <w:r w:rsidRPr="00E8596D">
        <w:rPr>
          <w:b/>
        </w:rPr>
        <w:t xml:space="preserve">CBO / NPO capacity: </w:t>
      </w:r>
      <w:r w:rsidRPr="00E8596D">
        <w:t>There are only a limited number of “development” orientated NGOs engaged in ISU, and they have limited capacity.</w:t>
      </w:r>
      <w:r>
        <w:t xml:space="preserve"> </w:t>
      </w:r>
    </w:p>
    <w:p w14:paraId="392902DD" w14:textId="53C23B92" w:rsidR="00E8596D" w:rsidRPr="00E8596D" w:rsidRDefault="00E8596D" w:rsidP="00E8596D">
      <w:pPr>
        <w:pStyle w:val="ListParagraph"/>
        <w:numPr>
          <w:ilvl w:val="2"/>
          <w:numId w:val="5"/>
        </w:numPr>
      </w:pPr>
      <w:r w:rsidRPr="00E8596D">
        <w:t xml:space="preserve">CRO’s such as CORC and DAG, have expertise in the field and are planning to gear up to meet the challenge but are coming off a low base. </w:t>
      </w:r>
    </w:p>
    <w:p w14:paraId="755FA17D" w14:textId="77777777" w:rsidR="00E8596D" w:rsidRPr="00E8596D" w:rsidRDefault="00E8596D" w:rsidP="00E8596D">
      <w:pPr>
        <w:pStyle w:val="ListParagraph"/>
        <w:numPr>
          <w:ilvl w:val="2"/>
          <w:numId w:val="5"/>
        </w:numPr>
      </w:pPr>
      <w:r w:rsidRPr="00E8596D">
        <w:t>Sustainable long term funding streams are required to make CRO capacity gear up viable, and these are not sufficiently provided for in the UISP process, which provides funds only for more technical participative processes.</w:t>
      </w:r>
    </w:p>
    <w:p w14:paraId="70C32401" w14:textId="77777777" w:rsidR="00E8596D" w:rsidRPr="00E8596D" w:rsidRDefault="00E8596D" w:rsidP="00E8596D">
      <w:pPr>
        <w:pStyle w:val="ListParagraph"/>
        <w:numPr>
          <w:ilvl w:val="2"/>
          <w:numId w:val="5"/>
        </w:numPr>
      </w:pPr>
      <w:r w:rsidRPr="00E8596D">
        <w:t>Municipal and political attitudes towards the NGO’s/ CRO’s can be ambivalent- work needs to be done to build acceptance of co- production partnerships and the roles of different parties in the partnership.</w:t>
      </w:r>
    </w:p>
    <w:p w14:paraId="58672949" w14:textId="5DE2E137" w:rsidR="00E8596D" w:rsidRPr="00E8596D" w:rsidRDefault="00E8596D" w:rsidP="00E8596D">
      <w:pPr>
        <w:pStyle w:val="ListParagraph"/>
        <w:numPr>
          <w:ilvl w:val="1"/>
          <w:numId w:val="5"/>
        </w:numPr>
      </w:pPr>
      <w:r w:rsidRPr="00E8596D">
        <w:rPr>
          <w:b/>
        </w:rPr>
        <w:t>Municipal Capacity:</w:t>
      </w:r>
      <w:r>
        <w:t xml:space="preserve"> </w:t>
      </w:r>
      <w:r w:rsidRPr="00E8596D">
        <w:t>There is a need for capacitating municipal officials, politicians and practitioners at scale but institutional instability –constant change in either political or official personnel undermines capacity gear up.</w:t>
      </w:r>
    </w:p>
    <w:p w14:paraId="08A7B6C8" w14:textId="77777777" w:rsidR="00E8596D" w:rsidRPr="00E8596D" w:rsidRDefault="00E8596D" w:rsidP="00E8596D">
      <w:pPr>
        <w:pStyle w:val="ListParagraph"/>
        <w:numPr>
          <w:ilvl w:val="2"/>
          <w:numId w:val="5"/>
        </w:numPr>
      </w:pPr>
      <w:r w:rsidRPr="00E8596D">
        <w:t>There is limited capacity within municipalities to deal with community engagement.</w:t>
      </w:r>
    </w:p>
    <w:p w14:paraId="251BC14B" w14:textId="19D4431F" w:rsidR="00E8596D" w:rsidRPr="00E8596D" w:rsidRDefault="00E8596D" w:rsidP="00E8596D">
      <w:pPr>
        <w:pStyle w:val="ListParagraph"/>
        <w:numPr>
          <w:ilvl w:val="2"/>
          <w:numId w:val="5"/>
        </w:numPr>
      </w:pPr>
      <w:r w:rsidRPr="00E8596D">
        <w:t>Resistance from ward councilors to community consultation</w:t>
      </w:r>
      <w:r>
        <w:t xml:space="preserve"> is also experienced at times</w:t>
      </w:r>
      <w:r w:rsidRPr="00E8596D">
        <w:t>.</w:t>
      </w:r>
    </w:p>
    <w:p w14:paraId="727BC656" w14:textId="45A7A6A5" w:rsidR="00E8596D" w:rsidRPr="00E8596D" w:rsidRDefault="00E8596D" w:rsidP="00E8596D">
      <w:pPr>
        <w:pStyle w:val="ListParagraph"/>
        <w:numPr>
          <w:ilvl w:val="1"/>
          <w:numId w:val="5"/>
        </w:numPr>
      </w:pPr>
      <w:r w:rsidRPr="00E8596D">
        <w:rPr>
          <w:b/>
        </w:rPr>
        <w:t>Private sector</w:t>
      </w:r>
      <w:r w:rsidRPr="00E8596D">
        <w:t>:</w:t>
      </w:r>
      <w:r>
        <w:t xml:space="preserve"> </w:t>
      </w:r>
      <w:r w:rsidRPr="00E8596D">
        <w:t>Lack of expertise from service providers to provide both the social and technical assistance to deal with community empowerment issues.</w:t>
      </w:r>
      <w:r>
        <w:t xml:space="preserve"> </w:t>
      </w:r>
      <w:r w:rsidRPr="00E8596D">
        <w:t>This is especially so where large private developers are being appointed to undertake upgrading projects. It is not yet clear the extent to which participative planning and engagement processes are being realized in these projects.</w:t>
      </w:r>
    </w:p>
    <w:p w14:paraId="66E7ECD2" w14:textId="7C2BC82E" w:rsidR="004C5522" w:rsidRDefault="00747701" w:rsidP="004C5522">
      <w:pPr>
        <w:pStyle w:val="ListParagraph"/>
        <w:numPr>
          <w:ilvl w:val="0"/>
          <w:numId w:val="5"/>
        </w:numPr>
      </w:pPr>
      <w:r w:rsidRPr="00747701">
        <w:rPr>
          <w:b/>
        </w:rPr>
        <w:t>UISP Policy Impediments:</w:t>
      </w:r>
      <w:r>
        <w:t xml:space="preserve"> </w:t>
      </w:r>
      <w:r w:rsidR="004C5522">
        <w:t>There are a number of policy provisions in the UISP that serve to impede effective consolidation under the Blended Consolidation mode and these should be amended or removed.</w:t>
      </w:r>
    </w:p>
    <w:p w14:paraId="251DC3CE" w14:textId="70C7B8F4" w:rsidR="00747701" w:rsidRPr="00AD108A" w:rsidRDefault="00747701" w:rsidP="004C5522">
      <w:pPr>
        <w:pStyle w:val="ListParagraph"/>
        <w:numPr>
          <w:ilvl w:val="0"/>
          <w:numId w:val="5"/>
        </w:numPr>
      </w:pPr>
      <w:r w:rsidRPr="00AD108A">
        <w:rPr>
          <w:b/>
        </w:rPr>
        <w:t>Opportunities for Reformulated House Consolidation Processes:</w:t>
      </w:r>
      <w:r w:rsidRPr="00AD108A">
        <w:t xml:space="preserve"> Significant opportunities exist to restructure or redesign informal settlement upgrading support processes and funding instruments to create a new, enhanced platform for mobilizing </w:t>
      </w:r>
      <w:r w:rsidRPr="00AD108A">
        <w:lastRenderedPageBreak/>
        <w:t>state, private sector and household investment in more effective ways that will lead to more appropriate supports and greater, long-term consolidation prospects for houses in upgrading programmes.</w:t>
      </w:r>
    </w:p>
    <w:p w14:paraId="44BD44C2" w14:textId="11797D1B" w:rsidR="00103A8F" w:rsidRDefault="00914CB0" w:rsidP="00540DD7">
      <w:pPr>
        <w:pStyle w:val="Heading2"/>
      </w:pPr>
      <w:bookmarkStart w:id="388" w:name="_Toc270946058"/>
      <w:bookmarkStart w:id="389" w:name="_Toc262067912"/>
      <w:r w:rsidRPr="00914CB0">
        <w:t>Recommendations</w:t>
      </w:r>
      <w:bookmarkEnd w:id="388"/>
      <w:r w:rsidRPr="00914CB0">
        <w:t xml:space="preserve"> </w:t>
      </w:r>
    </w:p>
    <w:p w14:paraId="5E27C859" w14:textId="77777777" w:rsidR="00AD108A" w:rsidRPr="00AD108A" w:rsidRDefault="00AD108A" w:rsidP="00AD108A"/>
    <w:p w14:paraId="274BA1A4" w14:textId="77777777" w:rsidR="00AD108A" w:rsidRPr="00AD108A" w:rsidRDefault="00AD108A" w:rsidP="00AD108A">
      <w:pPr>
        <w:spacing w:line="360" w:lineRule="auto"/>
        <w:rPr>
          <w:rFonts w:cs="Arial"/>
          <w:szCs w:val="22"/>
        </w:rPr>
      </w:pPr>
      <w:r w:rsidRPr="00AD108A">
        <w:rPr>
          <w:rFonts w:cs="Arial"/>
          <w:szCs w:val="22"/>
        </w:rPr>
        <w:t xml:space="preserve">In the light of </w:t>
      </w:r>
      <w:r>
        <w:rPr>
          <w:rFonts w:cs="Arial"/>
          <w:szCs w:val="22"/>
        </w:rPr>
        <w:t xml:space="preserve">the </w:t>
      </w:r>
      <w:r w:rsidRPr="00AD108A">
        <w:rPr>
          <w:rFonts w:cs="Arial"/>
          <w:szCs w:val="22"/>
        </w:rPr>
        <w:t>conclusions</w:t>
      </w:r>
      <w:r>
        <w:rPr>
          <w:rFonts w:cs="Arial"/>
          <w:szCs w:val="22"/>
        </w:rPr>
        <w:t xml:space="preserve"> above</w:t>
      </w:r>
      <w:r w:rsidRPr="00AD108A">
        <w:rPr>
          <w:rFonts w:cs="Arial"/>
          <w:szCs w:val="22"/>
        </w:rPr>
        <w:t xml:space="preserve"> the following recommendations have been formulated. These are grouped into broad categories, and will require further work to determine by whom, and how they are taken forward.</w:t>
      </w:r>
    </w:p>
    <w:p w14:paraId="211E34BE" w14:textId="77777777" w:rsidR="00243E62" w:rsidRDefault="00243E62" w:rsidP="00FA19BD">
      <w:pPr>
        <w:pStyle w:val="Heading3"/>
        <w:rPr>
          <w:lang w:val="en-US"/>
        </w:rPr>
      </w:pPr>
      <w:r>
        <w:rPr>
          <w:lang w:val="en-US"/>
        </w:rPr>
        <w:t>Build Political Consensus and Support for UISP</w:t>
      </w:r>
    </w:p>
    <w:p w14:paraId="45471605" w14:textId="661FDF35" w:rsidR="00754B24" w:rsidRPr="00754B24" w:rsidRDefault="00E82D0B" w:rsidP="00F248FD">
      <w:pPr>
        <w:pStyle w:val="ListParagraph"/>
        <w:numPr>
          <w:ilvl w:val="0"/>
          <w:numId w:val="61"/>
        </w:numPr>
        <w:ind w:hanging="357"/>
        <w:jc w:val="left"/>
      </w:pPr>
      <w:r>
        <w:rPr>
          <w:rFonts w:eastAsia="Times New Roman"/>
          <w:b/>
          <w:szCs w:val="24"/>
        </w:rPr>
        <w:t>Disseminate Findings &amp; Consensus Building</w:t>
      </w:r>
      <w:r w:rsidR="00243E62">
        <w:rPr>
          <w:rFonts w:eastAsia="Times New Roman"/>
          <w:b/>
          <w:szCs w:val="24"/>
        </w:rPr>
        <w:t xml:space="preserve">: </w:t>
      </w:r>
      <w:r w:rsidR="00243E62">
        <w:rPr>
          <w:rFonts w:eastAsia="Times New Roman"/>
          <w:szCs w:val="24"/>
        </w:rPr>
        <w:t xml:space="preserve">The findings and policy suggestions contained in this report should be </w:t>
      </w:r>
      <w:r w:rsidR="00754B24">
        <w:rPr>
          <w:rFonts w:eastAsia="Times New Roman"/>
          <w:szCs w:val="24"/>
        </w:rPr>
        <w:t>used to engage with stakeholders within the DHS, in order to build consensus and understanding regarding the need for consistent and clear political messaging.</w:t>
      </w:r>
    </w:p>
    <w:p w14:paraId="696E272F" w14:textId="2896C2A2" w:rsidR="00754B24" w:rsidRDefault="00754B24" w:rsidP="00F248FD">
      <w:pPr>
        <w:pStyle w:val="ListParagraph"/>
        <w:numPr>
          <w:ilvl w:val="0"/>
          <w:numId w:val="69"/>
        </w:numPr>
        <w:ind w:hanging="357"/>
        <w:jc w:val="left"/>
      </w:pPr>
      <w:r>
        <w:t>Presentations from the consulting team should be held with key officials / forums should be held within the NDHS to build understanding and consensus (e.g. Housing Executive Management Team);</w:t>
      </w:r>
    </w:p>
    <w:p w14:paraId="5ECBA8CC" w14:textId="395B2E27" w:rsidR="00754B24" w:rsidRDefault="00754B24" w:rsidP="00F248FD">
      <w:pPr>
        <w:pStyle w:val="ListParagraph"/>
        <w:numPr>
          <w:ilvl w:val="0"/>
          <w:numId w:val="69"/>
        </w:numPr>
        <w:ind w:hanging="357"/>
        <w:jc w:val="left"/>
      </w:pPr>
      <w:r>
        <w:t xml:space="preserve">An approach should be developed </w:t>
      </w:r>
      <w:r w:rsidR="00E82D0B">
        <w:t xml:space="preserve">by the DHS </w:t>
      </w:r>
      <w:r>
        <w:t xml:space="preserve">to escalate the report findings to the political processes (MinTop and </w:t>
      </w:r>
      <w:r w:rsidRPr="00AD108A">
        <w:t>MinMec and Portfolio Committee</w:t>
      </w:r>
      <w:r>
        <w:t>).</w:t>
      </w:r>
    </w:p>
    <w:p w14:paraId="2A6E2577" w14:textId="3D6EA191" w:rsidR="00754B24" w:rsidRDefault="00754B24" w:rsidP="00F248FD">
      <w:pPr>
        <w:pStyle w:val="ListParagraph"/>
        <w:numPr>
          <w:ilvl w:val="0"/>
          <w:numId w:val="69"/>
        </w:numPr>
        <w:ind w:hanging="357"/>
        <w:jc w:val="left"/>
      </w:pPr>
      <w:r>
        <w:t>Clarity should be sought from Ministerial level on the role and focus on UISP in the forthcoming five years.</w:t>
      </w:r>
    </w:p>
    <w:p w14:paraId="1B723054" w14:textId="2B932DAD" w:rsidR="006A5AE1" w:rsidRPr="006A5AE1" w:rsidRDefault="00FA19BD" w:rsidP="00FA19BD">
      <w:pPr>
        <w:pStyle w:val="Heading3"/>
      </w:pPr>
      <w:r>
        <w:t xml:space="preserve">Clarify </w:t>
      </w:r>
      <w:r w:rsidR="00F95A9C">
        <w:t xml:space="preserve">Intent, </w:t>
      </w:r>
      <w:r w:rsidR="006A5AE1">
        <w:t xml:space="preserve">Design </w:t>
      </w:r>
      <w:r w:rsidR="004C5522">
        <w:t xml:space="preserve">and </w:t>
      </w:r>
      <w:r w:rsidR="00054A0E">
        <w:t>A</w:t>
      </w:r>
      <w:r w:rsidR="004C5522">
        <w:t xml:space="preserve">pplication </w:t>
      </w:r>
      <w:r w:rsidR="006A5AE1">
        <w:t>of the Upgrading of Informal Settlements Programme</w:t>
      </w:r>
    </w:p>
    <w:p w14:paraId="5B2A4CEF" w14:textId="0006E622" w:rsidR="006E1686" w:rsidRPr="00515BD2" w:rsidRDefault="009D3CCE" w:rsidP="00F248FD">
      <w:pPr>
        <w:numPr>
          <w:ilvl w:val="0"/>
          <w:numId w:val="55"/>
        </w:numPr>
        <w:spacing w:line="360" w:lineRule="auto"/>
        <w:rPr>
          <w:lang w:val="en-US"/>
        </w:rPr>
      </w:pPr>
      <w:r>
        <w:rPr>
          <w:b/>
          <w:lang w:val="en-US"/>
        </w:rPr>
        <w:t xml:space="preserve">Clarify </w:t>
      </w:r>
      <w:r w:rsidRPr="009D3CCE">
        <w:rPr>
          <w:b/>
          <w:lang w:val="en-US"/>
        </w:rPr>
        <w:t xml:space="preserve">Intent </w:t>
      </w:r>
      <w:r w:rsidR="00D265F2">
        <w:rPr>
          <w:b/>
          <w:lang w:val="en-US"/>
        </w:rPr>
        <w:t xml:space="preserve">and Focus </w:t>
      </w:r>
      <w:r w:rsidRPr="009D3CCE">
        <w:rPr>
          <w:b/>
          <w:lang w:val="en-US"/>
        </w:rPr>
        <w:t>of UISP</w:t>
      </w:r>
      <w:r>
        <w:rPr>
          <w:lang w:val="en-US"/>
        </w:rPr>
        <w:t>: The NDHS must t</w:t>
      </w:r>
      <w:r w:rsidR="006E1686" w:rsidRPr="006F1F6B">
        <w:rPr>
          <w:lang w:val="en-US"/>
        </w:rPr>
        <w:t xml:space="preserve">ake a firm stance on the </w:t>
      </w:r>
      <w:r w:rsidR="006E1686" w:rsidRPr="006A5AE1">
        <w:rPr>
          <w:bCs/>
          <w:lang w:val="en-US"/>
        </w:rPr>
        <w:t xml:space="preserve">in situ </w:t>
      </w:r>
      <w:r w:rsidR="006A5AE1" w:rsidRPr="006A5AE1">
        <w:rPr>
          <w:bCs/>
          <w:lang w:val="en-US"/>
        </w:rPr>
        <w:t>upgrading targeting</w:t>
      </w:r>
      <w:r w:rsidR="006A5AE1">
        <w:rPr>
          <w:b/>
          <w:bCs/>
          <w:lang w:val="en-US"/>
        </w:rPr>
        <w:t xml:space="preserve"> </w:t>
      </w:r>
      <w:r w:rsidR="006E1686" w:rsidRPr="006F1F6B">
        <w:rPr>
          <w:lang w:val="en-US"/>
        </w:rPr>
        <w:t xml:space="preserve">of the UISP and </w:t>
      </w:r>
      <w:r>
        <w:rPr>
          <w:lang w:val="en-US"/>
        </w:rPr>
        <w:t xml:space="preserve">specifically </w:t>
      </w:r>
      <w:r w:rsidR="006A5AE1">
        <w:rPr>
          <w:lang w:val="en-US"/>
        </w:rPr>
        <w:t>the</w:t>
      </w:r>
      <w:r w:rsidR="006E1686" w:rsidRPr="006F1F6B">
        <w:rPr>
          <w:lang w:val="en-US"/>
        </w:rPr>
        <w:t xml:space="preserve"> </w:t>
      </w:r>
      <w:r w:rsidR="006E1686" w:rsidRPr="009D3CCE">
        <w:rPr>
          <w:i/>
          <w:lang w:val="en-US"/>
        </w:rPr>
        <w:t xml:space="preserve">“last </w:t>
      </w:r>
      <w:r w:rsidR="002B62B0" w:rsidRPr="009D3CCE">
        <w:rPr>
          <w:i/>
          <w:lang w:val="en-US"/>
        </w:rPr>
        <w:t>resort,</w:t>
      </w:r>
      <w:r w:rsidR="006E1686" w:rsidRPr="009D3CCE">
        <w:rPr>
          <w:i/>
          <w:lang w:val="en-US"/>
        </w:rPr>
        <w:t xml:space="preserve"> in exceptional circumstances”</w:t>
      </w:r>
      <w:r w:rsidR="006E1686" w:rsidRPr="006F1F6B">
        <w:rPr>
          <w:lang w:val="en-US"/>
        </w:rPr>
        <w:t xml:space="preserve"> position </w:t>
      </w:r>
      <w:r w:rsidR="00AE526D">
        <w:rPr>
          <w:lang w:val="en-US"/>
        </w:rPr>
        <w:t>on the use of UISP for project</w:t>
      </w:r>
      <w:r w:rsidR="006C760F">
        <w:rPr>
          <w:lang w:val="en-US"/>
        </w:rPr>
        <w:t xml:space="preserve">s </w:t>
      </w:r>
      <w:r w:rsidR="00AE526D">
        <w:rPr>
          <w:lang w:val="en-US"/>
        </w:rPr>
        <w:t xml:space="preserve">that entail </w:t>
      </w:r>
      <w:r w:rsidR="002B62B0">
        <w:rPr>
          <w:lang w:val="en-US"/>
        </w:rPr>
        <w:t>large</w:t>
      </w:r>
      <w:r>
        <w:rPr>
          <w:lang w:val="en-US"/>
        </w:rPr>
        <w:t>-</w:t>
      </w:r>
      <w:r w:rsidR="002B62B0">
        <w:rPr>
          <w:lang w:val="en-US"/>
        </w:rPr>
        <w:t xml:space="preserve">scale </w:t>
      </w:r>
      <w:r w:rsidR="006E1686" w:rsidRPr="006F1F6B">
        <w:rPr>
          <w:lang w:val="en-US"/>
        </w:rPr>
        <w:t>relocation</w:t>
      </w:r>
      <w:r w:rsidR="002B62B0">
        <w:rPr>
          <w:lang w:val="en-US"/>
        </w:rPr>
        <w:t>s</w:t>
      </w:r>
      <w:r w:rsidR="006E1686" w:rsidRPr="006F1F6B">
        <w:rPr>
          <w:lang w:val="en-US"/>
        </w:rPr>
        <w:t xml:space="preserve"> and resettlement</w:t>
      </w:r>
      <w:r>
        <w:rPr>
          <w:lang w:val="en-US"/>
        </w:rPr>
        <w:t xml:space="preserve"> in greenfield</w:t>
      </w:r>
      <w:r w:rsidR="009A117D">
        <w:rPr>
          <w:lang w:val="en-US"/>
        </w:rPr>
        <w:t>s</w:t>
      </w:r>
      <w:r>
        <w:rPr>
          <w:lang w:val="en-US"/>
        </w:rPr>
        <w:t xml:space="preserve"> developments</w:t>
      </w:r>
      <w:r w:rsidR="006E1686" w:rsidRPr="006F1F6B">
        <w:rPr>
          <w:lang w:val="en-US"/>
        </w:rPr>
        <w:t>.</w:t>
      </w:r>
      <w:r w:rsidR="00F95A9C">
        <w:rPr>
          <w:lang w:val="en-US"/>
        </w:rPr>
        <w:t xml:space="preserve"> This will require strong political messaging at a</w:t>
      </w:r>
      <w:r w:rsidR="00D80C41">
        <w:rPr>
          <w:lang w:val="en-US"/>
        </w:rPr>
        <w:t xml:space="preserve"> national and provincial level, and will need to take into account the reasons why </w:t>
      </w:r>
      <w:r w:rsidR="00D80C41">
        <w:t>relocation and rollover approaches are favoured due to shortened implementation time frames and simplified implementation procedures.</w:t>
      </w:r>
    </w:p>
    <w:p w14:paraId="68F5FB43" w14:textId="77777777" w:rsidR="00515BD2" w:rsidRDefault="00515BD2" w:rsidP="00515BD2">
      <w:pPr>
        <w:spacing w:line="360" w:lineRule="auto"/>
        <w:ind w:left="720"/>
        <w:rPr>
          <w:lang w:val="en-US"/>
        </w:rPr>
      </w:pPr>
    </w:p>
    <w:p w14:paraId="5CDE99EB" w14:textId="1E6439CC" w:rsidR="00660CE1" w:rsidRDefault="00FA19BD" w:rsidP="00F248FD">
      <w:pPr>
        <w:numPr>
          <w:ilvl w:val="0"/>
          <w:numId w:val="55"/>
        </w:numPr>
        <w:spacing w:line="360" w:lineRule="auto"/>
        <w:rPr>
          <w:lang w:val="en-US"/>
        </w:rPr>
      </w:pPr>
      <w:r>
        <w:rPr>
          <w:b/>
          <w:lang w:val="en-US"/>
        </w:rPr>
        <w:t>Develop Requirements for “</w:t>
      </w:r>
      <w:r w:rsidR="00660CE1" w:rsidRPr="00660CE1">
        <w:rPr>
          <w:b/>
          <w:lang w:val="en-US"/>
        </w:rPr>
        <w:t>Housing Consolidation Plan</w:t>
      </w:r>
      <w:r>
        <w:rPr>
          <w:b/>
          <w:lang w:val="en-US"/>
        </w:rPr>
        <w:t>”</w:t>
      </w:r>
      <w:r w:rsidR="00660CE1" w:rsidRPr="00660CE1">
        <w:rPr>
          <w:b/>
          <w:lang w:val="en-US"/>
        </w:rPr>
        <w:t xml:space="preserve">: </w:t>
      </w:r>
      <w:r w:rsidR="00660CE1" w:rsidRPr="006E1686">
        <w:rPr>
          <w:lang w:val="en-US"/>
        </w:rPr>
        <w:t xml:space="preserve">Amend </w:t>
      </w:r>
      <w:r w:rsidR="00660CE1">
        <w:rPr>
          <w:lang w:val="en-US"/>
        </w:rPr>
        <w:t xml:space="preserve">the current </w:t>
      </w:r>
      <w:r w:rsidR="00660CE1" w:rsidRPr="006E1686">
        <w:rPr>
          <w:lang w:val="en-US"/>
        </w:rPr>
        <w:t>UISP phrasing</w:t>
      </w:r>
      <w:r w:rsidR="00660CE1">
        <w:rPr>
          <w:lang w:val="en-US"/>
        </w:rPr>
        <w:t>, content and financial supports relating to the current required</w:t>
      </w:r>
      <w:r w:rsidR="00660CE1" w:rsidRPr="006E1686">
        <w:rPr>
          <w:lang w:val="en-US"/>
        </w:rPr>
        <w:t xml:space="preserve"> “Housing plan for Phase 4” to </w:t>
      </w:r>
      <w:r w:rsidR="00660CE1">
        <w:rPr>
          <w:lang w:val="en-US"/>
        </w:rPr>
        <w:t>“Housing Consolidation Plan”, to run concurrently with Phases Two and Three and beyond. This must include more detailed survey and planning requirements, and broadened facilitation and technical support frameworks. It is proposed that a set of pilot initiatives be used to define a generic requirement or outline of what a ‘Housing Consolidation Plan’ should include.</w:t>
      </w:r>
    </w:p>
    <w:p w14:paraId="21F26EC5" w14:textId="77777777" w:rsidR="00515BD2" w:rsidRDefault="00515BD2" w:rsidP="00515BD2">
      <w:pPr>
        <w:spacing w:line="360" w:lineRule="auto"/>
        <w:rPr>
          <w:lang w:val="en-US"/>
        </w:rPr>
      </w:pPr>
    </w:p>
    <w:p w14:paraId="74DCAFC9" w14:textId="77777777" w:rsidR="00D265F2" w:rsidRDefault="00DB038D" w:rsidP="00F248FD">
      <w:pPr>
        <w:numPr>
          <w:ilvl w:val="0"/>
          <w:numId w:val="55"/>
        </w:numPr>
        <w:spacing w:line="360" w:lineRule="auto"/>
        <w:rPr>
          <w:lang w:val="en-US"/>
        </w:rPr>
      </w:pPr>
      <w:r w:rsidRPr="00F95A9C">
        <w:rPr>
          <w:b/>
          <w:lang w:val="en-US"/>
        </w:rPr>
        <w:t>Amend</w:t>
      </w:r>
      <w:r w:rsidR="00660CE1">
        <w:rPr>
          <w:b/>
          <w:lang w:val="en-US"/>
        </w:rPr>
        <w:t>ed</w:t>
      </w:r>
      <w:r w:rsidRPr="00F95A9C">
        <w:rPr>
          <w:b/>
          <w:lang w:val="en-US"/>
        </w:rPr>
        <w:t xml:space="preserve"> </w:t>
      </w:r>
      <w:r w:rsidR="00660CE1">
        <w:rPr>
          <w:b/>
          <w:lang w:val="en-US"/>
        </w:rPr>
        <w:t xml:space="preserve">Placement of ‘House Consolidation Phase’ in </w:t>
      </w:r>
      <w:r w:rsidRPr="00F95A9C">
        <w:rPr>
          <w:b/>
          <w:lang w:val="en-US"/>
        </w:rPr>
        <w:t>UISP implementation sequence</w:t>
      </w:r>
      <w:r w:rsidR="00F95A9C">
        <w:rPr>
          <w:lang w:val="en-US"/>
        </w:rPr>
        <w:t>:</w:t>
      </w:r>
      <w:r w:rsidRPr="006E1686">
        <w:rPr>
          <w:lang w:val="en-US"/>
        </w:rPr>
        <w:t xml:space="preserve"> </w:t>
      </w:r>
      <w:r w:rsidR="00F95A9C">
        <w:rPr>
          <w:lang w:val="en-US"/>
        </w:rPr>
        <w:t xml:space="preserve">The UISP Chapter in the Housing Code should be amended to commence the house consolidation phase </w:t>
      </w:r>
      <w:r w:rsidR="00F95A9C" w:rsidRPr="006E1686">
        <w:rPr>
          <w:lang w:val="en-US"/>
        </w:rPr>
        <w:t xml:space="preserve">immediately after the </w:t>
      </w:r>
      <w:r w:rsidR="00F95A9C">
        <w:rPr>
          <w:lang w:val="en-US"/>
        </w:rPr>
        <w:t xml:space="preserve">settlement </w:t>
      </w:r>
      <w:r w:rsidR="00F95A9C" w:rsidRPr="006E1686">
        <w:rPr>
          <w:lang w:val="en-US"/>
        </w:rPr>
        <w:t xml:space="preserve">layout </w:t>
      </w:r>
      <w:r w:rsidR="00F95A9C">
        <w:rPr>
          <w:lang w:val="en-US"/>
        </w:rPr>
        <w:t xml:space="preserve">has been finalised </w:t>
      </w:r>
      <w:r w:rsidR="00F95A9C" w:rsidRPr="006E1686">
        <w:rPr>
          <w:lang w:val="en-US"/>
        </w:rPr>
        <w:t>and housing typ</w:t>
      </w:r>
      <w:r w:rsidR="00F95A9C">
        <w:rPr>
          <w:lang w:val="en-US"/>
        </w:rPr>
        <w:t xml:space="preserve">ologies selected in an upgrading project. This </w:t>
      </w:r>
      <w:r w:rsidR="00F95A9C" w:rsidRPr="00DD667A">
        <w:rPr>
          <w:highlight w:val="yellow"/>
          <w:lang w:val="en-US"/>
        </w:rPr>
        <w:t>must provide a platform to e</w:t>
      </w:r>
      <w:r w:rsidRPr="00DD667A">
        <w:rPr>
          <w:highlight w:val="yellow"/>
          <w:lang w:val="en-US"/>
        </w:rPr>
        <w:t xml:space="preserve">ncourage </w:t>
      </w:r>
      <w:r w:rsidR="00F95A9C" w:rsidRPr="00DD667A">
        <w:rPr>
          <w:highlight w:val="yellow"/>
          <w:lang w:val="en-US"/>
        </w:rPr>
        <w:t xml:space="preserve">households to commence house consolidation with or without subsidies, in order to take </w:t>
      </w:r>
      <w:r w:rsidR="00660CE1" w:rsidRPr="00DD667A">
        <w:rPr>
          <w:highlight w:val="yellow"/>
          <w:lang w:val="en-US"/>
        </w:rPr>
        <w:t>advantage</w:t>
      </w:r>
      <w:r w:rsidR="00F95A9C" w:rsidRPr="00DD667A">
        <w:rPr>
          <w:highlight w:val="yellow"/>
          <w:lang w:val="en-US"/>
        </w:rPr>
        <w:t xml:space="preserve"> of the potentially long lead times in finalizing project implementation.</w:t>
      </w:r>
      <w:r w:rsidR="00F95A9C">
        <w:rPr>
          <w:lang w:val="en-US"/>
        </w:rPr>
        <w:t xml:space="preserve"> Parameters for the commencement of the House Consolidation phase</w:t>
      </w:r>
      <w:r w:rsidR="00660CE1">
        <w:rPr>
          <w:lang w:val="en-US"/>
        </w:rPr>
        <w:t xml:space="preserve"> should be</w:t>
      </w:r>
      <w:r w:rsidR="00D265F2">
        <w:rPr>
          <w:lang w:val="en-US"/>
        </w:rPr>
        <w:t>:</w:t>
      </w:r>
    </w:p>
    <w:p w14:paraId="2D58917B" w14:textId="77777777" w:rsidR="00D265F2" w:rsidRDefault="00D265F2" w:rsidP="00F248FD">
      <w:pPr>
        <w:numPr>
          <w:ilvl w:val="0"/>
          <w:numId w:val="60"/>
        </w:numPr>
        <w:spacing w:line="360" w:lineRule="auto"/>
        <w:rPr>
          <w:lang w:val="en-US"/>
        </w:rPr>
      </w:pPr>
      <w:r>
        <w:rPr>
          <w:lang w:val="en-US"/>
        </w:rPr>
        <w:t>Certainty on beneficiary allocations and broad property boundaries;</w:t>
      </w:r>
    </w:p>
    <w:p w14:paraId="2D93F72C" w14:textId="77777777" w:rsidR="00D265F2" w:rsidRDefault="00D265F2" w:rsidP="00F248FD">
      <w:pPr>
        <w:numPr>
          <w:ilvl w:val="0"/>
          <w:numId w:val="60"/>
        </w:numPr>
        <w:spacing w:line="360" w:lineRule="auto"/>
        <w:rPr>
          <w:lang w:val="en-US"/>
        </w:rPr>
      </w:pPr>
      <w:r>
        <w:rPr>
          <w:lang w:val="en-US"/>
        </w:rPr>
        <w:t>Agreement on ‘Phased Tenure’ stages providing sufficient certainty to households; and</w:t>
      </w:r>
    </w:p>
    <w:p w14:paraId="506F5285" w14:textId="77777777" w:rsidR="00D265F2" w:rsidRDefault="00D265F2" w:rsidP="00F248FD">
      <w:pPr>
        <w:numPr>
          <w:ilvl w:val="0"/>
          <w:numId w:val="60"/>
        </w:numPr>
        <w:spacing w:line="360" w:lineRule="auto"/>
        <w:rPr>
          <w:lang w:val="en-US"/>
        </w:rPr>
      </w:pPr>
      <w:r>
        <w:rPr>
          <w:lang w:val="en-US"/>
        </w:rPr>
        <w:t xml:space="preserve">Sufficient provision for adequate space requirements and disruptions required for service installation requirements in the settlement plan. </w:t>
      </w:r>
    </w:p>
    <w:p w14:paraId="774BF268" w14:textId="7E7EE6F6" w:rsidR="00515BD2" w:rsidRDefault="00515BD2" w:rsidP="00515BD2">
      <w:pPr>
        <w:spacing w:line="360" w:lineRule="auto"/>
        <w:ind w:left="720"/>
        <w:rPr>
          <w:lang w:val="en-US"/>
        </w:rPr>
      </w:pPr>
    </w:p>
    <w:p w14:paraId="107DAF2E" w14:textId="514F2B95" w:rsidR="006E1686" w:rsidRDefault="00660CE1" w:rsidP="00F248FD">
      <w:pPr>
        <w:numPr>
          <w:ilvl w:val="0"/>
          <w:numId w:val="55"/>
        </w:numPr>
        <w:spacing w:line="360" w:lineRule="auto"/>
        <w:rPr>
          <w:lang w:val="en-US"/>
        </w:rPr>
      </w:pPr>
      <w:r w:rsidRPr="00660CE1">
        <w:rPr>
          <w:b/>
          <w:lang w:val="en-US"/>
        </w:rPr>
        <w:t>Remove ‘Shack Demolition’ Requirement:</w:t>
      </w:r>
      <w:r>
        <w:rPr>
          <w:lang w:val="en-US"/>
        </w:rPr>
        <w:t xml:space="preserve"> </w:t>
      </w:r>
      <w:r w:rsidR="006E1686" w:rsidRPr="006F1F6B">
        <w:rPr>
          <w:lang w:val="en-US"/>
        </w:rPr>
        <w:t>Remove</w:t>
      </w:r>
      <w:r w:rsidR="006E1686">
        <w:rPr>
          <w:lang w:val="en-US"/>
        </w:rPr>
        <w:t xml:space="preserve"> or </w:t>
      </w:r>
      <w:r w:rsidR="00A40E18">
        <w:rPr>
          <w:lang w:val="en-US"/>
        </w:rPr>
        <w:t>amend the</w:t>
      </w:r>
      <w:r w:rsidR="006E1686" w:rsidRPr="006F1F6B">
        <w:rPr>
          <w:lang w:val="en-US"/>
        </w:rPr>
        <w:t xml:space="preserve"> UISP requirement for </w:t>
      </w:r>
      <w:r w:rsidR="006E1686">
        <w:rPr>
          <w:lang w:val="en-US"/>
        </w:rPr>
        <w:t xml:space="preserve">the </w:t>
      </w:r>
      <w:r w:rsidR="006E1686" w:rsidRPr="006F1F6B">
        <w:rPr>
          <w:lang w:val="en-US"/>
        </w:rPr>
        <w:t xml:space="preserve">demolition of pre-existing structures </w:t>
      </w:r>
      <w:r w:rsidR="008B08C9">
        <w:rPr>
          <w:lang w:val="en-US"/>
        </w:rPr>
        <w:t xml:space="preserve">when top structure subsidies are provided </w:t>
      </w:r>
      <w:r w:rsidR="006E1686" w:rsidRPr="006F1F6B">
        <w:rPr>
          <w:lang w:val="en-US"/>
        </w:rPr>
        <w:t xml:space="preserve">in </w:t>
      </w:r>
      <w:r w:rsidR="005637E3">
        <w:rPr>
          <w:lang w:val="en-US"/>
        </w:rPr>
        <w:t xml:space="preserve">UISP </w:t>
      </w:r>
      <w:r w:rsidR="006E1686" w:rsidRPr="006F1F6B">
        <w:rPr>
          <w:lang w:val="en-US"/>
        </w:rPr>
        <w:t>Phase 4</w:t>
      </w:r>
      <w:r w:rsidR="006E1686">
        <w:rPr>
          <w:lang w:val="en-US"/>
        </w:rPr>
        <w:t>.</w:t>
      </w:r>
      <w:r w:rsidR="009A117D">
        <w:rPr>
          <w:lang w:val="en-US"/>
        </w:rPr>
        <w:t xml:space="preserve"> While it is acknowledged that this requirement is only loosely policed, it is a visible disjuncture in the UISP between the intent of the programme and how the policy requires it be implemented. It is acknowledged that cases do exist where health and safety concerns may require re-positioning or changes to shacks within settlements.</w:t>
      </w:r>
    </w:p>
    <w:p w14:paraId="173CE513" w14:textId="77777777" w:rsidR="00EB0B63" w:rsidRDefault="00EB0B63" w:rsidP="00EB0B63">
      <w:pPr>
        <w:ind w:left="720"/>
        <w:rPr>
          <w:lang w:val="en-US"/>
        </w:rPr>
      </w:pPr>
    </w:p>
    <w:p w14:paraId="36D0A3C3" w14:textId="6A82BDB4" w:rsidR="00D265F2" w:rsidRPr="004D17F8" w:rsidRDefault="00D265F2" w:rsidP="00F248FD">
      <w:pPr>
        <w:pStyle w:val="Heading3"/>
        <w:numPr>
          <w:ilvl w:val="2"/>
          <w:numId w:val="58"/>
        </w:numPr>
        <w:rPr>
          <w:highlight w:val="yellow"/>
        </w:rPr>
      </w:pPr>
      <w:r w:rsidRPr="004D17F8">
        <w:rPr>
          <w:highlight w:val="yellow"/>
        </w:rPr>
        <w:lastRenderedPageBreak/>
        <w:t xml:space="preserve">Develop Alternative </w:t>
      </w:r>
      <w:r w:rsidR="00FA19BD" w:rsidRPr="004D17F8">
        <w:rPr>
          <w:highlight w:val="yellow"/>
        </w:rPr>
        <w:t xml:space="preserve">Top Structure </w:t>
      </w:r>
      <w:r w:rsidR="00DF14CB" w:rsidRPr="004D17F8">
        <w:rPr>
          <w:highlight w:val="yellow"/>
        </w:rPr>
        <w:t>Instruments and</w:t>
      </w:r>
      <w:r w:rsidRPr="004D17F8">
        <w:rPr>
          <w:highlight w:val="yellow"/>
        </w:rPr>
        <w:t xml:space="preserve"> Funding </w:t>
      </w:r>
      <w:r w:rsidR="00FA19BD" w:rsidRPr="004D17F8">
        <w:rPr>
          <w:highlight w:val="yellow"/>
        </w:rPr>
        <w:t xml:space="preserve">Methodologies </w:t>
      </w:r>
    </w:p>
    <w:p w14:paraId="2A047B10" w14:textId="1825EB61" w:rsidR="00054A0E" w:rsidRPr="004D17F8" w:rsidRDefault="00054A0E" w:rsidP="00F248FD">
      <w:pPr>
        <w:numPr>
          <w:ilvl w:val="0"/>
          <w:numId w:val="55"/>
        </w:numPr>
        <w:spacing w:line="360" w:lineRule="auto"/>
        <w:ind w:left="714" w:hanging="357"/>
        <w:rPr>
          <w:highlight w:val="yellow"/>
          <w:lang w:val="en-US"/>
        </w:rPr>
      </w:pPr>
      <w:r w:rsidRPr="004D17F8">
        <w:rPr>
          <w:b/>
          <w:highlight w:val="yellow"/>
          <w:lang w:val="en-US"/>
        </w:rPr>
        <w:t xml:space="preserve">Design Alternative </w:t>
      </w:r>
      <w:r w:rsidR="00AC3E0D" w:rsidRPr="004D17F8">
        <w:rPr>
          <w:b/>
          <w:highlight w:val="yellow"/>
          <w:lang w:val="en-US"/>
        </w:rPr>
        <w:t xml:space="preserve">(Primary House Development) </w:t>
      </w:r>
      <w:r w:rsidRPr="004D17F8">
        <w:rPr>
          <w:b/>
          <w:highlight w:val="yellow"/>
          <w:lang w:val="en-US"/>
        </w:rPr>
        <w:t xml:space="preserve">Top Structure </w:t>
      </w:r>
      <w:r w:rsidR="00FA19BD" w:rsidRPr="004D17F8">
        <w:rPr>
          <w:b/>
          <w:highlight w:val="yellow"/>
          <w:lang w:val="en-US"/>
        </w:rPr>
        <w:t>Configurations</w:t>
      </w:r>
      <w:r w:rsidR="000D49CA" w:rsidRPr="004D17F8">
        <w:rPr>
          <w:b/>
          <w:highlight w:val="yellow"/>
          <w:lang w:val="en-US"/>
        </w:rPr>
        <w:t xml:space="preserve"> &amp;</w:t>
      </w:r>
      <w:r w:rsidR="00FA19BD" w:rsidRPr="004D17F8">
        <w:rPr>
          <w:b/>
          <w:highlight w:val="yellow"/>
          <w:lang w:val="en-US"/>
        </w:rPr>
        <w:t xml:space="preserve"> </w:t>
      </w:r>
      <w:r w:rsidR="000D49CA" w:rsidRPr="004D17F8">
        <w:rPr>
          <w:b/>
          <w:highlight w:val="yellow"/>
          <w:lang w:val="en-US"/>
        </w:rPr>
        <w:t>Approaches</w:t>
      </w:r>
      <w:r w:rsidRPr="004D17F8">
        <w:rPr>
          <w:b/>
          <w:highlight w:val="yellow"/>
          <w:lang w:val="en-US"/>
        </w:rPr>
        <w:t xml:space="preserve">: </w:t>
      </w:r>
      <w:r w:rsidRPr="004D17F8">
        <w:rPr>
          <w:highlight w:val="yellow"/>
          <w:lang w:val="en-US"/>
        </w:rPr>
        <w:t xml:space="preserve">Recognise the need, </w:t>
      </w:r>
      <w:r w:rsidRPr="004D17F8">
        <w:rPr>
          <w:i/>
          <w:highlight w:val="yellow"/>
          <w:lang w:val="en-US"/>
        </w:rPr>
        <w:t xml:space="preserve">especially in </w:t>
      </w:r>
      <w:r w:rsidR="00000302" w:rsidRPr="004D17F8">
        <w:rPr>
          <w:i/>
          <w:highlight w:val="yellow"/>
          <w:lang w:val="en-US"/>
        </w:rPr>
        <w:t>high-density</w:t>
      </w:r>
      <w:r w:rsidRPr="004D17F8">
        <w:rPr>
          <w:i/>
          <w:highlight w:val="yellow"/>
          <w:lang w:val="en-US"/>
        </w:rPr>
        <w:t xml:space="preserve"> settlements</w:t>
      </w:r>
      <w:r w:rsidRPr="004D17F8">
        <w:rPr>
          <w:highlight w:val="yellow"/>
          <w:lang w:val="en-US"/>
        </w:rPr>
        <w:t xml:space="preserve">, for </w:t>
      </w:r>
      <w:r w:rsidR="000D49CA" w:rsidRPr="004D17F8">
        <w:rPr>
          <w:highlight w:val="yellow"/>
          <w:lang w:val="en-US"/>
        </w:rPr>
        <w:t xml:space="preserve">alternative site layout, infrastructure installation and top structure configurations and designs in UISP implementation. A programme to develop, </w:t>
      </w:r>
      <w:r w:rsidRPr="004D17F8">
        <w:rPr>
          <w:highlight w:val="yellow"/>
          <w:lang w:val="en-US"/>
        </w:rPr>
        <w:t xml:space="preserve">design, pilot and test such </w:t>
      </w:r>
      <w:r w:rsidR="00DF14CB" w:rsidRPr="004D17F8">
        <w:rPr>
          <w:highlight w:val="yellow"/>
          <w:lang w:val="en-US"/>
        </w:rPr>
        <w:t xml:space="preserve">enabling </w:t>
      </w:r>
      <w:r w:rsidRPr="004D17F8">
        <w:rPr>
          <w:highlight w:val="yellow"/>
          <w:lang w:val="en-US"/>
        </w:rPr>
        <w:t>options to refine a generic options framework</w:t>
      </w:r>
      <w:r w:rsidR="000D49CA" w:rsidRPr="004D17F8">
        <w:rPr>
          <w:highlight w:val="yellow"/>
          <w:lang w:val="en-US"/>
        </w:rPr>
        <w:t xml:space="preserve"> is recommended</w:t>
      </w:r>
      <w:r w:rsidRPr="004D17F8">
        <w:rPr>
          <w:highlight w:val="yellow"/>
          <w:lang w:val="en-US"/>
        </w:rPr>
        <w:t xml:space="preserve">. These </w:t>
      </w:r>
      <w:r w:rsidR="00D265F2" w:rsidRPr="004D17F8">
        <w:rPr>
          <w:highlight w:val="yellow"/>
          <w:lang w:val="en-US"/>
        </w:rPr>
        <w:t xml:space="preserve">should </w:t>
      </w:r>
      <w:r w:rsidRPr="004D17F8">
        <w:rPr>
          <w:highlight w:val="yellow"/>
          <w:lang w:val="en-US"/>
        </w:rPr>
        <w:t>include (but are not limited to) approaches such as</w:t>
      </w:r>
      <w:r w:rsidR="000D49CA" w:rsidRPr="004D17F8">
        <w:rPr>
          <w:highlight w:val="yellow"/>
          <w:lang w:val="en-US"/>
        </w:rPr>
        <w:t xml:space="preserve"> the following, with specific reference to higher densities (verticalisation) and smaller site sizes (Densification)</w:t>
      </w:r>
      <w:r w:rsidRPr="004D17F8">
        <w:rPr>
          <w:highlight w:val="yellow"/>
          <w:lang w:val="en-US"/>
        </w:rPr>
        <w:t>:</w:t>
      </w:r>
    </w:p>
    <w:p w14:paraId="5D164C29" w14:textId="77777777" w:rsidR="00054A0E" w:rsidRPr="004D17F8" w:rsidRDefault="00054A0E" w:rsidP="00F248FD">
      <w:pPr>
        <w:numPr>
          <w:ilvl w:val="0"/>
          <w:numId w:val="59"/>
        </w:numPr>
        <w:rPr>
          <w:highlight w:val="yellow"/>
          <w:lang w:val="en-US"/>
        </w:rPr>
      </w:pPr>
      <w:r w:rsidRPr="004D17F8">
        <w:rPr>
          <w:highlight w:val="yellow"/>
          <w:lang w:val="en-US"/>
        </w:rPr>
        <w:t>Foundation slabs;</w:t>
      </w:r>
    </w:p>
    <w:p w14:paraId="03135377" w14:textId="77777777" w:rsidR="00054A0E" w:rsidRPr="004D17F8" w:rsidRDefault="00054A0E" w:rsidP="00F248FD">
      <w:pPr>
        <w:numPr>
          <w:ilvl w:val="0"/>
          <w:numId w:val="59"/>
        </w:numPr>
        <w:rPr>
          <w:highlight w:val="yellow"/>
          <w:lang w:val="en-US"/>
        </w:rPr>
      </w:pPr>
      <w:r w:rsidRPr="004D17F8">
        <w:rPr>
          <w:highlight w:val="yellow"/>
          <w:lang w:val="en-US"/>
        </w:rPr>
        <w:t>Wet cores;</w:t>
      </w:r>
    </w:p>
    <w:p w14:paraId="5262AEE0" w14:textId="77777777" w:rsidR="00054A0E" w:rsidRPr="004D17F8" w:rsidRDefault="00054A0E" w:rsidP="00F248FD">
      <w:pPr>
        <w:numPr>
          <w:ilvl w:val="0"/>
          <w:numId w:val="59"/>
        </w:numPr>
        <w:rPr>
          <w:highlight w:val="yellow"/>
          <w:lang w:val="en-US"/>
        </w:rPr>
      </w:pPr>
      <w:r w:rsidRPr="004D17F8">
        <w:rPr>
          <w:highlight w:val="yellow"/>
          <w:lang w:val="en-US"/>
        </w:rPr>
        <w:t xml:space="preserve">Party Walls; and </w:t>
      </w:r>
    </w:p>
    <w:p w14:paraId="63AB80BA" w14:textId="77777777" w:rsidR="00D265F2" w:rsidRPr="004D17F8" w:rsidRDefault="00054A0E" w:rsidP="00F248FD">
      <w:pPr>
        <w:numPr>
          <w:ilvl w:val="0"/>
          <w:numId w:val="59"/>
        </w:numPr>
        <w:rPr>
          <w:highlight w:val="yellow"/>
          <w:lang w:val="en-US"/>
        </w:rPr>
      </w:pPr>
      <w:r w:rsidRPr="004D17F8">
        <w:rPr>
          <w:highlight w:val="yellow"/>
          <w:lang w:val="en-US"/>
        </w:rPr>
        <w:t>House frames that assist to encourage multi storey construction</w:t>
      </w:r>
      <w:r w:rsidR="00D265F2" w:rsidRPr="004D17F8">
        <w:rPr>
          <w:highlight w:val="yellow"/>
          <w:lang w:val="en-US"/>
        </w:rPr>
        <w:t>; and</w:t>
      </w:r>
    </w:p>
    <w:p w14:paraId="1C0B24A9" w14:textId="6E1D4B3F" w:rsidR="00054A0E" w:rsidRPr="004D17F8" w:rsidRDefault="00D265F2" w:rsidP="00F248FD">
      <w:pPr>
        <w:numPr>
          <w:ilvl w:val="0"/>
          <w:numId w:val="59"/>
        </w:numPr>
        <w:rPr>
          <w:highlight w:val="yellow"/>
          <w:lang w:val="en-US"/>
        </w:rPr>
      </w:pPr>
      <w:r w:rsidRPr="004D17F8">
        <w:rPr>
          <w:highlight w:val="yellow"/>
          <w:lang w:val="en-US"/>
        </w:rPr>
        <w:t>Multi unit, multi-story configurations (‘stacked tenure’)</w:t>
      </w:r>
      <w:r w:rsidR="00054A0E" w:rsidRPr="004D17F8">
        <w:rPr>
          <w:highlight w:val="yellow"/>
          <w:lang w:val="en-US"/>
        </w:rPr>
        <w:t xml:space="preserve">. </w:t>
      </w:r>
    </w:p>
    <w:p w14:paraId="656F62F3" w14:textId="77777777" w:rsidR="00515BD2" w:rsidRDefault="00515BD2" w:rsidP="00515BD2">
      <w:pPr>
        <w:ind w:left="720"/>
        <w:rPr>
          <w:lang w:val="en-US"/>
        </w:rPr>
      </w:pPr>
    </w:p>
    <w:p w14:paraId="3D46D029" w14:textId="4371393D" w:rsidR="00FA19BD" w:rsidRPr="00AC3E0D" w:rsidRDefault="00FA19BD" w:rsidP="00F248FD">
      <w:pPr>
        <w:numPr>
          <w:ilvl w:val="0"/>
          <w:numId w:val="55"/>
        </w:numPr>
        <w:spacing w:line="360" w:lineRule="auto"/>
        <w:rPr>
          <w:lang w:val="en-US"/>
        </w:rPr>
      </w:pPr>
      <w:r>
        <w:rPr>
          <w:b/>
          <w:lang w:val="en-US"/>
        </w:rPr>
        <w:t xml:space="preserve">Develop &amp; Test </w:t>
      </w:r>
      <w:r w:rsidRPr="00AC3E0D">
        <w:rPr>
          <w:b/>
          <w:lang w:val="en-US"/>
        </w:rPr>
        <w:t>House Consolidation Capital Funding Instrument</w:t>
      </w:r>
      <w:r w:rsidRPr="00AC3E0D">
        <w:rPr>
          <w:lang w:val="en-US"/>
        </w:rPr>
        <w:t>: Develop and test a</w:t>
      </w:r>
      <w:r w:rsidR="00DF14CB">
        <w:rPr>
          <w:lang w:val="en-US"/>
        </w:rPr>
        <w:t>lternative, full and partial</w:t>
      </w:r>
      <w:r w:rsidRPr="00AC3E0D">
        <w:rPr>
          <w:lang w:val="en-US"/>
        </w:rPr>
        <w:t xml:space="preserve"> top structure subsidy instrument specifically suited to upgrading contexts for potential future applications within the Shelter Consolidation phase of the UISP.  This should provide mechanisms through which eligible households may apply subsidy supports </w:t>
      </w:r>
      <w:r>
        <w:rPr>
          <w:lang w:val="en-US"/>
        </w:rPr>
        <w:t xml:space="preserve">where existing house investments / improvements have been made </w:t>
      </w:r>
      <w:r w:rsidRPr="00AC3E0D">
        <w:rPr>
          <w:lang w:val="en-US"/>
        </w:rPr>
        <w:t xml:space="preserve">using permanent materials either prior to upgrading, or during the upgrading process; and qualifying site owners wish to continue housing consolidation under the “owner builder mode”. </w:t>
      </w:r>
      <w:r>
        <w:rPr>
          <w:lang w:val="en-US"/>
        </w:rPr>
        <w:t xml:space="preserve"> </w:t>
      </w:r>
      <w:r w:rsidR="00DF14CB" w:rsidRPr="00DF14CB">
        <w:rPr>
          <w:lang w:val="en-US"/>
        </w:rPr>
        <w:t xml:space="preserve">Design and costing of alternative </w:t>
      </w:r>
      <w:r w:rsidR="00DF14CB" w:rsidRPr="00DF14CB">
        <w:rPr>
          <w:b/>
          <w:lang w:val="en-US"/>
        </w:rPr>
        <w:t>partial top structure subsidy options</w:t>
      </w:r>
      <w:r w:rsidR="00DF14CB" w:rsidRPr="00DF14CB">
        <w:rPr>
          <w:lang w:val="en-US"/>
        </w:rPr>
        <w:t xml:space="preserve"> should be considered when developing alternatives, specifically in relation to work undertaken by the DHS (Louis Van Der Walt)</w:t>
      </w:r>
      <w:r w:rsidR="00DF14CB">
        <w:rPr>
          <w:lang w:val="en-US"/>
        </w:rPr>
        <w:t xml:space="preserve">. </w:t>
      </w:r>
      <w:r w:rsidR="00DF14CB" w:rsidRPr="00AC3E0D">
        <w:rPr>
          <w:lang w:val="en-US"/>
        </w:rPr>
        <w:t xml:space="preserve"> </w:t>
      </w:r>
      <w:r w:rsidRPr="00AC3E0D">
        <w:rPr>
          <w:lang w:val="en-US"/>
        </w:rPr>
        <w:t xml:space="preserve">Such a subsidy instrument could be developed </w:t>
      </w:r>
      <w:r>
        <w:rPr>
          <w:lang w:val="en-US"/>
        </w:rPr>
        <w:t>in one of the following two ways</w:t>
      </w:r>
      <w:r w:rsidRPr="00AC3E0D">
        <w:rPr>
          <w:lang w:val="en-US"/>
        </w:rPr>
        <w:t>:</w:t>
      </w:r>
    </w:p>
    <w:p w14:paraId="60AC9699" w14:textId="77777777" w:rsidR="00FA19BD" w:rsidRDefault="00FA19BD" w:rsidP="00F248FD">
      <w:pPr>
        <w:pStyle w:val="ListParagraph"/>
        <w:numPr>
          <w:ilvl w:val="0"/>
          <w:numId w:val="70"/>
        </w:numPr>
      </w:pPr>
      <w:r w:rsidRPr="00D45639">
        <w:t xml:space="preserve">Ideally, by </w:t>
      </w:r>
      <w:r w:rsidRPr="00D45639">
        <w:rPr>
          <w:b/>
        </w:rPr>
        <w:t>extending the UISP instrument to be applicable for house consolidation</w:t>
      </w:r>
      <w:r w:rsidRPr="00D45639">
        <w:t xml:space="preserve">. This would </w:t>
      </w:r>
      <w:r w:rsidRPr="004D17F8">
        <w:rPr>
          <w:highlight w:val="yellow"/>
        </w:rPr>
        <w:t xml:space="preserve">require the defining an approach and financial instrument within the UISP that augments the current approach by specifically supporting the House Consolidation process, both via alternative applications of existing funding in Phases one to three, and by providing additional funding for the House Consolidation phase. Political support for this approach, as an </w:t>
      </w:r>
      <w:r w:rsidRPr="004D17F8">
        <w:rPr>
          <w:highlight w:val="yellow"/>
        </w:rPr>
        <w:lastRenderedPageBreak/>
        <w:t>alternative to the full top structure subsidy, will need to be based on demonstrating the greater reach (breadth) than can be achieved in the context of scarce subsidy resources.</w:t>
      </w:r>
      <w:r>
        <w:t xml:space="preserve"> However, this needs to be derived in the first instance through specific costing derived from real project environments (see Pilot Projects).</w:t>
      </w:r>
    </w:p>
    <w:p w14:paraId="581A6663" w14:textId="77777777" w:rsidR="00FA19BD" w:rsidRPr="004D17F8" w:rsidRDefault="00FA19BD" w:rsidP="00F248FD">
      <w:pPr>
        <w:pStyle w:val="ListParagraph"/>
        <w:numPr>
          <w:ilvl w:val="0"/>
          <w:numId w:val="70"/>
        </w:numPr>
        <w:rPr>
          <w:highlight w:val="yellow"/>
        </w:rPr>
      </w:pPr>
      <w:r w:rsidRPr="004D17F8">
        <w:rPr>
          <w:highlight w:val="yellow"/>
        </w:rPr>
        <w:t>A</w:t>
      </w:r>
      <w:r w:rsidRPr="004D17F8">
        <w:rPr>
          <w:b/>
          <w:highlight w:val="yellow"/>
        </w:rPr>
        <w:t>dapting and</w:t>
      </w:r>
      <w:r w:rsidRPr="004D17F8">
        <w:rPr>
          <w:highlight w:val="yellow"/>
        </w:rPr>
        <w:t xml:space="preserve"> </w:t>
      </w:r>
      <w:r w:rsidRPr="004D17F8">
        <w:rPr>
          <w:b/>
          <w:highlight w:val="yellow"/>
        </w:rPr>
        <w:t>re-applying one of the following existing instruments</w:t>
      </w:r>
      <w:r w:rsidRPr="004D17F8">
        <w:rPr>
          <w:highlight w:val="yellow"/>
        </w:rPr>
        <w:t xml:space="preserve"> contained in the Housing Code: </w:t>
      </w:r>
    </w:p>
    <w:p w14:paraId="07D6D902" w14:textId="54D3A163" w:rsidR="00FA19BD" w:rsidRPr="004D17F8" w:rsidRDefault="00FA19BD" w:rsidP="00F248FD">
      <w:pPr>
        <w:pStyle w:val="ListParagraph"/>
        <w:numPr>
          <w:ilvl w:val="1"/>
          <w:numId w:val="70"/>
        </w:numPr>
        <w:rPr>
          <w:highlight w:val="yellow"/>
        </w:rPr>
      </w:pPr>
      <w:r w:rsidRPr="004D17F8">
        <w:rPr>
          <w:highlight w:val="yellow"/>
        </w:rPr>
        <w:t>A</w:t>
      </w:r>
      <w:r w:rsidR="00AF2EFE" w:rsidRPr="004D17F8">
        <w:rPr>
          <w:highlight w:val="yellow"/>
        </w:rPr>
        <w:t>dapting and a</w:t>
      </w:r>
      <w:r w:rsidRPr="004D17F8">
        <w:rPr>
          <w:highlight w:val="yellow"/>
        </w:rPr>
        <w:t xml:space="preserve">pplying the </w:t>
      </w:r>
      <w:r w:rsidRPr="004D17F8">
        <w:rPr>
          <w:b/>
          <w:highlight w:val="yellow"/>
        </w:rPr>
        <w:t>Housing Consolidation Subsidy</w:t>
      </w:r>
      <w:r w:rsidR="00AF2EFE" w:rsidRPr="004D17F8">
        <w:rPr>
          <w:highlight w:val="yellow"/>
        </w:rPr>
        <w:t xml:space="preserve"> (currently unused)</w:t>
      </w:r>
      <w:r w:rsidRPr="004D17F8">
        <w:rPr>
          <w:highlight w:val="yellow"/>
        </w:rPr>
        <w:t>; or</w:t>
      </w:r>
    </w:p>
    <w:p w14:paraId="584FCA90" w14:textId="77777777" w:rsidR="00FA19BD" w:rsidRPr="004D17F8" w:rsidRDefault="00FA19BD" w:rsidP="00F248FD">
      <w:pPr>
        <w:pStyle w:val="ListParagraph"/>
        <w:numPr>
          <w:ilvl w:val="1"/>
          <w:numId w:val="70"/>
        </w:numPr>
        <w:rPr>
          <w:highlight w:val="yellow"/>
        </w:rPr>
      </w:pPr>
      <w:r w:rsidRPr="004D17F8">
        <w:rPr>
          <w:highlight w:val="yellow"/>
        </w:rPr>
        <w:t xml:space="preserve">Providing for an adapted version of the </w:t>
      </w:r>
      <w:r w:rsidRPr="004D17F8">
        <w:rPr>
          <w:b/>
          <w:highlight w:val="yellow"/>
        </w:rPr>
        <w:t>Enhanced Peoples Housing Process</w:t>
      </w:r>
      <w:r w:rsidRPr="004D17F8">
        <w:rPr>
          <w:highlight w:val="yellow"/>
        </w:rPr>
        <w:t xml:space="preserve"> whereby accredited EPHP CRO’s provide construction support to qualifying Owner –Builders; or.</w:t>
      </w:r>
    </w:p>
    <w:p w14:paraId="43D488D3" w14:textId="42946E76" w:rsidR="00FA19BD" w:rsidRPr="004D17F8" w:rsidRDefault="00FA19BD" w:rsidP="00F248FD">
      <w:pPr>
        <w:pStyle w:val="ListParagraph"/>
        <w:numPr>
          <w:ilvl w:val="1"/>
          <w:numId w:val="70"/>
        </w:numPr>
        <w:rPr>
          <w:highlight w:val="yellow"/>
        </w:rPr>
      </w:pPr>
      <w:r w:rsidRPr="004D17F8">
        <w:rPr>
          <w:highlight w:val="yellow"/>
        </w:rPr>
        <w:t xml:space="preserve">Adapting the current </w:t>
      </w:r>
      <w:r w:rsidRPr="004D17F8">
        <w:rPr>
          <w:b/>
          <w:highlight w:val="yellow"/>
        </w:rPr>
        <w:t>Individual Rural Housing Subsidy Voucher Programme</w:t>
      </w:r>
      <w:r w:rsidRPr="004D17F8">
        <w:rPr>
          <w:highlight w:val="yellow"/>
        </w:rPr>
        <w:t xml:space="preserve"> for application in urban i</w:t>
      </w:r>
      <w:r w:rsidR="00AF2EFE" w:rsidRPr="004D17F8">
        <w:rPr>
          <w:highlight w:val="yellow"/>
        </w:rPr>
        <w:t>n-</w:t>
      </w:r>
      <w:r w:rsidRPr="004D17F8">
        <w:rPr>
          <w:highlight w:val="yellow"/>
        </w:rPr>
        <w:t xml:space="preserve">situ upgrading contexts (see next point). </w:t>
      </w:r>
      <w:r w:rsidR="00AF2EFE" w:rsidRPr="004D17F8">
        <w:rPr>
          <w:highlight w:val="yellow"/>
        </w:rPr>
        <w:t xml:space="preserve"> It is believed that the current implementation approach for this pilot voucher system is not providing the ideal framework for testing of the methodology.</w:t>
      </w:r>
    </w:p>
    <w:p w14:paraId="06B6BF23" w14:textId="567D94F7" w:rsidR="008B3D18" w:rsidRDefault="008B3D18" w:rsidP="00F248FD">
      <w:pPr>
        <w:pStyle w:val="ListParagraph"/>
        <w:numPr>
          <w:ilvl w:val="0"/>
          <w:numId w:val="70"/>
        </w:numPr>
      </w:pPr>
      <w:r>
        <w:t xml:space="preserve">Identifying </w:t>
      </w:r>
      <w:r w:rsidRPr="008B3D18">
        <w:rPr>
          <w:b/>
        </w:rPr>
        <w:t>potential fiscal flows</w:t>
      </w:r>
      <w:r>
        <w:t xml:space="preserve"> that could be used to finance such an instrument.</w:t>
      </w:r>
    </w:p>
    <w:p w14:paraId="4BB6A830" w14:textId="77777777" w:rsidR="00BD4388" w:rsidRDefault="00BD4388" w:rsidP="00F248FD">
      <w:pPr>
        <w:pStyle w:val="ListParagraph"/>
        <w:numPr>
          <w:ilvl w:val="1"/>
          <w:numId w:val="70"/>
        </w:numPr>
      </w:pPr>
      <w:r w:rsidRPr="00E322C4">
        <w:t xml:space="preserve">The long-term solution is to fund the requirement through a HSDG instrument in the Code. </w:t>
      </w:r>
      <w:r>
        <w:t>This could be via:</w:t>
      </w:r>
    </w:p>
    <w:p w14:paraId="72635A0C" w14:textId="395F270F" w:rsidR="00BD4388" w:rsidRDefault="008B3D18" w:rsidP="00F248FD">
      <w:pPr>
        <w:pStyle w:val="ListParagraph"/>
        <w:numPr>
          <w:ilvl w:val="2"/>
          <w:numId w:val="70"/>
        </w:numPr>
      </w:pPr>
      <w:r>
        <w:t>Existing HSDG funds in the UISP</w:t>
      </w:r>
      <w:r w:rsidR="00BD4388">
        <w:t xml:space="preserve">. </w:t>
      </w:r>
    </w:p>
    <w:p w14:paraId="7DF37AE7" w14:textId="00BEEFC0" w:rsidR="008B3D18" w:rsidRDefault="008B3D18" w:rsidP="00F248FD">
      <w:pPr>
        <w:pStyle w:val="ListParagraph"/>
        <w:numPr>
          <w:ilvl w:val="2"/>
          <w:numId w:val="70"/>
        </w:numPr>
      </w:pPr>
      <w:r>
        <w:t>Applicable funding in related instruments such as EPHP</w:t>
      </w:r>
    </w:p>
    <w:p w14:paraId="2932C510" w14:textId="77777777" w:rsidR="008B3D18" w:rsidRDefault="008B3D18" w:rsidP="00F248FD">
      <w:pPr>
        <w:pStyle w:val="ListParagraph"/>
        <w:numPr>
          <w:ilvl w:val="2"/>
          <w:numId w:val="70"/>
        </w:numPr>
      </w:pPr>
      <w:r>
        <w:t>Other HSDG funds adapted to this purpose (such as IRDP)</w:t>
      </w:r>
    </w:p>
    <w:p w14:paraId="4CCDF270" w14:textId="6F87DA6D" w:rsidR="00BD4388" w:rsidRPr="00777726" w:rsidRDefault="008B3D18" w:rsidP="00F248FD">
      <w:pPr>
        <w:pStyle w:val="ListParagraph"/>
        <w:numPr>
          <w:ilvl w:val="1"/>
          <w:numId w:val="70"/>
        </w:numPr>
      </w:pPr>
      <w:r>
        <w:t xml:space="preserve">Using the USDG to channel funding to this purpose. </w:t>
      </w:r>
      <w:r w:rsidR="00BD4388" w:rsidRPr="00777726">
        <w:t>The USDG is potentially flexible enough for it to be used for this purpose, but</w:t>
      </w:r>
      <w:r w:rsidR="00BD4388">
        <w:t xml:space="preserve"> this could</w:t>
      </w:r>
      <w:r w:rsidR="00BD4388" w:rsidRPr="00777726">
        <w:t xml:space="preserve"> be at the expense of other infrastructure related investments</w:t>
      </w:r>
      <w:r w:rsidR="00BD4388">
        <w:t xml:space="preserve"> unless a specific additional allocation was made for this, and </w:t>
      </w:r>
      <w:r w:rsidR="00BD4388" w:rsidRPr="00777726">
        <w:t>It would not help the non-metropolitan municipalities</w:t>
      </w:r>
      <w:r w:rsidR="00BD4388">
        <w:t xml:space="preserve"> not eligible for USDG funding</w:t>
      </w:r>
      <w:r w:rsidR="00BD4388" w:rsidRPr="00777726">
        <w:t>.</w:t>
      </w:r>
    </w:p>
    <w:p w14:paraId="4B91D3C1" w14:textId="77777777" w:rsidR="00FA19BD" w:rsidRDefault="00FA19BD" w:rsidP="00FA19BD"/>
    <w:p w14:paraId="3475696F" w14:textId="7EF0DAC7" w:rsidR="00FA19BD" w:rsidRPr="005076D8" w:rsidRDefault="00FA19BD" w:rsidP="00F248FD">
      <w:pPr>
        <w:numPr>
          <w:ilvl w:val="0"/>
          <w:numId w:val="55"/>
        </w:numPr>
        <w:spacing w:line="360" w:lineRule="auto"/>
        <w:rPr>
          <w:b/>
          <w:highlight w:val="yellow"/>
          <w:lang w:val="en-US"/>
        </w:rPr>
      </w:pPr>
      <w:r w:rsidRPr="005076D8">
        <w:rPr>
          <w:b/>
          <w:highlight w:val="yellow"/>
          <w:lang w:val="en-US"/>
        </w:rPr>
        <w:t>Develop and Implement a UISP project on a “Voucher System” basis:</w:t>
      </w:r>
      <w:r w:rsidR="00DF14CB" w:rsidRPr="005076D8">
        <w:rPr>
          <w:b/>
          <w:highlight w:val="yellow"/>
          <w:lang w:val="en-US"/>
        </w:rPr>
        <w:t xml:space="preserve"> </w:t>
      </w:r>
      <w:r w:rsidR="00DF14CB" w:rsidRPr="005076D8">
        <w:rPr>
          <w:highlight w:val="yellow"/>
          <w:lang w:val="en-US"/>
        </w:rPr>
        <w:t xml:space="preserve">Explore a voucher subsidy model that would enable eligible households to apply subsidy capital to </w:t>
      </w:r>
      <w:r w:rsidR="00DF14CB" w:rsidRPr="005076D8">
        <w:rPr>
          <w:highlight w:val="yellow"/>
          <w:lang w:val="en-US"/>
        </w:rPr>
        <w:lastRenderedPageBreak/>
        <w:t>any approved aspect of their shelter, in combination with other sources of funds (own funds and private finance)</w:t>
      </w:r>
      <w:r w:rsidR="00000302" w:rsidRPr="005076D8">
        <w:rPr>
          <w:highlight w:val="yellow"/>
          <w:lang w:val="en-US"/>
        </w:rPr>
        <w:t xml:space="preserve">. </w:t>
      </w:r>
      <w:r w:rsidR="00AF2EFE" w:rsidRPr="005076D8">
        <w:rPr>
          <w:highlight w:val="yellow"/>
        </w:rPr>
        <w:t xml:space="preserve">The instrument would need to be capable of delivering smaller subsidy amounts and possibly in increments- if the financial motivation for going the blended/supported incremental route is not to be undermined. </w:t>
      </w:r>
      <w:r w:rsidR="00000302" w:rsidRPr="005076D8">
        <w:rPr>
          <w:highlight w:val="yellow"/>
          <w:lang w:val="en-US"/>
        </w:rPr>
        <w:t xml:space="preserve">Such a Voucher </w:t>
      </w:r>
      <w:r w:rsidR="00AF2EFE" w:rsidRPr="005076D8">
        <w:rPr>
          <w:highlight w:val="yellow"/>
          <w:lang w:val="en-US"/>
        </w:rPr>
        <w:t>I</w:t>
      </w:r>
      <w:r w:rsidR="00000302" w:rsidRPr="005076D8">
        <w:rPr>
          <w:highlight w:val="yellow"/>
          <w:lang w:val="en-US"/>
        </w:rPr>
        <w:t>nstrument should offer a preferable intervention in at least the following circumstances:</w:t>
      </w:r>
    </w:p>
    <w:p w14:paraId="6AE1D222" w14:textId="0965A40C" w:rsidR="00000302" w:rsidRPr="005076D8" w:rsidRDefault="00000302" w:rsidP="00F248FD">
      <w:pPr>
        <w:numPr>
          <w:ilvl w:val="0"/>
          <w:numId w:val="59"/>
        </w:numPr>
        <w:rPr>
          <w:highlight w:val="yellow"/>
          <w:lang w:val="en-US"/>
        </w:rPr>
      </w:pPr>
      <w:r w:rsidRPr="005076D8">
        <w:rPr>
          <w:highlight w:val="yellow"/>
          <w:lang w:val="en-US"/>
        </w:rPr>
        <w:t xml:space="preserve">Qualifying site owners have already invested in housing improvements using permanent materials, and </w:t>
      </w:r>
    </w:p>
    <w:p w14:paraId="74475AD5" w14:textId="77777777" w:rsidR="00000302" w:rsidRPr="005076D8" w:rsidRDefault="00000302" w:rsidP="00F248FD">
      <w:pPr>
        <w:numPr>
          <w:ilvl w:val="0"/>
          <w:numId w:val="59"/>
        </w:numPr>
        <w:rPr>
          <w:highlight w:val="yellow"/>
          <w:lang w:val="en-US"/>
        </w:rPr>
      </w:pPr>
      <w:r w:rsidRPr="005076D8">
        <w:rPr>
          <w:highlight w:val="yellow"/>
          <w:lang w:val="en-US"/>
        </w:rPr>
        <w:t>Qualifying site owners wish to continue housing consolidation under the “owner builder mode”.</w:t>
      </w:r>
    </w:p>
    <w:p w14:paraId="7074A093" w14:textId="535E8C31" w:rsidR="00000302" w:rsidRPr="005076D8" w:rsidRDefault="00000302" w:rsidP="00F248FD">
      <w:pPr>
        <w:numPr>
          <w:ilvl w:val="0"/>
          <w:numId w:val="59"/>
        </w:numPr>
        <w:rPr>
          <w:highlight w:val="yellow"/>
          <w:lang w:val="en-US"/>
        </w:rPr>
      </w:pPr>
      <w:r w:rsidRPr="005076D8">
        <w:rPr>
          <w:highlight w:val="yellow"/>
          <w:lang w:val="en-US"/>
        </w:rPr>
        <w:t>Non-qualifiers may still have options for purchase and house consolidation outside of the capital element of subsidy</w:t>
      </w:r>
      <w:r w:rsidR="00AF2EFE" w:rsidRPr="005076D8">
        <w:rPr>
          <w:highlight w:val="yellow"/>
          <w:lang w:val="en-US"/>
        </w:rPr>
        <w:t>.</w:t>
      </w:r>
    </w:p>
    <w:p w14:paraId="1B531F3A" w14:textId="77777777" w:rsidR="00AF2EFE" w:rsidRDefault="00AF2EFE" w:rsidP="00AF2EFE">
      <w:pPr>
        <w:rPr>
          <w:lang w:val="en-US"/>
        </w:rPr>
      </w:pPr>
    </w:p>
    <w:p w14:paraId="6E9227A2" w14:textId="3E5A5A3E" w:rsidR="00D265F2" w:rsidRDefault="00D265F2" w:rsidP="00F248FD">
      <w:pPr>
        <w:pStyle w:val="Heading3"/>
        <w:numPr>
          <w:ilvl w:val="2"/>
          <w:numId w:val="58"/>
        </w:numPr>
      </w:pPr>
      <w:r>
        <w:t>Widen House Consolidation Supports in UISP</w:t>
      </w:r>
    </w:p>
    <w:p w14:paraId="14A7B8EF" w14:textId="77777777" w:rsidR="00515BD2" w:rsidRPr="00FA19BD" w:rsidRDefault="00515BD2" w:rsidP="00F248FD">
      <w:pPr>
        <w:numPr>
          <w:ilvl w:val="0"/>
          <w:numId w:val="55"/>
        </w:numPr>
        <w:spacing w:line="360" w:lineRule="auto"/>
        <w:rPr>
          <w:lang w:val="en-US"/>
        </w:rPr>
      </w:pPr>
      <w:r>
        <w:rPr>
          <w:b/>
          <w:lang w:val="en-US"/>
        </w:rPr>
        <w:t xml:space="preserve">House Consolidation Process Guide: </w:t>
      </w:r>
      <w:r w:rsidRPr="00FA19BD">
        <w:rPr>
          <w:lang w:val="en-US"/>
        </w:rPr>
        <w:t>The contents of this document should be developed into a process guideline or manual for the envisaged (revised) House Consolidation Phase of the UISP. Ideally, this should be developed through the experience gained with the Case Study / Pilot Project approach identified in 7.3.1 below. This should include:</w:t>
      </w:r>
    </w:p>
    <w:p w14:paraId="016E6D8A" w14:textId="77777777" w:rsidR="00515BD2" w:rsidRPr="001F0B18" w:rsidRDefault="00515BD2" w:rsidP="00F248FD">
      <w:pPr>
        <w:numPr>
          <w:ilvl w:val="0"/>
          <w:numId w:val="66"/>
        </w:numPr>
        <w:spacing w:line="360" w:lineRule="auto"/>
        <w:ind w:left="1077" w:hanging="357"/>
        <w:rPr>
          <w:lang w:val="en-US"/>
        </w:rPr>
      </w:pPr>
      <w:r w:rsidRPr="001F0B18">
        <w:rPr>
          <w:lang w:val="en-US"/>
        </w:rPr>
        <w:t xml:space="preserve">A succinct </w:t>
      </w:r>
      <w:r w:rsidRPr="0062202C">
        <w:rPr>
          <w:b/>
          <w:lang w:val="en-US"/>
        </w:rPr>
        <w:t>overview of the House Consolidation Phase</w:t>
      </w:r>
      <w:r>
        <w:rPr>
          <w:b/>
          <w:lang w:val="en-US"/>
        </w:rPr>
        <w:t xml:space="preserve"> </w:t>
      </w:r>
      <w:r>
        <w:rPr>
          <w:lang w:val="en-US"/>
        </w:rPr>
        <w:t>within UISP projects;</w:t>
      </w:r>
    </w:p>
    <w:p w14:paraId="046CE9E7" w14:textId="77777777" w:rsidR="00515BD2" w:rsidRDefault="00515BD2" w:rsidP="00F248FD">
      <w:pPr>
        <w:numPr>
          <w:ilvl w:val="0"/>
          <w:numId w:val="66"/>
        </w:numPr>
        <w:spacing w:line="360" w:lineRule="auto"/>
        <w:ind w:left="1077" w:hanging="357"/>
        <w:rPr>
          <w:lang w:val="en-US"/>
        </w:rPr>
      </w:pPr>
      <w:r>
        <w:rPr>
          <w:lang w:val="en-US"/>
        </w:rPr>
        <w:t xml:space="preserve">Defining clearly the contents of the proposed </w:t>
      </w:r>
      <w:r w:rsidRPr="00737406">
        <w:rPr>
          <w:b/>
          <w:lang w:val="en-US"/>
        </w:rPr>
        <w:t>“House Consolidation Plan”</w:t>
      </w:r>
      <w:r>
        <w:rPr>
          <w:lang w:val="en-US"/>
        </w:rPr>
        <w:t xml:space="preserve"> of what must, and what should and what could be included in, taking into account the differences that exist between different upgrading projects;</w:t>
      </w:r>
    </w:p>
    <w:p w14:paraId="6156012F" w14:textId="77777777" w:rsidR="00515BD2" w:rsidRDefault="00515BD2" w:rsidP="00F248FD">
      <w:pPr>
        <w:numPr>
          <w:ilvl w:val="0"/>
          <w:numId w:val="66"/>
        </w:numPr>
        <w:spacing w:line="360" w:lineRule="auto"/>
        <w:ind w:left="1077" w:hanging="357"/>
        <w:rPr>
          <w:lang w:val="en-US"/>
        </w:rPr>
      </w:pPr>
      <w:r>
        <w:rPr>
          <w:lang w:val="en-US"/>
        </w:rPr>
        <w:t xml:space="preserve">A </w:t>
      </w:r>
      <w:r w:rsidRPr="00737406">
        <w:rPr>
          <w:b/>
          <w:lang w:val="en-US"/>
        </w:rPr>
        <w:t>methodology and/or checklist</w:t>
      </w:r>
      <w:r>
        <w:rPr>
          <w:lang w:val="en-US"/>
        </w:rPr>
        <w:t xml:space="preserve"> for assisting project teams to define the options available to, and suitable for conditions within their specific settlement, that assists to identify the most relevant facilitation and technical support interventions for a specific community; </w:t>
      </w:r>
    </w:p>
    <w:p w14:paraId="3B784B3D" w14:textId="77777777" w:rsidR="00515BD2" w:rsidRDefault="00515BD2" w:rsidP="00F248FD">
      <w:pPr>
        <w:numPr>
          <w:ilvl w:val="0"/>
          <w:numId w:val="66"/>
        </w:numPr>
        <w:spacing w:line="360" w:lineRule="auto"/>
        <w:ind w:left="1077" w:hanging="357"/>
        <w:rPr>
          <w:lang w:val="en-US"/>
        </w:rPr>
      </w:pPr>
      <w:r w:rsidRPr="005076D8">
        <w:rPr>
          <w:highlight w:val="yellow"/>
          <w:lang w:val="en-US"/>
        </w:rPr>
        <w:t xml:space="preserve">An outline of existing (and potential future) </w:t>
      </w:r>
      <w:r w:rsidRPr="005076D8">
        <w:rPr>
          <w:b/>
          <w:highlight w:val="yellow"/>
          <w:lang w:val="en-US"/>
        </w:rPr>
        <w:t>sources of funding available</w:t>
      </w:r>
      <w:r w:rsidRPr="005076D8">
        <w:rPr>
          <w:highlight w:val="yellow"/>
          <w:lang w:val="en-US"/>
        </w:rPr>
        <w:t xml:space="preserve"> within and outside of the UISP and NUSP that could be applied to implementing aspects of the House Consolidation Plan;</w:t>
      </w:r>
      <w:r>
        <w:rPr>
          <w:lang w:val="en-US"/>
        </w:rPr>
        <w:t xml:space="preserve"> and</w:t>
      </w:r>
    </w:p>
    <w:p w14:paraId="10EB319D" w14:textId="77777777" w:rsidR="00515BD2" w:rsidRDefault="00515BD2" w:rsidP="00F248FD">
      <w:pPr>
        <w:numPr>
          <w:ilvl w:val="0"/>
          <w:numId w:val="66"/>
        </w:numPr>
        <w:spacing w:line="360" w:lineRule="auto"/>
        <w:ind w:left="1077" w:hanging="357"/>
        <w:rPr>
          <w:lang w:val="en-US"/>
        </w:rPr>
      </w:pPr>
      <w:r w:rsidRPr="001F0B18">
        <w:rPr>
          <w:lang w:val="en-US"/>
        </w:rPr>
        <w:t xml:space="preserve">Clear </w:t>
      </w:r>
      <w:r w:rsidRPr="0062202C">
        <w:rPr>
          <w:b/>
          <w:lang w:val="en-US"/>
        </w:rPr>
        <w:t>procedural guidelines</w:t>
      </w:r>
      <w:r w:rsidRPr="001F0B18">
        <w:rPr>
          <w:lang w:val="en-US"/>
        </w:rPr>
        <w:t xml:space="preserve"> of how and when the requirements for this process fi</w:t>
      </w:r>
      <w:r>
        <w:rPr>
          <w:lang w:val="en-US"/>
        </w:rPr>
        <w:t>t into the overall UISP processes.</w:t>
      </w:r>
    </w:p>
    <w:p w14:paraId="6790796E" w14:textId="77777777" w:rsidR="00515BD2" w:rsidRDefault="00515BD2" w:rsidP="00515BD2"/>
    <w:p w14:paraId="2C8F6879" w14:textId="77777777" w:rsidR="00515BD2" w:rsidRPr="00515BD2" w:rsidRDefault="00515BD2" w:rsidP="00515BD2"/>
    <w:p w14:paraId="780756A1" w14:textId="3AEF1C08" w:rsidR="00D265F2" w:rsidRPr="00DF14CB" w:rsidRDefault="00D265F2" w:rsidP="00F248FD">
      <w:pPr>
        <w:numPr>
          <w:ilvl w:val="0"/>
          <w:numId w:val="55"/>
        </w:numPr>
        <w:spacing w:line="360" w:lineRule="auto"/>
        <w:ind w:left="714" w:hanging="357"/>
        <w:rPr>
          <w:lang w:val="en-US"/>
        </w:rPr>
      </w:pPr>
      <w:r w:rsidRPr="005076D8">
        <w:rPr>
          <w:b/>
          <w:highlight w:val="yellow"/>
          <w:lang w:val="en-US"/>
        </w:rPr>
        <w:t>Broadened Facilitation and Technical Support Components</w:t>
      </w:r>
      <w:r>
        <w:rPr>
          <w:lang w:val="en-US"/>
        </w:rPr>
        <w:t xml:space="preserve">: The </w:t>
      </w:r>
      <w:r w:rsidRPr="006F1F6B">
        <w:rPr>
          <w:lang w:val="en-US"/>
        </w:rPr>
        <w:t>UISP</w:t>
      </w:r>
      <w:r>
        <w:rPr>
          <w:lang w:val="en-US"/>
        </w:rPr>
        <w:t xml:space="preserve"> should be adapted to </w:t>
      </w:r>
      <w:r w:rsidRPr="006F1F6B">
        <w:rPr>
          <w:lang w:val="en-US"/>
        </w:rPr>
        <w:t xml:space="preserve">explicitly include a broader package of housing consolidation related activities and support services </w:t>
      </w:r>
      <w:r>
        <w:rPr>
          <w:lang w:val="en-US"/>
        </w:rPr>
        <w:t xml:space="preserve">(as described in Chapter 6) that can be implemented to enhance and support house consolidation activities within UISP projects. </w:t>
      </w:r>
      <w:r w:rsidR="00DF14CB" w:rsidRPr="00DF14CB">
        <w:t>The motivation for the costs associated with this package of support services should be strengthened through citing the “social value-add” achieved.</w:t>
      </w:r>
      <w:r w:rsidR="00DF14CB">
        <w:t xml:space="preserve"> </w:t>
      </w:r>
      <w:r w:rsidRPr="00DF14CB">
        <w:rPr>
          <w:lang w:val="en-US"/>
        </w:rPr>
        <w:t>These include:</w:t>
      </w:r>
    </w:p>
    <w:p w14:paraId="4C93442A" w14:textId="7C042457" w:rsidR="00D265F2" w:rsidRPr="00DF14CB" w:rsidRDefault="00D265F2" w:rsidP="00F248FD">
      <w:pPr>
        <w:numPr>
          <w:ilvl w:val="1"/>
          <w:numId w:val="56"/>
        </w:numPr>
        <w:spacing w:line="360" w:lineRule="auto"/>
        <w:ind w:left="1135" w:hanging="284"/>
        <w:rPr>
          <w:lang w:val="en-US"/>
        </w:rPr>
      </w:pPr>
      <w:r w:rsidRPr="00DF14CB">
        <w:rPr>
          <w:lang w:val="en-US"/>
        </w:rPr>
        <w:t xml:space="preserve">Development of </w:t>
      </w:r>
      <w:r w:rsidR="0099409D" w:rsidRPr="00DF14CB">
        <w:rPr>
          <w:b/>
          <w:lang w:val="en-US"/>
        </w:rPr>
        <w:t xml:space="preserve">generic </w:t>
      </w:r>
      <w:r w:rsidRPr="00DF14CB">
        <w:rPr>
          <w:b/>
          <w:lang w:val="en-US"/>
        </w:rPr>
        <w:t xml:space="preserve">house </w:t>
      </w:r>
      <w:r w:rsidR="0099409D" w:rsidRPr="00DF14CB">
        <w:rPr>
          <w:b/>
          <w:lang w:val="en-US"/>
        </w:rPr>
        <w:t>typologies</w:t>
      </w:r>
      <w:r w:rsidR="0099409D" w:rsidRPr="00DF14CB">
        <w:rPr>
          <w:lang w:val="en-US"/>
        </w:rPr>
        <w:t xml:space="preserve"> (such as detached, attached, multi-story, specific elements of housing)</w:t>
      </w:r>
    </w:p>
    <w:p w14:paraId="48AAEBD4" w14:textId="709EA358" w:rsidR="00D265F2" w:rsidRPr="00DF14CB" w:rsidRDefault="00D265F2" w:rsidP="00F248FD">
      <w:pPr>
        <w:numPr>
          <w:ilvl w:val="1"/>
          <w:numId w:val="56"/>
        </w:numPr>
        <w:spacing w:line="360" w:lineRule="auto"/>
        <w:ind w:left="1135" w:hanging="284"/>
        <w:rPr>
          <w:lang w:val="en-US"/>
        </w:rPr>
      </w:pPr>
      <w:r w:rsidRPr="00DF14CB">
        <w:rPr>
          <w:lang w:val="en-US"/>
        </w:rPr>
        <w:t xml:space="preserve">Selection of </w:t>
      </w:r>
      <w:r w:rsidRPr="00DF14CB">
        <w:rPr>
          <w:b/>
          <w:lang w:val="en-US"/>
        </w:rPr>
        <w:t>incremental house types</w:t>
      </w:r>
      <w:r w:rsidR="0099409D" w:rsidRPr="00DF14CB">
        <w:rPr>
          <w:lang w:val="en-US"/>
        </w:rPr>
        <w:t xml:space="preserve"> within these typologies</w:t>
      </w:r>
      <w:r w:rsidRPr="00DF14CB">
        <w:rPr>
          <w:lang w:val="en-US"/>
        </w:rPr>
        <w:t xml:space="preserve">. </w:t>
      </w:r>
    </w:p>
    <w:p w14:paraId="6026056C" w14:textId="7E682298" w:rsidR="00D265F2" w:rsidRPr="00DF14CB" w:rsidRDefault="0099409D" w:rsidP="00F248FD">
      <w:pPr>
        <w:numPr>
          <w:ilvl w:val="1"/>
          <w:numId w:val="56"/>
        </w:numPr>
        <w:spacing w:line="360" w:lineRule="auto"/>
        <w:ind w:left="1135" w:hanging="284"/>
        <w:rPr>
          <w:lang w:val="en-US"/>
        </w:rPr>
      </w:pPr>
      <w:r w:rsidRPr="00DF14CB">
        <w:rPr>
          <w:b/>
          <w:lang w:val="en-US"/>
        </w:rPr>
        <w:t>Site layout and design</w:t>
      </w:r>
      <w:r w:rsidRPr="00DF14CB">
        <w:rPr>
          <w:lang w:val="en-US"/>
        </w:rPr>
        <w:t>, including h</w:t>
      </w:r>
      <w:r w:rsidR="00D265F2" w:rsidRPr="00DF14CB">
        <w:rPr>
          <w:lang w:val="en-US"/>
        </w:rPr>
        <w:t>ouse positioning on the site.</w:t>
      </w:r>
    </w:p>
    <w:p w14:paraId="2DAADF2C" w14:textId="7144665A" w:rsidR="00D265F2" w:rsidRDefault="0099409D" w:rsidP="00F248FD">
      <w:pPr>
        <w:numPr>
          <w:ilvl w:val="1"/>
          <w:numId w:val="56"/>
        </w:numPr>
        <w:spacing w:line="360" w:lineRule="auto"/>
        <w:ind w:left="1135" w:hanging="284"/>
        <w:rPr>
          <w:lang w:val="en-US"/>
        </w:rPr>
      </w:pPr>
      <w:r w:rsidRPr="00DF14CB">
        <w:rPr>
          <w:lang w:val="en-US"/>
        </w:rPr>
        <w:t xml:space="preserve">Provision of </w:t>
      </w:r>
      <w:r w:rsidRPr="00DF14CB">
        <w:rPr>
          <w:b/>
          <w:lang w:val="en-US"/>
        </w:rPr>
        <w:t>t</w:t>
      </w:r>
      <w:r w:rsidR="00D265F2" w:rsidRPr="00DF14CB">
        <w:rPr>
          <w:b/>
          <w:lang w:val="en-US"/>
        </w:rPr>
        <w:t xml:space="preserve">echnical </w:t>
      </w:r>
      <w:r w:rsidRPr="00DF14CB">
        <w:rPr>
          <w:b/>
          <w:lang w:val="en-US"/>
        </w:rPr>
        <w:t xml:space="preserve">support &amp; training </w:t>
      </w:r>
      <w:r w:rsidR="00D265F2" w:rsidRPr="00DF14CB">
        <w:rPr>
          <w:lang w:val="en-US"/>
        </w:rPr>
        <w:t>to incremental builders.</w:t>
      </w:r>
    </w:p>
    <w:p w14:paraId="7D340094" w14:textId="77777777" w:rsidR="00515BD2" w:rsidRPr="00DF14CB" w:rsidRDefault="00515BD2" w:rsidP="00515BD2">
      <w:pPr>
        <w:spacing w:line="360" w:lineRule="auto"/>
        <w:ind w:left="851"/>
        <w:rPr>
          <w:lang w:val="en-US"/>
        </w:rPr>
      </w:pPr>
    </w:p>
    <w:p w14:paraId="71AE8556" w14:textId="6CB63B6F" w:rsidR="009A117D" w:rsidRDefault="00054A0E" w:rsidP="00F248FD">
      <w:pPr>
        <w:numPr>
          <w:ilvl w:val="0"/>
          <w:numId w:val="55"/>
        </w:numPr>
        <w:spacing w:line="360" w:lineRule="auto"/>
        <w:ind w:left="714" w:hanging="357"/>
        <w:rPr>
          <w:lang w:val="en-US"/>
        </w:rPr>
      </w:pPr>
      <w:r w:rsidRPr="005076D8">
        <w:rPr>
          <w:b/>
          <w:highlight w:val="yellow"/>
          <w:lang w:val="en-US"/>
        </w:rPr>
        <w:t xml:space="preserve">Revise </w:t>
      </w:r>
      <w:r w:rsidR="009A117D" w:rsidRPr="005076D8">
        <w:rPr>
          <w:b/>
          <w:highlight w:val="yellow"/>
          <w:lang w:val="en-US"/>
        </w:rPr>
        <w:t>UISP Cost Norms and Applications:</w:t>
      </w:r>
      <w:r w:rsidR="009A117D">
        <w:rPr>
          <w:lang w:val="en-US"/>
        </w:rPr>
        <w:t xml:space="preserve"> The standard </w:t>
      </w:r>
      <w:r w:rsidR="006E1686" w:rsidRPr="006E1686">
        <w:rPr>
          <w:lang w:val="en-US"/>
        </w:rPr>
        <w:t xml:space="preserve">UISP cost norms </w:t>
      </w:r>
      <w:r w:rsidR="009A117D">
        <w:rPr>
          <w:lang w:val="en-US"/>
        </w:rPr>
        <w:t xml:space="preserve">should be reviewed to </w:t>
      </w:r>
      <w:r w:rsidR="006E1686" w:rsidRPr="006E1686">
        <w:rPr>
          <w:lang w:val="en-US"/>
        </w:rPr>
        <w:t xml:space="preserve">provide </w:t>
      </w:r>
      <w:r w:rsidR="006A5AE1">
        <w:rPr>
          <w:lang w:val="en-US"/>
        </w:rPr>
        <w:t>f</w:t>
      </w:r>
      <w:r w:rsidR="006E1686" w:rsidRPr="006E1686">
        <w:rPr>
          <w:lang w:val="en-US"/>
        </w:rPr>
        <w:t>or th</w:t>
      </w:r>
      <w:r w:rsidR="006A5AE1">
        <w:rPr>
          <w:lang w:val="en-US"/>
        </w:rPr>
        <w:t>e</w:t>
      </w:r>
      <w:r w:rsidR="006E1686" w:rsidRPr="006E1686">
        <w:rPr>
          <w:lang w:val="en-US"/>
        </w:rPr>
        <w:t xml:space="preserve"> </w:t>
      </w:r>
      <w:r w:rsidR="008B08C9">
        <w:rPr>
          <w:lang w:val="en-US"/>
        </w:rPr>
        <w:t xml:space="preserve">costs associated with the </w:t>
      </w:r>
      <w:r w:rsidR="006E1686" w:rsidRPr="006E1686">
        <w:rPr>
          <w:lang w:val="en-US"/>
        </w:rPr>
        <w:t>broadened package of housing consolidation support services</w:t>
      </w:r>
      <w:r w:rsidR="009A117D">
        <w:rPr>
          <w:lang w:val="en-US"/>
        </w:rPr>
        <w:t xml:space="preserve"> envisaged to support house consolidation processes by households. </w:t>
      </w:r>
      <w:r w:rsidR="0099409D" w:rsidRPr="00515BD2">
        <w:rPr>
          <w:lang w:val="en-US"/>
        </w:rPr>
        <w:t xml:space="preserve">Greater </w:t>
      </w:r>
      <w:r w:rsidR="0099409D" w:rsidRPr="00515BD2">
        <w:t>specificity on the costing of the various facilitation and technical support elements is also required. This requires the designing and costing of a generic support system, based on the within the context of specific upgrading projects.</w:t>
      </w:r>
      <w:r w:rsidR="00737406">
        <w:t xml:space="preserve"> </w:t>
      </w:r>
      <w:r w:rsidR="00515BD2">
        <w:t>T</w:t>
      </w:r>
      <w:r w:rsidR="00737406">
        <w:t>he “social value add” related to the additional funding sought for the technical and facilitative aspects</w:t>
      </w:r>
      <w:r w:rsidR="00515BD2">
        <w:t xml:space="preserve"> should be used as a key motivation for pursuing this form of facilitation. </w:t>
      </w:r>
      <w:r w:rsidR="009A117D">
        <w:rPr>
          <w:lang w:val="en-US"/>
        </w:rPr>
        <w:t xml:space="preserve">This </w:t>
      </w:r>
      <w:r w:rsidR="00DD5478">
        <w:rPr>
          <w:lang w:val="en-US"/>
        </w:rPr>
        <w:t xml:space="preserve">must acknowledge the focused </w:t>
      </w:r>
      <w:r w:rsidR="00515BD2">
        <w:rPr>
          <w:lang w:val="en-US"/>
        </w:rPr>
        <w:t xml:space="preserve">(and limited) </w:t>
      </w:r>
      <w:r w:rsidR="00DD5478">
        <w:rPr>
          <w:lang w:val="en-US"/>
        </w:rPr>
        <w:t xml:space="preserve">intent of existing process funding provided for in the UISP, and </w:t>
      </w:r>
      <w:r w:rsidR="009A117D">
        <w:rPr>
          <w:lang w:val="en-US"/>
        </w:rPr>
        <w:t xml:space="preserve">should include </w:t>
      </w:r>
      <w:r w:rsidR="00DD5478">
        <w:rPr>
          <w:lang w:val="en-US"/>
        </w:rPr>
        <w:t xml:space="preserve">provisions for </w:t>
      </w:r>
      <w:r w:rsidR="009A117D">
        <w:rPr>
          <w:lang w:val="en-US"/>
        </w:rPr>
        <w:t>at least</w:t>
      </w:r>
      <w:r w:rsidR="00DD5478">
        <w:rPr>
          <w:lang w:val="en-US"/>
        </w:rPr>
        <w:t xml:space="preserve"> the following (where appropriate)</w:t>
      </w:r>
      <w:r w:rsidR="009A117D">
        <w:rPr>
          <w:lang w:val="en-US"/>
        </w:rPr>
        <w:t>:</w:t>
      </w:r>
    </w:p>
    <w:p w14:paraId="3BCD765A" w14:textId="1AB30120" w:rsidR="009A117D" w:rsidRDefault="009A117D" w:rsidP="00F248FD">
      <w:pPr>
        <w:numPr>
          <w:ilvl w:val="0"/>
          <w:numId w:val="57"/>
        </w:numPr>
        <w:spacing w:line="360" w:lineRule="auto"/>
        <w:ind w:left="1077" w:hanging="357"/>
        <w:rPr>
          <w:lang w:val="en-US"/>
        </w:rPr>
      </w:pPr>
      <w:r>
        <w:rPr>
          <w:lang w:val="en-US"/>
        </w:rPr>
        <w:t xml:space="preserve">Additional costs of more nuanced </w:t>
      </w:r>
      <w:r w:rsidRPr="0099409D">
        <w:rPr>
          <w:b/>
          <w:lang w:val="en-US"/>
        </w:rPr>
        <w:t>settlement plans and house locations</w:t>
      </w:r>
      <w:r>
        <w:rPr>
          <w:lang w:val="en-US"/>
        </w:rPr>
        <w:t xml:space="preserve"> </w:t>
      </w:r>
      <w:r w:rsidR="0099409D">
        <w:rPr>
          <w:lang w:val="en-US"/>
        </w:rPr>
        <w:t xml:space="preserve">are </w:t>
      </w:r>
      <w:r>
        <w:rPr>
          <w:lang w:val="en-US"/>
        </w:rPr>
        <w:t>required</w:t>
      </w:r>
      <w:r w:rsidR="00054A0E">
        <w:rPr>
          <w:lang w:val="en-US"/>
        </w:rPr>
        <w:t>, especially</w:t>
      </w:r>
      <w:r>
        <w:rPr>
          <w:lang w:val="en-US"/>
        </w:rPr>
        <w:t xml:space="preserve"> where </w:t>
      </w:r>
      <w:r w:rsidR="00DD5478">
        <w:rPr>
          <w:lang w:val="en-US"/>
        </w:rPr>
        <w:t>large-scale</w:t>
      </w:r>
      <w:r>
        <w:rPr>
          <w:lang w:val="en-US"/>
        </w:rPr>
        <w:t xml:space="preserve"> relocations will not be undertaken.</w:t>
      </w:r>
    </w:p>
    <w:p w14:paraId="0C75CB78" w14:textId="3C2E4CDB" w:rsidR="009A117D" w:rsidRDefault="009A117D" w:rsidP="00F248FD">
      <w:pPr>
        <w:numPr>
          <w:ilvl w:val="0"/>
          <w:numId w:val="57"/>
        </w:numPr>
        <w:spacing w:line="360" w:lineRule="auto"/>
        <w:ind w:left="1077" w:hanging="357"/>
        <w:rPr>
          <w:lang w:val="en-US"/>
        </w:rPr>
      </w:pPr>
      <w:r>
        <w:rPr>
          <w:lang w:val="en-US"/>
        </w:rPr>
        <w:t xml:space="preserve">The development of generic, </w:t>
      </w:r>
      <w:r w:rsidRPr="0099409D">
        <w:rPr>
          <w:b/>
          <w:lang w:val="en-US"/>
        </w:rPr>
        <w:t>alternative house development options</w:t>
      </w:r>
      <w:r>
        <w:rPr>
          <w:lang w:val="en-US"/>
        </w:rPr>
        <w:t xml:space="preserve"> (includin</w:t>
      </w:r>
      <w:r w:rsidR="00054A0E">
        <w:rPr>
          <w:lang w:val="en-US"/>
        </w:rPr>
        <w:t>g partially subsidised options), potentially including alternative tenure and built form configurations.</w:t>
      </w:r>
    </w:p>
    <w:p w14:paraId="54FAD668" w14:textId="465C62A6" w:rsidR="006E1686" w:rsidRDefault="00DD5478" w:rsidP="00F248FD">
      <w:pPr>
        <w:numPr>
          <w:ilvl w:val="0"/>
          <w:numId w:val="57"/>
        </w:numPr>
        <w:spacing w:line="360" w:lineRule="auto"/>
        <w:ind w:left="1077" w:hanging="357"/>
        <w:rPr>
          <w:lang w:val="en-US"/>
        </w:rPr>
      </w:pPr>
      <w:r>
        <w:rPr>
          <w:lang w:val="en-US"/>
        </w:rPr>
        <w:lastRenderedPageBreak/>
        <w:t xml:space="preserve">The design and implementation of </w:t>
      </w:r>
      <w:r w:rsidRPr="00D45639">
        <w:rPr>
          <w:b/>
          <w:lang w:val="en-US"/>
        </w:rPr>
        <w:t>facilitative and technical support programmes</w:t>
      </w:r>
      <w:r>
        <w:rPr>
          <w:lang w:val="en-US"/>
        </w:rPr>
        <w:t xml:space="preserve"> to encourage house consolidation</w:t>
      </w:r>
      <w:r w:rsidR="00054A0E">
        <w:rPr>
          <w:lang w:val="en-US"/>
        </w:rPr>
        <w:t xml:space="preserve"> during (and after) UISP implementation</w:t>
      </w:r>
      <w:r w:rsidR="006E1686" w:rsidRPr="006E1686">
        <w:rPr>
          <w:lang w:val="en-US"/>
        </w:rPr>
        <w:t>.</w:t>
      </w:r>
    </w:p>
    <w:p w14:paraId="63725E48" w14:textId="77777777" w:rsidR="00515BD2" w:rsidRDefault="00515BD2" w:rsidP="00515BD2">
      <w:pPr>
        <w:spacing w:line="360" w:lineRule="auto"/>
        <w:ind w:left="720"/>
        <w:rPr>
          <w:lang w:val="en-US"/>
        </w:rPr>
      </w:pPr>
    </w:p>
    <w:p w14:paraId="3E56F86D" w14:textId="78D70A21" w:rsidR="00883CDB" w:rsidRPr="00EE37B4" w:rsidRDefault="00883CDB" w:rsidP="00F248FD">
      <w:pPr>
        <w:numPr>
          <w:ilvl w:val="0"/>
          <w:numId w:val="55"/>
        </w:numPr>
        <w:spacing w:line="360" w:lineRule="auto"/>
        <w:rPr>
          <w:highlight w:val="yellow"/>
          <w:lang w:val="en-US"/>
        </w:rPr>
      </w:pPr>
      <w:r w:rsidRPr="00EE37B4">
        <w:rPr>
          <w:b/>
          <w:highlight w:val="yellow"/>
          <w:lang w:val="en-US"/>
        </w:rPr>
        <w:t xml:space="preserve">NUSP House Consolidation </w:t>
      </w:r>
      <w:r w:rsidR="00A2742F" w:rsidRPr="00EE37B4">
        <w:rPr>
          <w:b/>
          <w:highlight w:val="yellow"/>
          <w:lang w:val="en-US"/>
        </w:rPr>
        <w:t>Financial</w:t>
      </w:r>
      <w:r w:rsidRPr="00EE37B4">
        <w:rPr>
          <w:b/>
          <w:highlight w:val="yellow"/>
          <w:lang w:val="en-US"/>
        </w:rPr>
        <w:t xml:space="preserve"> Support Programme:</w:t>
      </w:r>
      <w:r w:rsidRPr="00EE37B4">
        <w:rPr>
          <w:highlight w:val="yellow"/>
          <w:lang w:val="en-US"/>
        </w:rPr>
        <w:t xml:space="preserve"> Currently, NUSP holds financial resources that could be applied to part financing the costs of facilitating shelter consolidation facilitative and technical interventions at the project level.  Given that changes to HSDG funding instruments is likely to take some time, it is recommended that NUSP develops a Financial Support Facility that UISP project teams could apply to for additional (ad-hoc) financial supports to augment the limited formal funding channels available through the UISP for House Consolidation </w:t>
      </w:r>
      <w:r w:rsidR="00A2742F" w:rsidRPr="00EE37B4">
        <w:rPr>
          <w:highlight w:val="yellow"/>
          <w:lang w:val="en-US"/>
        </w:rPr>
        <w:t>requirements</w:t>
      </w:r>
      <w:r w:rsidRPr="00EE37B4">
        <w:rPr>
          <w:highlight w:val="yellow"/>
          <w:lang w:val="en-US"/>
        </w:rPr>
        <w:t>. This could be used to</w:t>
      </w:r>
      <w:r w:rsidR="00515BD2" w:rsidRPr="00EE37B4">
        <w:rPr>
          <w:highlight w:val="yellow"/>
          <w:lang w:val="en-US"/>
        </w:rPr>
        <w:t xml:space="preserve"> </w:t>
      </w:r>
      <w:r w:rsidR="00515BD2" w:rsidRPr="00EE37B4">
        <w:rPr>
          <w:i/>
          <w:highlight w:val="yellow"/>
          <w:lang w:val="en-US"/>
        </w:rPr>
        <w:t>inter alia d</w:t>
      </w:r>
      <w:r w:rsidRPr="00EE37B4">
        <w:rPr>
          <w:highlight w:val="yellow"/>
          <w:lang w:val="en-US"/>
        </w:rPr>
        <w:t>evelop and implement House Consolidation Plans;</w:t>
      </w:r>
      <w:r w:rsidR="00515BD2" w:rsidRPr="00EE37B4">
        <w:rPr>
          <w:highlight w:val="yellow"/>
          <w:lang w:val="en-US"/>
        </w:rPr>
        <w:t xml:space="preserve"> </w:t>
      </w:r>
      <w:r w:rsidRPr="00EE37B4">
        <w:rPr>
          <w:highlight w:val="yellow"/>
          <w:lang w:val="en-US"/>
        </w:rPr>
        <w:t>Implement facilitative support programmes</w:t>
      </w:r>
      <w:r w:rsidR="00515BD2" w:rsidRPr="00EE37B4">
        <w:rPr>
          <w:highlight w:val="yellow"/>
          <w:lang w:val="en-US"/>
        </w:rPr>
        <w:t xml:space="preserve">; and </w:t>
      </w:r>
      <w:r w:rsidRPr="00EE37B4">
        <w:rPr>
          <w:highlight w:val="yellow"/>
          <w:lang w:val="en-US"/>
        </w:rPr>
        <w:t>Implement technical support programme.</w:t>
      </w:r>
    </w:p>
    <w:p w14:paraId="7A2938D0" w14:textId="77777777" w:rsidR="00883CDB" w:rsidRDefault="00883CDB" w:rsidP="00883CDB">
      <w:pPr>
        <w:ind w:left="720"/>
        <w:rPr>
          <w:lang w:val="en-US"/>
        </w:rPr>
      </w:pPr>
    </w:p>
    <w:p w14:paraId="0AD3AEB0" w14:textId="4137B43A" w:rsidR="00A2742F" w:rsidRPr="00EE37B4" w:rsidRDefault="00A2742F" w:rsidP="00F248FD">
      <w:pPr>
        <w:numPr>
          <w:ilvl w:val="0"/>
          <w:numId w:val="55"/>
        </w:numPr>
        <w:spacing w:line="360" w:lineRule="auto"/>
        <w:rPr>
          <w:highlight w:val="yellow"/>
          <w:lang w:val="en-US"/>
        </w:rPr>
      </w:pPr>
      <w:r w:rsidRPr="00EE37B4">
        <w:rPr>
          <w:b/>
          <w:highlight w:val="yellow"/>
          <w:lang w:val="en-US"/>
        </w:rPr>
        <w:t>Metro</w:t>
      </w:r>
      <w:r w:rsidR="00515BD2" w:rsidRPr="00EE37B4">
        <w:rPr>
          <w:b/>
          <w:highlight w:val="yellow"/>
          <w:lang w:val="en-US"/>
        </w:rPr>
        <w:t>politan</w:t>
      </w:r>
      <w:r w:rsidRPr="00EE37B4">
        <w:rPr>
          <w:b/>
          <w:highlight w:val="yellow"/>
          <w:lang w:val="en-US"/>
        </w:rPr>
        <w:t xml:space="preserve"> and Municipal Support:</w:t>
      </w:r>
      <w:r w:rsidRPr="00EE37B4">
        <w:rPr>
          <w:highlight w:val="yellow"/>
          <w:lang w:val="en-US"/>
        </w:rPr>
        <w:t xml:space="preserve"> </w:t>
      </w:r>
      <w:r w:rsidR="00A40E18" w:rsidRPr="00EE37B4">
        <w:rPr>
          <w:highlight w:val="yellow"/>
          <w:lang w:val="en-US"/>
        </w:rPr>
        <w:t xml:space="preserve">Support </w:t>
      </w:r>
      <w:r w:rsidRPr="00EE37B4">
        <w:rPr>
          <w:highlight w:val="yellow"/>
          <w:lang w:val="en-US"/>
        </w:rPr>
        <w:t xml:space="preserve">must be given to </w:t>
      </w:r>
      <w:r w:rsidR="00A40E18" w:rsidRPr="00EE37B4">
        <w:rPr>
          <w:highlight w:val="yellow"/>
          <w:lang w:val="en-US"/>
        </w:rPr>
        <w:t>provincial</w:t>
      </w:r>
      <w:r w:rsidRPr="00EE37B4">
        <w:rPr>
          <w:highlight w:val="yellow"/>
          <w:lang w:val="en-US"/>
        </w:rPr>
        <w:t>,</w:t>
      </w:r>
      <w:r w:rsidR="00A40E18" w:rsidRPr="00EE37B4">
        <w:rPr>
          <w:highlight w:val="yellow"/>
          <w:lang w:val="en-US"/>
        </w:rPr>
        <w:t xml:space="preserve"> metropolitan</w:t>
      </w:r>
      <w:r w:rsidRPr="00EE37B4">
        <w:rPr>
          <w:highlight w:val="yellow"/>
          <w:lang w:val="en-US"/>
        </w:rPr>
        <w:t xml:space="preserve">, municipal and other </w:t>
      </w:r>
      <w:r w:rsidR="00A40E18" w:rsidRPr="00EE37B4">
        <w:rPr>
          <w:highlight w:val="yellow"/>
          <w:lang w:val="en-US"/>
        </w:rPr>
        <w:t>initiative</w:t>
      </w:r>
      <w:r w:rsidRPr="00EE37B4">
        <w:rPr>
          <w:highlight w:val="yellow"/>
          <w:lang w:val="en-US"/>
        </w:rPr>
        <w:t>s</w:t>
      </w:r>
      <w:r w:rsidR="00A40E18" w:rsidRPr="00EE37B4">
        <w:rPr>
          <w:highlight w:val="yellow"/>
          <w:lang w:val="en-US"/>
        </w:rPr>
        <w:t xml:space="preserve"> </w:t>
      </w:r>
      <w:r w:rsidRPr="00EE37B4">
        <w:rPr>
          <w:highlight w:val="yellow"/>
          <w:lang w:val="en-US"/>
        </w:rPr>
        <w:t xml:space="preserve">to </w:t>
      </w:r>
      <w:r w:rsidR="00A40E18" w:rsidRPr="00EE37B4">
        <w:rPr>
          <w:highlight w:val="yellow"/>
          <w:lang w:val="en-US"/>
        </w:rPr>
        <w:t>address the housing consolidation enablement requirements of UISP</w:t>
      </w:r>
      <w:r w:rsidRPr="00EE37B4">
        <w:rPr>
          <w:highlight w:val="yellow"/>
          <w:lang w:val="en-US"/>
        </w:rPr>
        <w:t>. This should include:</w:t>
      </w:r>
    </w:p>
    <w:p w14:paraId="73C468BE" w14:textId="7E3C3D31" w:rsidR="00A2742F" w:rsidRPr="00EE37B4" w:rsidRDefault="00A2742F" w:rsidP="00F248FD">
      <w:pPr>
        <w:numPr>
          <w:ilvl w:val="1"/>
          <w:numId w:val="67"/>
        </w:numPr>
        <w:spacing w:line="360" w:lineRule="auto"/>
        <w:ind w:hanging="357"/>
        <w:rPr>
          <w:highlight w:val="yellow"/>
          <w:lang w:val="en-US"/>
        </w:rPr>
      </w:pPr>
      <w:r w:rsidRPr="00EE37B4">
        <w:rPr>
          <w:highlight w:val="yellow"/>
          <w:lang w:val="en-US"/>
        </w:rPr>
        <w:t xml:space="preserve">Development of new </w:t>
      </w:r>
      <w:r w:rsidRPr="00EE37B4">
        <w:rPr>
          <w:b/>
          <w:highlight w:val="yellow"/>
          <w:lang w:val="en-US"/>
        </w:rPr>
        <w:t xml:space="preserve">planning frameworks </w:t>
      </w:r>
      <w:r w:rsidR="008E5BD1" w:rsidRPr="00EE37B4">
        <w:rPr>
          <w:b/>
          <w:highlight w:val="yellow"/>
          <w:lang w:val="en-US"/>
        </w:rPr>
        <w:t>sympathetic to and supportive of incremental housing development</w:t>
      </w:r>
      <w:r w:rsidR="008E5BD1" w:rsidRPr="00EE37B4">
        <w:rPr>
          <w:highlight w:val="yellow"/>
          <w:lang w:val="en-US"/>
        </w:rPr>
        <w:t xml:space="preserve"> that are </w:t>
      </w:r>
      <w:r w:rsidRPr="00EE37B4">
        <w:rPr>
          <w:highlight w:val="yellow"/>
          <w:lang w:val="en-US"/>
        </w:rPr>
        <w:t xml:space="preserve">in line with SPLUMA </w:t>
      </w:r>
      <w:r w:rsidR="008E5BD1" w:rsidRPr="00EE37B4">
        <w:rPr>
          <w:highlight w:val="yellow"/>
          <w:lang w:val="en-US"/>
        </w:rPr>
        <w:t>that is</w:t>
      </w:r>
      <w:r w:rsidRPr="00EE37B4">
        <w:rPr>
          <w:highlight w:val="yellow"/>
          <w:lang w:val="en-US"/>
        </w:rPr>
        <w:t xml:space="preserve"> in the context of UISP projects.</w:t>
      </w:r>
      <w:r w:rsidR="0078173F" w:rsidRPr="00EE37B4">
        <w:rPr>
          <w:highlight w:val="yellow"/>
          <w:lang w:val="en-US"/>
        </w:rPr>
        <w:t xml:space="preserve"> It is proposed that an engagement is held with the teams assisting to develop draft pro forma </w:t>
      </w:r>
      <w:r w:rsidR="0045043A" w:rsidRPr="00EE37B4">
        <w:rPr>
          <w:highlight w:val="yellow"/>
          <w:lang w:val="en-US"/>
        </w:rPr>
        <w:t>By Laws at the Department of Rural Development and Land Affairs that will be circulated to Metros and municipalities for them to finalize their own planning frameworks.</w:t>
      </w:r>
    </w:p>
    <w:p w14:paraId="2A41848E" w14:textId="684ED88E" w:rsidR="005D1BD8" w:rsidRPr="00EE37B4" w:rsidRDefault="00B7500D" w:rsidP="00F248FD">
      <w:pPr>
        <w:numPr>
          <w:ilvl w:val="1"/>
          <w:numId w:val="67"/>
        </w:numPr>
        <w:spacing w:line="360" w:lineRule="auto"/>
        <w:rPr>
          <w:highlight w:val="yellow"/>
          <w:lang w:val="en-US"/>
        </w:rPr>
      </w:pPr>
      <w:r w:rsidRPr="00EE37B4">
        <w:rPr>
          <w:highlight w:val="yellow"/>
          <w:lang w:val="en-US"/>
        </w:rPr>
        <w:t xml:space="preserve">Assist </w:t>
      </w:r>
      <w:r w:rsidR="00515BD2" w:rsidRPr="00EE37B4">
        <w:rPr>
          <w:highlight w:val="yellow"/>
          <w:lang w:val="en-US"/>
        </w:rPr>
        <w:t>authorities</w:t>
      </w:r>
      <w:r w:rsidRPr="00EE37B4">
        <w:rPr>
          <w:highlight w:val="yellow"/>
          <w:lang w:val="en-US"/>
        </w:rPr>
        <w:t xml:space="preserve"> to formulate </w:t>
      </w:r>
      <w:r w:rsidRPr="00EE37B4">
        <w:rPr>
          <w:b/>
          <w:highlight w:val="yellow"/>
          <w:lang w:val="en-US"/>
        </w:rPr>
        <w:t>C</w:t>
      </w:r>
      <w:r w:rsidR="005D1BD8" w:rsidRPr="00EE37B4">
        <w:rPr>
          <w:b/>
          <w:highlight w:val="yellow"/>
          <w:lang w:val="en-US"/>
        </w:rPr>
        <w:t xml:space="preserve">ommunity Resource Organisation </w:t>
      </w:r>
      <w:r w:rsidRPr="00EE37B4">
        <w:rPr>
          <w:b/>
          <w:highlight w:val="yellow"/>
          <w:lang w:val="en-US"/>
        </w:rPr>
        <w:t>development strategies</w:t>
      </w:r>
      <w:r w:rsidRPr="00EE37B4">
        <w:rPr>
          <w:highlight w:val="yellow"/>
          <w:lang w:val="en-US"/>
        </w:rPr>
        <w:t xml:space="preserve"> to mobilise and develop the Community Resource Organisation capacity required </w:t>
      </w:r>
      <w:r w:rsidR="005D1BD8" w:rsidRPr="00EE37B4">
        <w:rPr>
          <w:highlight w:val="yellow"/>
          <w:lang w:val="en-US"/>
        </w:rPr>
        <w:t>supporting</w:t>
      </w:r>
      <w:r w:rsidRPr="00EE37B4">
        <w:rPr>
          <w:highlight w:val="yellow"/>
          <w:lang w:val="en-US"/>
        </w:rPr>
        <w:t xml:space="preserve"> incremental owner-driven housing consolidation programmes in their areas. Such strategies should consider sectoral </w:t>
      </w:r>
      <w:r w:rsidR="005D1BD8" w:rsidRPr="00EE37B4">
        <w:rPr>
          <w:highlight w:val="yellow"/>
          <w:lang w:val="en-US"/>
        </w:rPr>
        <w:t xml:space="preserve">mobilization, </w:t>
      </w:r>
      <w:r w:rsidRPr="00EE37B4">
        <w:rPr>
          <w:highlight w:val="yellow"/>
          <w:lang w:val="en-US"/>
        </w:rPr>
        <w:t>capacitation and financing requirements</w:t>
      </w:r>
      <w:r w:rsidR="005D1BD8" w:rsidRPr="00EE37B4">
        <w:rPr>
          <w:highlight w:val="yellow"/>
          <w:lang w:val="en-US"/>
        </w:rPr>
        <w:t xml:space="preserve"> within the ambit of UISP implementation and support programmes.</w:t>
      </w:r>
    </w:p>
    <w:p w14:paraId="175B1EC6" w14:textId="5023DE95" w:rsidR="002C07C7" w:rsidRPr="00EE37B4" w:rsidRDefault="002C07C7" w:rsidP="00F248FD">
      <w:pPr>
        <w:numPr>
          <w:ilvl w:val="1"/>
          <w:numId w:val="67"/>
        </w:numPr>
        <w:spacing w:line="360" w:lineRule="auto"/>
        <w:rPr>
          <w:highlight w:val="yellow"/>
          <w:lang w:val="en-US"/>
        </w:rPr>
      </w:pPr>
      <w:r w:rsidRPr="00EE37B4">
        <w:rPr>
          <w:highlight w:val="yellow"/>
          <w:lang w:val="en-US"/>
        </w:rPr>
        <w:t xml:space="preserve">Support </w:t>
      </w:r>
      <w:r w:rsidR="00AD108A" w:rsidRPr="00EE37B4">
        <w:rPr>
          <w:highlight w:val="yellow"/>
          <w:lang w:val="en-US"/>
        </w:rPr>
        <w:t>municipal</w:t>
      </w:r>
      <w:r w:rsidRPr="00EE37B4">
        <w:rPr>
          <w:highlight w:val="yellow"/>
          <w:lang w:val="en-US"/>
        </w:rPr>
        <w:t xml:space="preserve"> programmes to </w:t>
      </w:r>
      <w:r w:rsidRPr="00EE37B4">
        <w:rPr>
          <w:b/>
          <w:highlight w:val="yellow"/>
          <w:lang w:val="en-US"/>
        </w:rPr>
        <w:t>develop and implement the five  ‘enabling environment’ conditions for housing consolidation</w:t>
      </w:r>
      <w:r w:rsidRPr="00EE37B4">
        <w:rPr>
          <w:highlight w:val="yellow"/>
          <w:lang w:val="en-US"/>
        </w:rPr>
        <w:t xml:space="preserve"> in UISP projects. These </w:t>
      </w:r>
      <w:r w:rsidR="00717EFB" w:rsidRPr="00EE37B4">
        <w:rPr>
          <w:highlight w:val="yellow"/>
          <w:lang w:val="en-US"/>
        </w:rPr>
        <w:lastRenderedPageBreak/>
        <w:t>include r</w:t>
      </w:r>
      <w:r w:rsidRPr="00EE37B4">
        <w:rPr>
          <w:highlight w:val="yellow"/>
          <w:lang w:val="en-US"/>
        </w:rPr>
        <w:t>evised building controls;</w:t>
      </w:r>
      <w:r w:rsidR="00717EFB" w:rsidRPr="00EE37B4">
        <w:rPr>
          <w:highlight w:val="yellow"/>
          <w:lang w:val="en-US"/>
        </w:rPr>
        <w:t xml:space="preserve"> s</w:t>
      </w:r>
      <w:r w:rsidRPr="00EE37B4">
        <w:rPr>
          <w:highlight w:val="yellow"/>
          <w:lang w:val="en-US"/>
        </w:rPr>
        <w:t xml:space="preserve">ympathetic </w:t>
      </w:r>
      <w:r w:rsidR="00717EFB" w:rsidRPr="00EE37B4">
        <w:rPr>
          <w:highlight w:val="yellow"/>
          <w:lang w:val="en-US"/>
        </w:rPr>
        <w:t>l</w:t>
      </w:r>
      <w:r w:rsidRPr="00EE37B4">
        <w:rPr>
          <w:highlight w:val="yellow"/>
          <w:lang w:val="en-US"/>
        </w:rPr>
        <w:t>and use regulation systems;</w:t>
      </w:r>
      <w:r w:rsidR="00717EFB" w:rsidRPr="00EE37B4">
        <w:rPr>
          <w:highlight w:val="yellow"/>
          <w:lang w:val="en-US"/>
        </w:rPr>
        <w:t xml:space="preserve"> building CBO implementation capacity; and improving c</w:t>
      </w:r>
      <w:r w:rsidRPr="00EE37B4">
        <w:rPr>
          <w:highlight w:val="yellow"/>
          <w:lang w:val="en-US"/>
        </w:rPr>
        <w:t>onstru</w:t>
      </w:r>
      <w:r w:rsidR="00717EFB" w:rsidRPr="00EE37B4">
        <w:rPr>
          <w:highlight w:val="yellow"/>
          <w:lang w:val="en-US"/>
        </w:rPr>
        <w:t>ction sector capacity building.</w:t>
      </w:r>
    </w:p>
    <w:p w14:paraId="1EE40E6A" w14:textId="232B07D7" w:rsidR="00B7500D" w:rsidRPr="00EE37B4" w:rsidRDefault="002C07C7" w:rsidP="00F248FD">
      <w:pPr>
        <w:numPr>
          <w:ilvl w:val="1"/>
          <w:numId w:val="67"/>
        </w:numPr>
        <w:spacing w:line="360" w:lineRule="auto"/>
        <w:rPr>
          <w:highlight w:val="yellow"/>
          <w:lang w:val="en-US"/>
        </w:rPr>
      </w:pPr>
      <w:r w:rsidRPr="00EE37B4">
        <w:rPr>
          <w:highlight w:val="yellow"/>
          <w:lang w:val="en-US"/>
        </w:rPr>
        <w:t>Guide metros to define and implement</w:t>
      </w:r>
      <w:r w:rsidR="00B7500D" w:rsidRPr="00EE37B4">
        <w:rPr>
          <w:highlight w:val="yellow"/>
          <w:lang w:val="en-US"/>
        </w:rPr>
        <w:t xml:space="preserve"> specific </w:t>
      </w:r>
      <w:r w:rsidRPr="00EE37B4">
        <w:rPr>
          <w:b/>
          <w:highlight w:val="yellow"/>
          <w:lang w:val="en-US"/>
        </w:rPr>
        <w:t>Technical Assistance and Facilitative support programmes</w:t>
      </w:r>
      <w:r w:rsidRPr="00EE37B4">
        <w:rPr>
          <w:highlight w:val="yellow"/>
          <w:lang w:val="en-US"/>
        </w:rPr>
        <w:t xml:space="preserve"> </w:t>
      </w:r>
      <w:r w:rsidR="00B7500D" w:rsidRPr="00EE37B4">
        <w:rPr>
          <w:highlight w:val="yellow"/>
          <w:lang w:val="en-US"/>
        </w:rPr>
        <w:t xml:space="preserve">interventions to augment those </w:t>
      </w:r>
      <w:r w:rsidRPr="00EE37B4">
        <w:rPr>
          <w:highlight w:val="yellow"/>
          <w:lang w:val="en-US"/>
        </w:rPr>
        <w:t xml:space="preserve">to be </w:t>
      </w:r>
      <w:r w:rsidR="00B7500D" w:rsidRPr="00EE37B4">
        <w:rPr>
          <w:highlight w:val="yellow"/>
          <w:lang w:val="en-US"/>
        </w:rPr>
        <w:t>implemented by other agencies (such as NUSP and DHS) through the UISP and proposed augmented UISP</w:t>
      </w:r>
      <w:r w:rsidRPr="00EE37B4">
        <w:rPr>
          <w:highlight w:val="yellow"/>
          <w:lang w:val="en-US"/>
        </w:rPr>
        <w:t xml:space="preserve"> approach</w:t>
      </w:r>
      <w:r w:rsidR="00B7500D" w:rsidRPr="00EE37B4">
        <w:rPr>
          <w:highlight w:val="yellow"/>
          <w:lang w:val="en-US"/>
        </w:rPr>
        <w:t>.</w:t>
      </w:r>
    </w:p>
    <w:p w14:paraId="53C32FE2" w14:textId="77777777" w:rsidR="0097283F" w:rsidRDefault="0097283F" w:rsidP="0097283F">
      <w:pPr>
        <w:rPr>
          <w:lang w:val="en-US"/>
        </w:rPr>
      </w:pPr>
    </w:p>
    <w:p w14:paraId="1B7788AE" w14:textId="27BDD28D" w:rsidR="0097283F" w:rsidRDefault="0097283F" w:rsidP="0097283F">
      <w:pPr>
        <w:pStyle w:val="Heading3"/>
        <w:rPr>
          <w:lang w:val="en-US"/>
        </w:rPr>
      </w:pPr>
      <w:r>
        <w:rPr>
          <w:lang w:val="en-US"/>
        </w:rPr>
        <w:t>Case Studies</w:t>
      </w:r>
      <w:r w:rsidR="008E5BD1">
        <w:rPr>
          <w:lang w:val="en-US"/>
        </w:rPr>
        <w:t xml:space="preserve"> &amp; Pilot Projects</w:t>
      </w:r>
    </w:p>
    <w:p w14:paraId="567A9980" w14:textId="3743D373" w:rsidR="008E5BD1" w:rsidRDefault="00F95D0F" w:rsidP="00F248FD">
      <w:pPr>
        <w:numPr>
          <w:ilvl w:val="0"/>
          <w:numId w:val="55"/>
        </w:numPr>
        <w:spacing w:line="360" w:lineRule="auto"/>
        <w:rPr>
          <w:lang w:val="en-US"/>
        </w:rPr>
      </w:pPr>
      <w:r>
        <w:rPr>
          <w:b/>
          <w:lang w:val="en-US"/>
        </w:rPr>
        <w:t>Case Study</w:t>
      </w:r>
      <w:r w:rsidR="00515BD2">
        <w:rPr>
          <w:b/>
          <w:lang w:val="en-US"/>
        </w:rPr>
        <w:t xml:space="preserve"> Development</w:t>
      </w:r>
      <w:r w:rsidR="008E5BD1">
        <w:rPr>
          <w:b/>
          <w:lang w:val="en-US"/>
        </w:rPr>
        <w:t xml:space="preserve">: </w:t>
      </w:r>
      <w:r w:rsidR="00AD108A">
        <w:rPr>
          <w:lang w:val="en-US"/>
        </w:rPr>
        <w:t>A range of ‘best practice’ initiatives is</w:t>
      </w:r>
      <w:r w:rsidR="008E5BD1">
        <w:rPr>
          <w:lang w:val="en-US"/>
        </w:rPr>
        <w:t xml:space="preserve"> occurring </w:t>
      </w:r>
      <w:r w:rsidR="00515BD2">
        <w:rPr>
          <w:lang w:val="en-US"/>
        </w:rPr>
        <w:t>around South Africa that could be beneficial to a wider audience, if recorded and disseminated.  It is recommended that such lessons be identified and written up in an accessible case study format for wider circulation amongst participating NUSP municipalities. In addition, lessons from these case studies should inform inputs into the Pilot case studies discussed below. Case studies should be identified from at least:</w:t>
      </w:r>
    </w:p>
    <w:p w14:paraId="29F9E759" w14:textId="1C197FF8" w:rsidR="00515BD2" w:rsidRDefault="00515BD2" w:rsidP="00F248FD">
      <w:pPr>
        <w:numPr>
          <w:ilvl w:val="0"/>
          <w:numId w:val="71"/>
        </w:numPr>
        <w:spacing w:line="360" w:lineRule="auto"/>
        <w:rPr>
          <w:lang w:val="en-US"/>
        </w:rPr>
      </w:pPr>
      <w:r>
        <w:rPr>
          <w:lang w:val="en-US"/>
        </w:rPr>
        <w:t>Case studies discussed at the Metropolitan Leadership Forum held at Spier in July, 2014.</w:t>
      </w:r>
    </w:p>
    <w:p w14:paraId="194F0046" w14:textId="161C21F2" w:rsidR="00515BD2" w:rsidRDefault="00515BD2" w:rsidP="00F248FD">
      <w:pPr>
        <w:numPr>
          <w:ilvl w:val="0"/>
          <w:numId w:val="71"/>
        </w:numPr>
        <w:spacing w:line="360" w:lineRule="auto"/>
        <w:rPr>
          <w:lang w:val="en-US"/>
        </w:rPr>
      </w:pPr>
      <w:r>
        <w:rPr>
          <w:lang w:val="en-US"/>
        </w:rPr>
        <w:t>Case studies identified by NUSP</w:t>
      </w:r>
    </w:p>
    <w:p w14:paraId="06CA333B" w14:textId="504F0DA4" w:rsidR="00515BD2" w:rsidRDefault="00515BD2" w:rsidP="00F248FD">
      <w:pPr>
        <w:numPr>
          <w:ilvl w:val="0"/>
          <w:numId w:val="71"/>
        </w:numPr>
        <w:spacing w:line="360" w:lineRule="auto"/>
        <w:rPr>
          <w:lang w:val="en-US"/>
        </w:rPr>
      </w:pPr>
      <w:r>
        <w:rPr>
          <w:lang w:val="en-US"/>
        </w:rPr>
        <w:t>Any other relevant case studies that may be identified.</w:t>
      </w:r>
    </w:p>
    <w:p w14:paraId="5F4A8868" w14:textId="77777777" w:rsidR="00515BD2" w:rsidRDefault="00515BD2" w:rsidP="00515BD2">
      <w:pPr>
        <w:spacing w:line="360" w:lineRule="auto"/>
        <w:rPr>
          <w:lang w:val="en-US"/>
        </w:rPr>
      </w:pPr>
    </w:p>
    <w:p w14:paraId="7CD3E793" w14:textId="72922A86" w:rsidR="00A40E18" w:rsidRPr="00EE37B4" w:rsidRDefault="00515BD2" w:rsidP="00F248FD">
      <w:pPr>
        <w:numPr>
          <w:ilvl w:val="0"/>
          <w:numId w:val="55"/>
        </w:numPr>
        <w:spacing w:line="360" w:lineRule="auto"/>
        <w:rPr>
          <w:highlight w:val="yellow"/>
          <w:lang w:val="en-US"/>
        </w:rPr>
      </w:pPr>
      <w:r w:rsidRPr="00EE37B4">
        <w:rPr>
          <w:b/>
          <w:highlight w:val="yellow"/>
          <w:lang w:val="en-US"/>
        </w:rPr>
        <w:t xml:space="preserve">Pilot Project </w:t>
      </w:r>
      <w:r w:rsidR="00F95D0F" w:rsidRPr="00EE37B4">
        <w:rPr>
          <w:b/>
          <w:highlight w:val="yellow"/>
          <w:lang w:val="en-US"/>
        </w:rPr>
        <w:t>Facilitation</w:t>
      </w:r>
      <w:r w:rsidR="0097283F" w:rsidRPr="00EE37B4">
        <w:rPr>
          <w:b/>
          <w:highlight w:val="yellow"/>
          <w:lang w:val="en-US"/>
        </w:rPr>
        <w:t>:</w:t>
      </w:r>
      <w:r w:rsidR="0097283F" w:rsidRPr="00EE37B4">
        <w:rPr>
          <w:highlight w:val="yellow"/>
          <w:lang w:val="en-US"/>
        </w:rPr>
        <w:t xml:space="preserve"> A select set of </w:t>
      </w:r>
      <w:r w:rsidRPr="00EE37B4">
        <w:rPr>
          <w:highlight w:val="yellow"/>
          <w:lang w:val="en-US"/>
        </w:rPr>
        <w:t>pilot</w:t>
      </w:r>
      <w:r w:rsidR="0097283F" w:rsidRPr="00EE37B4">
        <w:rPr>
          <w:highlight w:val="yellow"/>
          <w:lang w:val="en-US"/>
        </w:rPr>
        <w:t xml:space="preserve"> UISP projects should be identified for further practical</w:t>
      </w:r>
      <w:r w:rsidR="00580083" w:rsidRPr="00EE37B4">
        <w:rPr>
          <w:highlight w:val="yellow"/>
          <w:lang w:val="en-US"/>
        </w:rPr>
        <w:t xml:space="preserve"> development and</w:t>
      </w:r>
      <w:r w:rsidR="0097283F" w:rsidRPr="00EE37B4">
        <w:rPr>
          <w:highlight w:val="yellow"/>
          <w:lang w:val="en-US"/>
        </w:rPr>
        <w:t xml:space="preserve"> testing of the findings and recommendations of this document.  </w:t>
      </w:r>
      <w:r w:rsidR="00580083" w:rsidRPr="00EE37B4">
        <w:rPr>
          <w:highlight w:val="yellow"/>
          <w:lang w:val="en-US"/>
        </w:rPr>
        <w:t xml:space="preserve">This process </w:t>
      </w:r>
      <w:r w:rsidR="00580083" w:rsidRPr="00EE37B4">
        <w:rPr>
          <w:highlight w:val="yellow"/>
        </w:rPr>
        <w:t>should be designed and tested to establish whether the enabling environment and facilitative interventions are sufficient to unlock owner investment in housing consolidation.</w:t>
      </w:r>
      <w:r w:rsidR="00580083" w:rsidRPr="00EE37B4">
        <w:rPr>
          <w:highlight w:val="yellow"/>
          <w:lang w:val="en-US"/>
        </w:rPr>
        <w:t xml:space="preserve"> </w:t>
      </w:r>
      <w:r w:rsidR="0097283F" w:rsidRPr="00EE37B4">
        <w:rPr>
          <w:highlight w:val="yellow"/>
          <w:lang w:val="en-US"/>
        </w:rPr>
        <w:t>The following approach is suggested:</w:t>
      </w:r>
    </w:p>
    <w:p w14:paraId="5377B8B2" w14:textId="7875A599" w:rsidR="00580083" w:rsidRPr="00EE37B4" w:rsidRDefault="00580083" w:rsidP="00F248FD">
      <w:pPr>
        <w:pStyle w:val="ListParagraph"/>
        <w:numPr>
          <w:ilvl w:val="0"/>
          <w:numId w:val="65"/>
        </w:numPr>
        <w:jc w:val="left"/>
        <w:rPr>
          <w:highlight w:val="yellow"/>
        </w:rPr>
      </w:pPr>
      <w:r w:rsidRPr="00EE37B4">
        <w:rPr>
          <w:b/>
          <w:highlight w:val="yellow"/>
        </w:rPr>
        <w:t xml:space="preserve">Design Selection Matrix and Generic Intervention Framework: </w:t>
      </w:r>
      <w:r w:rsidRPr="00EE37B4">
        <w:rPr>
          <w:highlight w:val="yellow"/>
        </w:rPr>
        <w:t>A generic framework should be designed for working through and defining key issues resulting in specific projects being delayed or blocked due to current UISP conditions or requirements. Selection should be guided through tool such as a selection matrix.</w:t>
      </w:r>
    </w:p>
    <w:p w14:paraId="638CADA5" w14:textId="0872679E" w:rsidR="00000302" w:rsidRPr="00EE37B4" w:rsidRDefault="00580083" w:rsidP="00BA5B97">
      <w:pPr>
        <w:pStyle w:val="ListParagraph"/>
        <w:numPr>
          <w:ilvl w:val="0"/>
          <w:numId w:val="65"/>
        </w:numPr>
        <w:jc w:val="left"/>
        <w:rPr>
          <w:highlight w:val="yellow"/>
        </w:rPr>
      </w:pPr>
      <w:r w:rsidRPr="00EE37B4">
        <w:rPr>
          <w:b/>
          <w:highlight w:val="yellow"/>
        </w:rPr>
        <w:lastRenderedPageBreak/>
        <w:t xml:space="preserve">Exploring Project Opportunities: </w:t>
      </w:r>
      <w:r w:rsidRPr="00EE37B4">
        <w:rPr>
          <w:highlight w:val="yellow"/>
        </w:rPr>
        <w:t xml:space="preserve">A broad engagement process should be undertaken with </w:t>
      </w:r>
      <w:r w:rsidR="00000302" w:rsidRPr="00EE37B4">
        <w:rPr>
          <w:highlight w:val="yellow"/>
        </w:rPr>
        <w:t xml:space="preserve">key provinces, CBOs and NUSP project teams to develop a list of potential project candidates to be explored in more detail. </w:t>
      </w:r>
      <w:r w:rsidR="00AF2EFE" w:rsidRPr="00EE37B4">
        <w:rPr>
          <w:highlight w:val="yellow"/>
        </w:rPr>
        <w:t xml:space="preserve"> </w:t>
      </w:r>
    </w:p>
    <w:p w14:paraId="67E21276" w14:textId="4F54B549" w:rsidR="0097283F" w:rsidRPr="00EE37B4" w:rsidRDefault="00F95D0F" w:rsidP="00F248FD">
      <w:pPr>
        <w:pStyle w:val="ListParagraph"/>
        <w:numPr>
          <w:ilvl w:val="0"/>
          <w:numId w:val="65"/>
        </w:numPr>
        <w:jc w:val="left"/>
        <w:rPr>
          <w:highlight w:val="yellow"/>
        </w:rPr>
      </w:pPr>
      <w:r w:rsidRPr="00EE37B4">
        <w:rPr>
          <w:b/>
          <w:highlight w:val="yellow"/>
        </w:rPr>
        <w:t>Initial Case Study List:</w:t>
      </w:r>
      <w:r w:rsidRPr="00EE37B4">
        <w:rPr>
          <w:highlight w:val="yellow"/>
        </w:rPr>
        <w:t xml:space="preserve"> </w:t>
      </w:r>
      <w:r w:rsidR="0097283F" w:rsidRPr="00EE37B4">
        <w:rPr>
          <w:highlight w:val="yellow"/>
        </w:rPr>
        <w:t xml:space="preserve">Identifying and agreeing on a list of six to ten projects to undergo a first-round, one-day workshop process. These initial </w:t>
      </w:r>
      <w:r w:rsidRPr="00EE37B4">
        <w:rPr>
          <w:highlight w:val="yellow"/>
        </w:rPr>
        <w:t>projects should provide a coverage of provinces, project types, and stage of readiness (e.g. Phase one / Phase two / three and possibly Phase Four) and projects that are c</w:t>
      </w:r>
      <w:r w:rsidR="0097283F" w:rsidRPr="00EE37B4">
        <w:rPr>
          <w:highlight w:val="yellow"/>
        </w:rPr>
        <w:t xml:space="preserve">onstrained or blocked by physical parameters, a lack of policy clarity or regulatory constraints regarding the application of funding relating to house consolidation. </w:t>
      </w:r>
      <w:r w:rsidR="00AD108A" w:rsidRPr="00EE37B4">
        <w:rPr>
          <w:highlight w:val="yellow"/>
        </w:rPr>
        <w:t>An initial list has been drawn up, but requires further analysis and agreement between NUSP and its partners at provincial, metropolitan and municipal level.</w:t>
      </w:r>
    </w:p>
    <w:p w14:paraId="2ABC39EC" w14:textId="005CC839" w:rsidR="0097283F" w:rsidRPr="00EE37B4" w:rsidRDefault="00F95D0F" w:rsidP="00F248FD">
      <w:pPr>
        <w:pStyle w:val="ListParagraph"/>
        <w:numPr>
          <w:ilvl w:val="1"/>
          <w:numId w:val="65"/>
        </w:numPr>
        <w:jc w:val="left"/>
        <w:rPr>
          <w:highlight w:val="yellow"/>
        </w:rPr>
      </w:pPr>
      <w:r w:rsidRPr="00EE37B4">
        <w:rPr>
          <w:b/>
          <w:highlight w:val="yellow"/>
        </w:rPr>
        <w:t>Initial Case Study Workshops:</w:t>
      </w:r>
      <w:r w:rsidRPr="00EE37B4">
        <w:rPr>
          <w:highlight w:val="yellow"/>
        </w:rPr>
        <w:t xml:space="preserve"> </w:t>
      </w:r>
      <w:r w:rsidR="0097283F" w:rsidRPr="00EE37B4">
        <w:rPr>
          <w:highlight w:val="yellow"/>
        </w:rPr>
        <w:t>Hold</w:t>
      </w:r>
      <w:r w:rsidRPr="00EE37B4">
        <w:rPr>
          <w:highlight w:val="yellow"/>
        </w:rPr>
        <w:t>ing</w:t>
      </w:r>
      <w:r w:rsidR="0097283F" w:rsidRPr="00EE37B4">
        <w:rPr>
          <w:highlight w:val="yellow"/>
        </w:rPr>
        <w:t xml:space="preserve"> a one-day facilitated workshop session with a team including NUSP, the consultants for this report, project professional teams and community support organisations. The purpose of this workshop will be to </w:t>
      </w:r>
      <w:r w:rsidRPr="00EE37B4">
        <w:rPr>
          <w:highlight w:val="yellow"/>
        </w:rPr>
        <w:t xml:space="preserve">define the status of the projects, and then to </w:t>
      </w:r>
      <w:r w:rsidR="0097283F" w:rsidRPr="00EE37B4">
        <w:rPr>
          <w:highlight w:val="yellow"/>
        </w:rPr>
        <w:t>methodically interrogate problems encountered</w:t>
      </w:r>
      <w:r w:rsidRPr="00EE37B4">
        <w:rPr>
          <w:highlight w:val="yellow"/>
        </w:rPr>
        <w:t xml:space="preserve"> a</w:t>
      </w:r>
      <w:r w:rsidR="0097283F" w:rsidRPr="00EE37B4">
        <w:rPr>
          <w:highlight w:val="yellow"/>
        </w:rPr>
        <w:t>nd potential solutions or approaches to these problems</w:t>
      </w:r>
      <w:r w:rsidRPr="00EE37B4">
        <w:rPr>
          <w:highlight w:val="yellow"/>
        </w:rPr>
        <w:t xml:space="preserve"> that could unblock these projects</w:t>
      </w:r>
      <w:r w:rsidR="0097283F" w:rsidRPr="00EE37B4">
        <w:rPr>
          <w:highlight w:val="yellow"/>
        </w:rPr>
        <w:t xml:space="preserve">. </w:t>
      </w:r>
      <w:r w:rsidR="00BA5B97" w:rsidRPr="00EE37B4">
        <w:rPr>
          <w:highlight w:val="yellow"/>
        </w:rPr>
        <w:t xml:space="preserve"> </w:t>
      </w:r>
      <w:r w:rsidR="0097283F" w:rsidRPr="00EE37B4">
        <w:rPr>
          <w:highlight w:val="yellow"/>
        </w:rPr>
        <w:t>At minimum, this process should provide a broad strategic view of what is required to take each project forwards.</w:t>
      </w:r>
    </w:p>
    <w:p w14:paraId="1206CBD5" w14:textId="36DB3F95" w:rsidR="0097283F" w:rsidRPr="00EE37B4" w:rsidRDefault="00F95D0F" w:rsidP="00F248FD">
      <w:pPr>
        <w:pStyle w:val="ListParagraph"/>
        <w:numPr>
          <w:ilvl w:val="0"/>
          <w:numId w:val="65"/>
        </w:numPr>
        <w:jc w:val="left"/>
        <w:rPr>
          <w:highlight w:val="yellow"/>
        </w:rPr>
      </w:pPr>
      <w:r w:rsidRPr="00EE37B4">
        <w:rPr>
          <w:b/>
          <w:highlight w:val="yellow"/>
        </w:rPr>
        <w:t>Project Shortlist for Engagement:</w:t>
      </w:r>
      <w:r w:rsidRPr="00EE37B4">
        <w:rPr>
          <w:highlight w:val="yellow"/>
        </w:rPr>
        <w:t xml:space="preserve"> Agree on a s</w:t>
      </w:r>
      <w:r w:rsidR="0097283F" w:rsidRPr="00EE37B4">
        <w:rPr>
          <w:highlight w:val="yellow"/>
        </w:rPr>
        <w:t>hort-list</w:t>
      </w:r>
      <w:r w:rsidRPr="00EE37B4">
        <w:rPr>
          <w:highlight w:val="yellow"/>
        </w:rPr>
        <w:t xml:space="preserve"> of</w:t>
      </w:r>
      <w:r w:rsidR="0097283F" w:rsidRPr="00EE37B4">
        <w:rPr>
          <w:highlight w:val="yellow"/>
        </w:rPr>
        <w:t xml:space="preserve"> three to four projects from this </w:t>
      </w:r>
      <w:r w:rsidRPr="00EE37B4">
        <w:rPr>
          <w:highlight w:val="yellow"/>
        </w:rPr>
        <w:t xml:space="preserve">initial </w:t>
      </w:r>
      <w:r w:rsidR="0097283F" w:rsidRPr="00EE37B4">
        <w:rPr>
          <w:highlight w:val="yellow"/>
        </w:rPr>
        <w:t xml:space="preserve">workshop process for more thorough engagement, with the aim of defining, obtaining approval for and implementing proposed measures that take the projects forward. </w:t>
      </w:r>
    </w:p>
    <w:p w14:paraId="5906C9DC" w14:textId="754AF673" w:rsidR="0097283F" w:rsidRPr="00EE37B4" w:rsidRDefault="00F95D0F" w:rsidP="00F248FD">
      <w:pPr>
        <w:pStyle w:val="ListParagraph"/>
        <w:numPr>
          <w:ilvl w:val="0"/>
          <w:numId w:val="65"/>
        </w:numPr>
        <w:jc w:val="left"/>
        <w:rPr>
          <w:highlight w:val="yellow"/>
        </w:rPr>
      </w:pPr>
      <w:r w:rsidRPr="00EE37B4">
        <w:rPr>
          <w:b/>
          <w:highlight w:val="yellow"/>
        </w:rPr>
        <w:t>Define Generic Methodology &amp; Instruments:</w:t>
      </w:r>
      <w:r w:rsidRPr="00EE37B4">
        <w:rPr>
          <w:highlight w:val="yellow"/>
        </w:rPr>
        <w:t xml:space="preserve"> D</w:t>
      </w:r>
      <w:r w:rsidR="0097283F" w:rsidRPr="00EE37B4">
        <w:rPr>
          <w:highlight w:val="yellow"/>
        </w:rPr>
        <w:t xml:space="preserve">evelop and implement a </w:t>
      </w:r>
      <w:r w:rsidRPr="00EE37B4">
        <w:rPr>
          <w:highlight w:val="yellow"/>
        </w:rPr>
        <w:t xml:space="preserve">sound </w:t>
      </w:r>
      <w:r w:rsidR="0097283F" w:rsidRPr="00EE37B4">
        <w:rPr>
          <w:highlight w:val="yellow"/>
        </w:rPr>
        <w:t xml:space="preserve">methodology to </w:t>
      </w:r>
      <w:r w:rsidRPr="00EE37B4">
        <w:rPr>
          <w:highlight w:val="yellow"/>
        </w:rPr>
        <w:t>analyse, strategise and develop action plans and approaches to develop solutions that can overcome constraints faced. This process should be used to explore alternative approaches to unblocking and implementing house consolidation within UISP projects, with the intent of developing generic instruments</w:t>
      </w:r>
    </w:p>
    <w:p w14:paraId="5D83F87D" w14:textId="5A61F82F" w:rsidR="00B542E8" w:rsidRDefault="00B542E8" w:rsidP="00B542E8">
      <w:pPr>
        <w:pStyle w:val="Heading3"/>
        <w:rPr>
          <w:lang w:val="en-US"/>
        </w:rPr>
      </w:pPr>
      <w:r>
        <w:rPr>
          <w:lang w:val="en-US"/>
        </w:rPr>
        <w:t>Other Engagements</w:t>
      </w:r>
    </w:p>
    <w:p w14:paraId="5A1EACB1" w14:textId="32382910" w:rsidR="0045043A" w:rsidRPr="00FA19BD" w:rsidRDefault="0045043A" w:rsidP="00F248FD">
      <w:pPr>
        <w:numPr>
          <w:ilvl w:val="0"/>
          <w:numId w:val="55"/>
        </w:numPr>
        <w:spacing w:line="360" w:lineRule="auto"/>
        <w:rPr>
          <w:lang w:val="en-US"/>
        </w:rPr>
      </w:pPr>
      <w:r w:rsidRPr="008E5BD1">
        <w:rPr>
          <w:b/>
          <w:lang w:val="en-US"/>
        </w:rPr>
        <w:lastRenderedPageBreak/>
        <w:t>Engagement with Other Agencies:</w:t>
      </w:r>
      <w:r w:rsidRPr="00FA19BD">
        <w:rPr>
          <w:b/>
          <w:lang w:val="en-US"/>
        </w:rPr>
        <w:t xml:space="preserve"> </w:t>
      </w:r>
      <w:r w:rsidRPr="00FA19BD">
        <w:rPr>
          <w:lang w:val="en-US"/>
        </w:rPr>
        <w:t xml:space="preserve">A number of other agencies have control over, or influence on the potential for house consolidation in UISP projects. Engagements with these actors on aspects of common interest and concern are recommended, including: </w:t>
      </w:r>
    </w:p>
    <w:p w14:paraId="3D5A92C3" w14:textId="08974382" w:rsidR="0045043A" w:rsidRPr="0045043A" w:rsidRDefault="0045043A" w:rsidP="00F248FD">
      <w:pPr>
        <w:pStyle w:val="ListParagraph"/>
        <w:numPr>
          <w:ilvl w:val="0"/>
          <w:numId w:val="68"/>
        </w:numPr>
      </w:pPr>
      <w:r w:rsidRPr="0062251C">
        <w:rPr>
          <w:b/>
        </w:rPr>
        <w:t>NHBRC</w:t>
      </w:r>
      <w:r w:rsidRPr="0045043A">
        <w:t>:</w:t>
      </w:r>
      <w:r w:rsidR="00167539">
        <w:t xml:space="preserve"> The intent to ensure NHBRC responsibility for all development within subsidised housing projects</w:t>
      </w:r>
      <w:r w:rsidR="0062251C">
        <w:t>, within the current norms and standards for subsidy projects,</w:t>
      </w:r>
      <w:r w:rsidR="00167539">
        <w:t xml:space="preserve"> places a specific set of constraints</w:t>
      </w:r>
      <w:r w:rsidR="0062251C">
        <w:t xml:space="preserve"> on the incremental housing approaches indicated in this report. </w:t>
      </w:r>
      <w:r w:rsidR="00AF2EFE">
        <w:t xml:space="preserve">Specifically, the desire to extend NHBRC coverage to all builders, including owner builders, is likely to have detrimental effects on incremental building processes within UISP consolidation projects.  </w:t>
      </w:r>
      <w:r w:rsidR="0062251C">
        <w:t>An engagement process is recommended through which the NHBRC, the DHS and NUSP can find a common ground on what and where NHBRC implementation is useful and desirable for long term house consolidation processes.</w:t>
      </w:r>
      <w:r w:rsidR="00AF2EFE">
        <w:t xml:space="preserve"> </w:t>
      </w:r>
    </w:p>
    <w:p w14:paraId="2F137B9E" w14:textId="2BBB5851" w:rsidR="0045043A" w:rsidRPr="00DA241A" w:rsidRDefault="0062251C" w:rsidP="00F248FD">
      <w:pPr>
        <w:pStyle w:val="ListParagraph"/>
        <w:numPr>
          <w:ilvl w:val="0"/>
          <w:numId w:val="68"/>
        </w:numPr>
        <w:rPr>
          <w:highlight w:val="yellow"/>
        </w:rPr>
      </w:pPr>
      <w:r w:rsidRPr="00DA241A">
        <w:rPr>
          <w:b/>
          <w:highlight w:val="yellow"/>
        </w:rPr>
        <w:t>(</w:t>
      </w:r>
      <w:r w:rsidR="0045043A" w:rsidRPr="00DA241A">
        <w:rPr>
          <w:b/>
          <w:highlight w:val="yellow"/>
        </w:rPr>
        <w:t>M</w:t>
      </w:r>
      <w:r w:rsidRPr="00DA241A">
        <w:rPr>
          <w:b/>
          <w:highlight w:val="yellow"/>
        </w:rPr>
        <w:t>icro) finance Institutions</w:t>
      </w:r>
      <w:r w:rsidRPr="00DA241A">
        <w:rPr>
          <w:highlight w:val="yellow"/>
        </w:rPr>
        <w:t>: The potential for targeted microfinance as a component of house consolidation inputs is clear. Currently, the Microfinance industry is considering ways to increase the level of developmental lending, with one focus being that of housing.  It is recommended that NUSP engages with the MF industry body to assist them to develop a better understanding of incremental housing and house financing needs within ISU projects.</w:t>
      </w:r>
    </w:p>
    <w:p w14:paraId="0B92D0C0" w14:textId="4ACC696C" w:rsidR="00717EFB" w:rsidRDefault="00717EFB" w:rsidP="00540DD7">
      <w:pPr>
        <w:pStyle w:val="Heading2"/>
      </w:pPr>
      <w:bookmarkStart w:id="390" w:name="_Toc270946059"/>
      <w:bookmarkEnd w:id="389"/>
      <w:r>
        <w:t>Implementation Responsibilities</w:t>
      </w:r>
      <w:bookmarkEnd w:id="390"/>
    </w:p>
    <w:p w14:paraId="25D9AC3B" w14:textId="77777777" w:rsidR="00BA5B97" w:rsidRDefault="00BA5B97" w:rsidP="00FA19BD">
      <w:r>
        <w:t>It is suggested that the approach to allocating and implementing these recommendations is decided by the NDHS, NUSP, the World Bank and the City Support Programme as soon as possible, in order to ensure appropriate institutional placement, coordination and funding for each one.</w:t>
      </w:r>
    </w:p>
    <w:p w14:paraId="67C70342" w14:textId="77777777" w:rsidR="00BA5B97" w:rsidRDefault="00BA5B97" w:rsidP="002A05AF">
      <w:pPr>
        <w:pStyle w:val="Heading1"/>
        <w:numPr>
          <w:ilvl w:val="0"/>
          <w:numId w:val="0"/>
        </w:numPr>
        <w:ind w:left="425" w:hanging="425"/>
      </w:pPr>
      <w:bookmarkStart w:id="391" w:name="_Toc261617698"/>
      <w:bookmarkStart w:id="392" w:name="_Toc262067913"/>
    </w:p>
    <w:p w14:paraId="28536489" w14:textId="77777777" w:rsidR="00BA5B97" w:rsidRDefault="00BA5B97" w:rsidP="002A05AF">
      <w:pPr>
        <w:pStyle w:val="Heading1"/>
        <w:numPr>
          <w:ilvl w:val="0"/>
          <w:numId w:val="0"/>
        </w:numPr>
        <w:ind w:left="425" w:hanging="425"/>
        <w:sectPr w:rsidR="00BA5B97">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pPr>
    </w:p>
    <w:p w14:paraId="0D4D0CDE" w14:textId="2065A2ED" w:rsidR="00217568" w:rsidRPr="00CF1919" w:rsidRDefault="00A6659A" w:rsidP="002A05AF">
      <w:pPr>
        <w:pStyle w:val="Heading1"/>
        <w:numPr>
          <w:ilvl w:val="0"/>
          <w:numId w:val="0"/>
        </w:numPr>
        <w:ind w:left="425" w:hanging="425"/>
      </w:pPr>
      <w:bookmarkStart w:id="393" w:name="_Toc270946060"/>
      <w:r w:rsidRPr="00CF1919">
        <w:lastRenderedPageBreak/>
        <w:t xml:space="preserve">Annexure A: </w:t>
      </w:r>
      <w:bookmarkStart w:id="394" w:name="_Toc261617711"/>
      <w:bookmarkStart w:id="395" w:name="_Toc262067926"/>
      <w:bookmarkEnd w:id="391"/>
      <w:bookmarkEnd w:id="392"/>
      <w:r w:rsidR="00217568" w:rsidRPr="00CF1919">
        <w:t xml:space="preserve">Profiles of Selected Informal Settlements Undergoing UISP Upgrading in South </w:t>
      </w:r>
      <w:r w:rsidR="00100CFD" w:rsidRPr="00CF1919">
        <w:t>Af</w:t>
      </w:r>
      <w:r w:rsidR="00217568" w:rsidRPr="00CF1919">
        <w:t>rica</w:t>
      </w:r>
      <w:bookmarkEnd w:id="394"/>
      <w:bookmarkEnd w:id="395"/>
      <w:bookmarkEnd w:id="393"/>
    </w:p>
    <w:p w14:paraId="0CAEA261" w14:textId="77777777" w:rsidR="00100CFD" w:rsidRDefault="00100CFD" w:rsidP="00100CFD"/>
    <w:p w14:paraId="4AA08878" w14:textId="77777777" w:rsidR="00100CFD" w:rsidRPr="00A0532A" w:rsidRDefault="00100CFD" w:rsidP="00A0532A">
      <w:pPr>
        <w:spacing w:line="360" w:lineRule="auto"/>
        <w:rPr>
          <w:b/>
          <w:sz w:val="28"/>
          <w:szCs w:val="28"/>
        </w:rPr>
      </w:pPr>
      <w:r w:rsidRPr="00A0532A">
        <w:rPr>
          <w:b/>
          <w:sz w:val="28"/>
          <w:szCs w:val="28"/>
        </w:rPr>
        <w:t>Introduction: Characteristics of Diversity</w:t>
      </w:r>
    </w:p>
    <w:p w14:paraId="0BA02F93" w14:textId="77777777" w:rsidR="00100CFD" w:rsidRPr="00A0532A" w:rsidRDefault="00100CFD" w:rsidP="00A0532A">
      <w:pPr>
        <w:spacing w:line="360" w:lineRule="auto"/>
        <w:rPr>
          <w:szCs w:val="22"/>
        </w:rPr>
      </w:pPr>
      <w:r w:rsidRPr="00A0532A">
        <w:rPr>
          <w:szCs w:val="22"/>
        </w:rPr>
        <w:t>Informal settlements vary widely across a range of axes. Whilst interesting for their own sake, the range of settlement profiles and dynamics that exist may impact on the mode and rate at which settlements develop and consolidate over time. The diversity may also impact the nature and scale of any proposed intervention into these sites either through the public or private sector. The following section thus considers 12 factors/characteristics of settlements in order to indicate the variability and range of informal settlements in South Africa. After a discussion and definition of each of these characteristics a set of 7 profiles of settlements from 6 municipalities is provided. Originally the intention for this section was to profile 5 informal in depth utilising work that had been completed from the NUSP exercises, as this information was not available, the team in conjunction with the client has decided to provider a broader range of informal settlement profiles, expressing a wider variety, the data coming from a variety of secondary sources and where possible the latest census. The chosen cases have also been provided to offer an “archetype” of a specific settlement typology i.e. a situation in which a specific characteristic/s is in some way more prominent than another and can be seen as the “model” or epitome of that particular type of informal settlement.</w:t>
      </w:r>
    </w:p>
    <w:p w14:paraId="1B4DD4ED" w14:textId="77777777" w:rsidR="00100CFD" w:rsidRPr="00A0532A" w:rsidRDefault="00100CFD" w:rsidP="00A0532A">
      <w:pPr>
        <w:spacing w:line="360" w:lineRule="auto"/>
        <w:rPr>
          <w:szCs w:val="22"/>
        </w:rPr>
      </w:pPr>
      <w:r w:rsidRPr="00A0532A">
        <w:rPr>
          <w:szCs w:val="22"/>
        </w:rPr>
        <w:t>The characteristics that have been used to profile the settlements include:</w:t>
      </w:r>
    </w:p>
    <w:p w14:paraId="34A43142" w14:textId="7D967A8D" w:rsidR="00100CFD" w:rsidRPr="00A0532A" w:rsidRDefault="00100CFD" w:rsidP="0055634E">
      <w:pPr>
        <w:pStyle w:val="ListParagraph"/>
        <w:numPr>
          <w:ilvl w:val="0"/>
          <w:numId w:val="13"/>
        </w:numPr>
        <w:ind w:left="232"/>
        <w:rPr>
          <w:lang w:eastAsia="en-ZA"/>
        </w:rPr>
      </w:pPr>
      <w:r w:rsidRPr="00A0532A">
        <w:rPr>
          <w:b/>
          <w:lang w:eastAsia="en-ZA"/>
        </w:rPr>
        <w:t>Topography</w:t>
      </w:r>
      <w:r w:rsidRPr="00A0532A">
        <w:rPr>
          <w:lang w:eastAsia="en-ZA"/>
        </w:rPr>
        <w:t>:</w:t>
      </w:r>
      <w:r w:rsidR="00A0532A">
        <w:rPr>
          <w:lang w:eastAsia="en-ZA"/>
        </w:rPr>
        <w:t xml:space="preserve"> </w:t>
      </w:r>
      <w:r w:rsidRPr="00A0532A">
        <w:rPr>
          <w:lang w:eastAsia="en-ZA"/>
        </w:rPr>
        <w:t xml:space="preserve">Topography refers to the underlying geological and geomorphological conditions of the land on which the settlement is located. At the most basic level the condition of the land and its ability to be built on is one of the most fundamental questions in terms of the feasibility of in situ upgrading. Such conditions will determine the geotechnical subsidisation, level of skilled intervention and density of the final settlement, as well as the potential risks that they offer residents and thus impact on the willingness of residents to invest in such areas. </w:t>
      </w:r>
    </w:p>
    <w:p w14:paraId="6D0F5B82" w14:textId="09A295B3" w:rsidR="00100CFD" w:rsidRPr="00A0532A" w:rsidRDefault="00100CFD" w:rsidP="0055634E">
      <w:pPr>
        <w:pStyle w:val="ListParagraph"/>
        <w:numPr>
          <w:ilvl w:val="0"/>
          <w:numId w:val="13"/>
        </w:numPr>
        <w:ind w:left="232"/>
        <w:rPr>
          <w:lang w:eastAsia="en-ZA"/>
        </w:rPr>
      </w:pPr>
      <w:r w:rsidRPr="00A0532A">
        <w:rPr>
          <w:b/>
          <w:lang w:eastAsia="en-ZA"/>
        </w:rPr>
        <w:t>Density</w:t>
      </w:r>
      <w:r w:rsidRPr="00A0532A">
        <w:rPr>
          <w:lang w:eastAsia="en-ZA"/>
        </w:rPr>
        <w:t>:</w:t>
      </w:r>
      <w:r w:rsidR="00A0532A">
        <w:rPr>
          <w:lang w:eastAsia="en-ZA"/>
        </w:rPr>
        <w:t xml:space="preserve"> </w:t>
      </w:r>
      <w:r w:rsidRPr="00A0532A">
        <w:rPr>
          <w:lang w:eastAsia="en-ZA"/>
        </w:rPr>
        <w:t xml:space="preserve">Density is highly variable in informal settlements and there are a wide variety of ways of measuring it: including population density (number of people per hectare), dwelling unit density (number of dwelling units per hectare) and building density (ratio of </w:t>
      </w:r>
      <w:r w:rsidRPr="00A0532A">
        <w:rPr>
          <w:lang w:eastAsia="en-ZA"/>
        </w:rPr>
        <w:lastRenderedPageBreak/>
        <w:t>total ﬂoor area of building to the corresponding site). We will use the figure of number of units per ha where possible. In SA low is considered to be at less than 40 units/ha, medium at between 40 and 100 units/ha and high at more than 100 units/ha. Alternatively, the number of people per ha is also given as a measure of density, where the number of units has not been available.</w:t>
      </w:r>
      <w:r w:rsidR="00A0532A">
        <w:rPr>
          <w:lang w:eastAsia="en-ZA"/>
        </w:rPr>
        <w:t xml:space="preserve">  </w:t>
      </w:r>
      <w:r w:rsidRPr="00A0532A">
        <w:rPr>
          <w:lang w:eastAsia="en-ZA"/>
        </w:rPr>
        <w:t xml:space="preserve">Similarly to size, density or lack thereof, brings with it its own set of challenges, whereby very dense settlements may require higher levels of negotiation and consensus when being </w:t>
      </w:r>
      <w:r w:rsidR="006227D9" w:rsidRPr="00A0532A">
        <w:rPr>
          <w:lang w:eastAsia="en-ZA"/>
        </w:rPr>
        <w:t>regularized</w:t>
      </w:r>
      <w:r w:rsidRPr="00A0532A">
        <w:rPr>
          <w:lang w:eastAsia="en-ZA"/>
        </w:rPr>
        <w:t xml:space="preserve"> or </w:t>
      </w:r>
      <w:r w:rsidR="006227D9" w:rsidRPr="00A0532A">
        <w:rPr>
          <w:lang w:eastAsia="en-ZA"/>
        </w:rPr>
        <w:t>formalized</w:t>
      </w:r>
      <w:r w:rsidRPr="00A0532A">
        <w:rPr>
          <w:lang w:eastAsia="en-ZA"/>
        </w:rPr>
        <w:t xml:space="preserve"> but low density settlements may be difficult to assist or gain assistance due to the low numbers and difficulties of raising communal investments and the benefits that economies of scale can bring. </w:t>
      </w:r>
    </w:p>
    <w:p w14:paraId="231BFEB6" w14:textId="58C4715B" w:rsidR="00100CFD" w:rsidRPr="00A0532A" w:rsidRDefault="00100CFD" w:rsidP="0055634E">
      <w:pPr>
        <w:pStyle w:val="ListParagraph"/>
        <w:numPr>
          <w:ilvl w:val="0"/>
          <w:numId w:val="13"/>
        </w:numPr>
        <w:ind w:left="232"/>
        <w:rPr>
          <w:lang w:eastAsia="en-ZA"/>
        </w:rPr>
      </w:pPr>
      <w:r w:rsidRPr="00A0532A">
        <w:rPr>
          <w:b/>
          <w:lang w:eastAsia="en-ZA"/>
        </w:rPr>
        <w:t>Size of informal settlements</w:t>
      </w:r>
      <w:r w:rsidRPr="00A0532A">
        <w:rPr>
          <w:lang w:eastAsia="en-ZA"/>
        </w:rPr>
        <w:t>:</w:t>
      </w:r>
      <w:r w:rsidR="00A0532A">
        <w:rPr>
          <w:lang w:eastAsia="en-ZA"/>
        </w:rPr>
        <w:t xml:space="preserve"> </w:t>
      </w:r>
      <w:r w:rsidRPr="00A0532A">
        <w:rPr>
          <w:lang w:eastAsia="en-ZA"/>
        </w:rPr>
        <w:t>Informal settlements can range from a few informal dwellings to many thousands of households. Each extreme brings with it its own set of challenges: in the case of very small settlements the question of cost-benefit becomes important, whereas in large settlements economies of scale could certainly be achieved but participatory and consensus-driven approaches may be more difficult to navigate. Although larger settlements may be better able to negotiate with the local authorities and gain political support due to the numbers of people involved.</w:t>
      </w:r>
    </w:p>
    <w:p w14:paraId="28BFFD9F" w14:textId="40D3F188" w:rsidR="00100CFD" w:rsidRPr="00A0532A" w:rsidRDefault="00100CFD" w:rsidP="0055634E">
      <w:pPr>
        <w:pStyle w:val="ListParagraph"/>
        <w:numPr>
          <w:ilvl w:val="0"/>
          <w:numId w:val="13"/>
        </w:numPr>
        <w:ind w:left="232"/>
        <w:rPr>
          <w:lang w:eastAsia="en-ZA"/>
        </w:rPr>
      </w:pPr>
      <w:r w:rsidRPr="00A0532A">
        <w:rPr>
          <w:b/>
          <w:lang w:eastAsia="en-ZA"/>
        </w:rPr>
        <w:t>Legal status</w:t>
      </w:r>
      <w:r w:rsidR="00A0532A">
        <w:rPr>
          <w:lang w:eastAsia="en-ZA"/>
        </w:rPr>
        <w:t xml:space="preserve">: </w:t>
      </w:r>
      <w:r w:rsidRPr="00A0532A">
        <w:rPr>
          <w:lang w:eastAsia="en-ZA"/>
        </w:rPr>
        <w:t>The legal status of informal settlements varies according to which province and sometimes which municipality an informal settlement is located. There seem to be three main forms of legal status: recognition of the settlement for in situ upgrading, this would most likely mean that the settlements has been recorded and is in some way included in local housing sector plans, BEPPS, or IDP housing chapters. This status implies secure tenure. Alternatively, there is a lack of legal recognition, which may mean that the settlement is either excluded from the state’s plans, or has been earmarked for relocation for some reason, generally due to a lack of feasibility. In such cases, there is a question-mark over the tenure security of the informal settlement dwellers. The last situation is one where is there is de facto secure tenure, whereby the authorities have not made plans for the settlement either way but seem to be willing to allow it to continue. In terms of planning, the last category is the one not dealt with by policy and offers the least certainty to the informal dwellers regarding their future. The implications may mean a lower level of investment or incremental improvement over time.</w:t>
      </w:r>
    </w:p>
    <w:p w14:paraId="66C9E947" w14:textId="3D55B930" w:rsidR="00100CFD" w:rsidRPr="00A0532A" w:rsidRDefault="00A0532A" w:rsidP="0055634E">
      <w:pPr>
        <w:pStyle w:val="ListParagraph"/>
        <w:numPr>
          <w:ilvl w:val="0"/>
          <w:numId w:val="13"/>
        </w:numPr>
        <w:ind w:left="232"/>
        <w:rPr>
          <w:lang w:eastAsia="en-ZA"/>
        </w:rPr>
      </w:pPr>
      <w:r w:rsidRPr="00A0532A">
        <w:rPr>
          <w:b/>
          <w:lang w:eastAsia="en-ZA"/>
        </w:rPr>
        <w:t xml:space="preserve">Age: </w:t>
      </w:r>
      <w:r w:rsidR="00100CFD" w:rsidRPr="00A0532A">
        <w:rPr>
          <w:lang w:eastAsia="en-ZA"/>
        </w:rPr>
        <w:t xml:space="preserve">Historically informal settlements have been seen as temporary forms of accommodation, responding to specific conditions. However, evidence from a number of informal settlement demonstrates that many have been in existence for very long periods of time and according to the HDA’s 2012 study on informal settlements may be embedded </w:t>
      </w:r>
      <w:r w:rsidR="00100CFD" w:rsidRPr="00A0532A">
        <w:rPr>
          <w:lang w:eastAsia="en-ZA"/>
        </w:rPr>
        <w:lastRenderedPageBreak/>
        <w:t xml:space="preserve">in the local economy, with strong connections between the informal settlement and the surrounding more formal communities, income opportunities. Furthermore, long-established informal settlements are often associated with high levels of community cohesion, more organised residents’ associations and community </w:t>
      </w:r>
      <w:r w:rsidR="008B47BF">
        <w:rPr>
          <w:lang w:eastAsia="en-ZA"/>
        </w:rPr>
        <w:t>organization</w:t>
      </w:r>
      <w:r w:rsidR="00100CFD" w:rsidRPr="00A0532A">
        <w:rPr>
          <w:lang w:eastAsia="en-ZA"/>
        </w:rPr>
        <w:t>. In SA there has also been a  sense from communities that length of stay imbues residents with more rights to their site, which is an expectation that often has to be dealt with as there is no legal right associated with length of stay.</w:t>
      </w:r>
    </w:p>
    <w:p w14:paraId="5289BAB8" w14:textId="33D6E225" w:rsidR="00100CFD" w:rsidRPr="00A0532A" w:rsidRDefault="00100CFD" w:rsidP="0055634E">
      <w:pPr>
        <w:pStyle w:val="ListParagraph"/>
        <w:numPr>
          <w:ilvl w:val="0"/>
          <w:numId w:val="13"/>
        </w:numPr>
        <w:ind w:left="232"/>
        <w:rPr>
          <w:lang w:eastAsia="en-ZA"/>
        </w:rPr>
      </w:pPr>
      <w:r w:rsidRPr="00A0532A">
        <w:rPr>
          <w:b/>
          <w:lang w:eastAsia="en-ZA"/>
        </w:rPr>
        <w:t>Situation</w:t>
      </w:r>
      <w:r w:rsidR="00A0532A" w:rsidRPr="00A0532A">
        <w:rPr>
          <w:b/>
          <w:lang w:eastAsia="en-ZA"/>
        </w:rPr>
        <w:t xml:space="preserve">: </w:t>
      </w:r>
      <w:r w:rsidRPr="00A0532A">
        <w:rPr>
          <w:lang w:eastAsia="en-ZA"/>
        </w:rPr>
        <w:t>Informal settlements are generally situated on open land, which responds to the needs of the dwellers and are chosen without consideration of the underlying ownership of the land. As such informal settlements may be located on public land (which includes national, provincially and locally owned land; land owned by parastatals and state owned entities); privately owned land, or land owned by some combination of the two. In all cases, there are issues of land development, township establishment and land transfer that would need to be considered, when thinking through processes of incremental improvement and the securing of different kinds of land rights and titling.</w:t>
      </w:r>
    </w:p>
    <w:p w14:paraId="4CBC1D9B" w14:textId="14697DAF" w:rsidR="00100CFD" w:rsidRPr="00A0532A" w:rsidRDefault="00100CFD" w:rsidP="0055634E">
      <w:pPr>
        <w:pStyle w:val="ListParagraph"/>
        <w:numPr>
          <w:ilvl w:val="0"/>
          <w:numId w:val="13"/>
        </w:numPr>
        <w:ind w:left="232"/>
        <w:rPr>
          <w:lang w:eastAsia="en-ZA"/>
        </w:rPr>
      </w:pPr>
      <w:r w:rsidRPr="00A0532A">
        <w:rPr>
          <w:b/>
          <w:lang w:eastAsia="en-ZA"/>
        </w:rPr>
        <w:t>Access to services</w:t>
      </w:r>
      <w:r w:rsidR="00A0532A" w:rsidRPr="00A0532A">
        <w:rPr>
          <w:b/>
          <w:lang w:eastAsia="en-ZA"/>
        </w:rPr>
        <w:t>:</w:t>
      </w:r>
      <w:r w:rsidR="00A0532A">
        <w:rPr>
          <w:lang w:eastAsia="en-ZA"/>
        </w:rPr>
        <w:t xml:space="preserve"> </w:t>
      </w:r>
      <w:r w:rsidRPr="00A0532A">
        <w:rPr>
          <w:lang w:eastAsia="en-ZA"/>
        </w:rPr>
        <w:t>Although there has been an expectation of the provision of basic services to informal settlements through a number of different avenues such as constitutional obligations, constitutional court decisions, policy such as Breaking New Ground and political commitments such as the 12 National Outcomes, the reality is that on the ground access to services can vary from absolutely no provision to illegal connections and self-provision to some fairly good state-provided services. Access to services may influence the manner in which households incrementally improve their units as the provision of basic services may need to be prioritized, and assisted with, before other investments can be made at either the household or settlement scale.</w:t>
      </w:r>
    </w:p>
    <w:p w14:paraId="6B31BC9A" w14:textId="7FE10AD4" w:rsidR="00100CFD" w:rsidRPr="00A0532A" w:rsidRDefault="00A0532A" w:rsidP="0055634E">
      <w:pPr>
        <w:pStyle w:val="ListParagraph"/>
        <w:numPr>
          <w:ilvl w:val="0"/>
          <w:numId w:val="13"/>
        </w:numPr>
        <w:ind w:left="232"/>
        <w:rPr>
          <w:lang w:eastAsia="en-ZA"/>
        </w:rPr>
      </w:pPr>
      <w:r w:rsidRPr="00A0532A">
        <w:rPr>
          <w:b/>
          <w:lang w:eastAsia="en-ZA"/>
        </w:rPr>
        <w:t>L</w:t>
      </w:r>
      <w:r w:rsidR="00100CFD" w:rsidRPr="00A0532A">
        <w:rPr>
          <w:b/>
          <w:lang w:eastAsia="en-ZA"/>
        </w:rPr>
        <w:t>ocation</w:t>
      </w:r>
      <w:r>
        <w:rPr>
          <w:lang w:eastAsia="en-ZA"/>
        </w:rPr>
        <w:t xml:space="preserve">: </w:t>
      </w:r>
      <w:r w:rsidR="00100CFD" w:rsidRPr="00A0532A">
        <w:rPr>
          <w:lang w:eastAsia="en-ZA"/>
        </w:rPr>
        <w:t xml:space="preserve">There are contrasting views around the location of informal settlements: some argue that the location is highly rational and is chosen for the access that it provides to economic and social amenities, whilst others state that occupation of land is purely opportunistic and as such informal settlements are far from necessary amenities. It would seem given the high numbers of informal settlements that both may be true and informal dwellers locate themselves according to a combination of factors that differs for each group. It is also important to note that although informal settlements are largely seen as a consequence of urbanisation, there are informal settlements located in rural or peri-urban areas. Cross’ work at the HSRC work on location notes that there is a general demographic trend that is associated with location, whereby: residents tend to be younger and better off the closer to the urban core they locate themselves whereas in outlying rural </w:t>
      </w:r>
      <w:r w:rsidR="00100CFD" w:rsidRPr="00A0532A">
        <w:rPr>
          <w:lang w:eastAsia="en-ZA"/>
        </w:rPr>
        <w:lastRenderedPageBreak/>
        <w:t>communities people are older and poorer. The question of location may influence the dynamics of investment, with households who have better access to amenities being more willing and able to invest and upgrade their units then those who do not value the location of their homes.</w:t>
      </w:r>
    </w:p>
    <w:p w14:paraId="5847D55E" w14:textId="1CAE3304" w:rsidR="00100CFD" w:rsidRPr="00A0532A" w:rsidRDefault="00100CFD" w:rsidP="0055634E">
      <w:pPr>
        <w:pStyle w:val="ListParagraph"/>
        <w:numPr>
          <w:ilvl w:val="0"/>
          <w:numId w:val="13"/>
        </w:numPr>
        <w:ind w:left="232"/>
        <w:rPr>
          <w:lang w:eastAsia="en-ZA"/>
        </w:rPr>
      </w:pPr>
      <w:r w:rsidRPr="00A0532A">
        <w:rPr>
          <w:b/>
          <w:lang w:eastAsia="en-ZA"/>
        </w:rPr>
        <w:t>Built Form</w:t>
      </w:r>
      <w:r w:rsidR="00A0532A" w:rsidRPr="00A0532A">
        <w:rPr>
          <w:b/>
          <w:lang w:eastAsia="en-ZA"/>
        </w:rPr>
        <w:t>:</w:t>
      </w:r>
      <w:r w:rsidR="00A0532A">
        <w:rPr>
          <w:lang w:eastAsia="en-ZA"/>
        </w:rPr>
        <w:t xml:space="preserve"> </w:t>
      </w:r>
      <w:r w:rsidRPr="00A0532A">
        <w:rPr>
          <w:lang w:eastAsia="en-ZA"/>
        </w:rPr>
        <w:t xml:space="preserve">Historically a defining feature of an informal dwelling was one that used non-conventional or temporary building materials. However, there is variability in the built form, with other factors contributing to the definition of a site as informal i.e. irregular or extra-legal land occupation, contravention of land use regulations etc and there are cases where sites are still defined as informal but municipalities are either supplying or subsidising conventional building materials. It has however been noted that households utilise a range of materials for construction, when building their units, ranging from wattle and daub, to conventional materials. There does not seem to be any correlation between the age of the settlement, the quality of the material and tenure security. Rather the investment in the built form seems to be more closely related to the question of disposable income and the manner in which a household </w:t>
      </w:r>
      <w:r w:rsidR="006227D9" w:rsidRPr="00A0532A">
        <w:rPr>
          <w:lang w:eastAsia="en-ZA"/>
        </w:rPr>
        <w:t>prioritizes</w:t>
      </w:r>
      <w:r w:rsidRPr="00A0532A">
        <w:rPr>
          <w:lang w:eastAsia="en-ZA"/>
        </w:rPr>
        <w:t xml:space="preserve"> its use. Earlier studies suggest that investment in housing is further down the list than using finances for education, and transport. </w:t>
      </w:r>
    </w:p>
    <w:p w14:paraId="6C8EB5D1" w14:textId="6EAEF39D" w:rsidR="00100CFD" w:rsidRPr="00A0532A" w:rsidRDefault="00100CFD" w:rsidP="0055634E">
      <w:pPr>
        <w:pStyle w:val="ListParagraph"/>
        <w:numPr>
          <w:ilvl w:val="0"/>
          <w:numId w:val="13"/>
        </w:numPr>
        <w:ind w:left="232"/>
        <w:rPr>
          <w:lang w:eastAsia="en-ZA"/>
        </w:rPr>
      </w:pPr>
      <w:r w:rsidRPr="00A0532A">
        <w:rPr>
          <w:b/>
          <w:lang w:eastAsia="en-ZA"/>
        </w:rPr>
        <w:t>Role in urban system</w:t>
      </w:r>
      <w:r w:rsidR="00A0532A" w:rsidRPr="00A0532A">
        <w:rPr>
          <w:b/>
          <w:lang w:eastAsia="en-ZA"/>
        </w:rPr>
        <w:t xml:space="preserve">: </w:t>
      </w:r>
      <w:r w:rsidRPr="00A0532A">
        <w:rPr>
          <w:lang w:eastAsia="en-ZA"/>
        </w:rPr>
        <w:t xml:space="preserve">The role that informal settlements play in the lives of poorer South Africans and the housing cycle more generally is still very controversial, with some arguing that informal settlements are a failure of the housing market; others see informal settlements as the starting point of households being able to accumulate assets and informal dwellings are the starting point in this process. Whilst others argue that informal settlements are providing households with a foothold in the urban environment since poorer people are largely excluded from the formal urban land and property market. The role that informal settlements play in the lives of their residents may very well influence the form and nature of incremental investment into a site and unit. So that households who view their dwelling as an asset or a platform from which to develop an asset may be more willing (and able) to invest then households who see their unit as a “stop-gap”. </w:t>
      </w:r>
    </w:p>
    <w:p w14:paraId="2BF16531" w14:textId="3FF06A40" w:rsidR="00100CFD" w:rsidRPr="00A0532A" w:rsidRDefault="00100CFD" w:rsidP="0055634E">
      <w:pPr>
        <w:pStyle w:val="ListParagraph"/>
        <w:numPr>
          <w:ilvl w:val="0"/>
          <w:numId w:val="13"/>
        </w:numPr>
        <w:ind w:left="232"/>
        <w:rPr>
          <w:lang w:eastAsia="en-ZA"/>
        </w:rPr>
      </w:pPr>
      <w:r w:rsidRPr="00A0532A">
        <w:rPr>
          <w:b/>
          <w:lang w:eastAsia="en-ZA"/>
        </w:rPr>
        <w:t>Socio-economic levels</w:t>
      </w:r>
      <w:r w:rsidR="00A0532A" w:rsidRPr="00A0532A">
        <w:rPr>
          <w:b/>
          <w:lang w:eastAsia="en-ZA"/>
        </w:rPr>
        <w:t xml:space="preserve"> of development:</w:t>
      </w:r>
      <w:r w:rsidR="00A0532A">
        <w:rPr>
          <w:lang w:eastAsia="en-ZA"/>
        </w:rPr>
        <w:t xml:space="preserve"> </w:t>
      </w:r>
      <w:r w:rsidRPr="00A0532A">
        <w:rPr>
          <w:lang w:eastAsia="en-ZA"/>
        </w:rPr>
        <w:t xml:space="preserve">Although the majority of households in informal settlements are generally poor, the populations are far from homogenous: employment is a key variable, as is the consistency of the employment and income, which will help to determine the ability of a household to save or have the requisite disposable income, which could be used for household improvements. Similarly access to grants, their size and frequency would also help to determine a household’s ability to engage in unaided improvement of units and settlements. There is however no question that the role of </w:t>
      </w:r>
      <w:r w:rsidRPr="00A0532A">
        <w:rPr>
          <w:lang w:eastAsia="en-ZA"/>
        </w:rPr>
        <w:lastRenderedPageBreak/>
        <w:t xml:space="preserve">disposable income is key when considering incremental or other investment, since most households in informal settlements are in the poorest quartile there is often little or no money available for these activities. </w:t>
      </w:r>
    </w:p>
    <w:p w14:paraId="0245317D" w14:textId="096F1D31" w:rsidR="00100CFD" w:rsidRPr="00A0532A" w:rsidRDefault="00100CFD" w:rsidP="0055634E">
      <w:pPr>
        <w:pStyle w:val="ListParagraph"/>
        <w:numPr>
          <w:ilvl w:val="0"/>
          <w:numId w:val="13"/>
        </w:numPr>
        <w:ind w:left="232"/>
        <w:rPr>
          <w:lang w:eastAsia="en-ZA"/>
        </w:rPr>
      </w:pPr>
      <w:r w:rsidRPr="00A0532A">
        <w:rPr>
          <w:lang w:eastAsia="en-ZA"/>
        </w:rPr>
        <w:t>Leadership, governance and politics</w:t>
      </w:r>
      <w:r w:rsidR="00A0532A">
        <w:rPr>
          <w:lang w:eastAsia="en-ZA"/>
        </w:rPr>
        <w:t xml:space="preserve">: </w:t>
      </w:r>
      <w:r w:rsidRPr="00A0532A">
        <w:rPr>
          <w:lang w:eastAsia="en-ZA"/>
        </w:rPr>
        <w:t>A further aspect that effects the stability of a settlement is the form that community leadership takes, this affects the ability of the community to negotiate with the local authorities and the legitimacy with which they speak. However, local leadership is also affected by the wider political context and the ability of the community to access political support from political parties, ward councillors and thus bureaucrats within the local settlement. The inability to garner such support may mean that community’s become less able to leverage services and may make their tenure less secure, which would affect residents’ willingness to invest and upgrade their properties.</w:t>
      </w:r>
    </w:p>
    <w:p w14:paraId="3388410F" w14:textId="77777777" w:rsidR="00100CFD" w:rsidRPr="002604AE" w:rsidRDefault="00100CFD" w:rsidP="00100CFD">
      <w:pPr>
        <w:rPr>
          <w:rFonts w:cs="Arial"/>
          <w:sz w:val="20"/>
          <w:szCs w:val="20"/>
        </w:rPr>
      </w:pPr>
    </w:p>
    <w:p w14:paraId="0D349C38" w14:textId="77777777" w:rsidR="00100CFD" w:rsidRPr="002604AE" w:rsidRDefault="00100CFD" w:rsidP="00100CFD">
      <w:pPr>
        <w:contextualSpacing/>
        <w:rPr>
          <w:rFonts w:cs="Arial"/>
          <w:sz w:val="20"/>
          <w:szCs w:val="20"/>
        </w:rPr>
        <w:sectPr w:rsidR="00100CFD" w:rsidRPr="002604AE" w:rsidSect="00100CFD">
          <w:footerReference w:type="default" r:id="rId43"/>
          <w:pgSz w:w="11906" w:h="16838"/>
          <w:pgMar w:top="1440" w:right="1440" w:bottom="1440" w:left="1440" w:header="708" w:footer="708" w:gutter="0"/>
          <w:cols w:space="708"/>
          <w:docGrid w:linePitch="360"/>
        </w:sectPr>
      </w:pPr>
    </w:p>
    <w:p w14:paraId="3659CA90" w14:textId="77777777" w:rsidR="00100CFD" w:rsidRPr="0014517D" w:rsidRDefault="00100CFD" w:rsidP="00CF1919">
      <w:pPr>
        <w:pStyle w:val="Caption"/>
      </w:pPr>
      <w:bookmarkStart w:id="396" w:name="_Toc270945498"/>
      <w:r w:rsidRPr="0014517D">
        <w:lastRenderedPageBreak/>
        <w:t xml:space="preserve">Table </w:t>
      </w:r>
      <w:r w:rsidRPr="0014517D">
        <w:fldChar w:fldCharType="begin"/>
      </w:r>
      <w:r w:rsidRPr="0014517D">
        <w:instrText xml:space="preserve"> SEQ Table \* ARABIC </w:instrText>
      </w:r>
      <w:r w:rsidRPr="0014517D">
        <w:fldChar w:fldCharType="separate"/>
      </w:r>
      <w:r w:rsidR="00E9048A">
        <w:rPr>
          <w:noProof/>
        </w:rPr>
        <w:t>7</w:t>
      </w:r>
      <w:r w:rsidRPr="0014517D">
        <w:rPr>
          <w:noProof/>
        </w:rPr>
        <w:fldChar w:fldCharType="end"/>
      </w:r>
      <w:r w:rsidRPr="0014517D">
        <w:t>: Summary of diversity in informal settlements across 12 axes</w:t>
      </w:r>
      <w:bookmarkEnd w:id="396"/>
    </w:p>
    <w:tbl>
      <w:tblPr>
        <w:tblStyle w:val="TableGrid"/>
        <w:tblW w:w="16478" w:type="dxa"/>
        <w:tblInd w:w="-1265" w:type="dxa"/>
        <w:tblLayout w:type="fixed"/>
        <w:tblCellMar>
          <w:left w:w="43" w:type="dxa"/>
          <w:right w:w="43" w:type="dxa"/>
        </w:tblCellMar>
        <w:tblLook w:val="04A0" w:firstRow="1" w:lastRow="0" w:firstColumn="1" w:lastColumn="0" w:noHBand="0" w:noVBand="1"/>
      </w:tblPr>
      <w:tblGrid>
        <w:gridCol w:w="1267"/>
        <w:gridCol w:w="1268"/>
        <w:gridCol w:w="1267"/>
        <w:gridCol w:w="1268"/>
        <w:gridCol w:w="1267"/>
        <w:gridCol w:w="1268"/>
        <w:gridCol w:w="1267"/>
        <w:gridCol w:w="1268"/>
        <w:gridCol w:w="1267"/>
        <w:gridCol w:w="1268"/>
        <w:gridCol w:w="1267"/>
        <w:gridCol w:w="1268"/>
        <w:gridCol w:w="1268"/>
      </w:tblGrid>
      <w:tr w:rsidR="00100CFD" w:rsidRPr="00E412D4" w14:paraId="78B79CCF" w14:textId="77777777" w:rsidTr="00100CFD">
        <w:tc>
          <w:tcPr>
            <w:tcW w:w="1267" w:type="dxa"/>
            <w:shd w:val="clear" w:color="auto" w:fill="D9D9D9" w:themeFill="background1" w:themeFillShade="D9"/>
          </w:tcPr>
          <w:p w14:paraId="2DBCD553" w14:textId="77777777" w:rsidR="00100CFD" w:rsidRPr="00E412D4" w:rsidRDefault="00100CFD" w:rsidP="00100CFD">
            <w:pPr>
              <w:contextualSpacing/>
              <w:rPr>
                <w:rFonts w:cs="Arial"/>
                <w:b/>
                <w:sz w:val="18"/>
                <w:szCs w:val="18"/>
              </w:rPr>
            </w:pPr>
            <w:r w:rsidRPr="00E412D4">
              <w:rPr>
                <w:rFonts w:cs="Arial"/>
                <w:b/>
                <w:sz w:val="18"/>
                <w:szCs w:val="18"/>
              </w:rPr>
              <w:t>Settlement</w:t>
            </w:r>
          </w:p>
        </w:tc>
        <w:tc>
          <w:tcPr>
            <w:tcW w:w="1268" w:type="dxa"/>
            <w:shd w:val="clear" w:color="auto" w:fill="D9D9D9" w:themeFill="background1" w:themeFillShade="D9"/>
          </w:tcPr>
          <w:p w14:paraId="405090EB" w14:textId="77777777" w:rsidR="00100CFD" w:rsidRPr="00E412D4" w:rsidRDefault="00100CFD" w:rsidP="00100CFD">
            <w:pPr>
              <w:contextualSpacing/>
              <w:rPr>
                <w:rFonts w:cs="Arial"/>
                <w:b/>
                <w:sz w:val="18"/>
                <w:szCs w:val="18"/>
              </w:rPr>
            </w:pPr>
            <w:r w:rsidRPr="00E412D4">
              <w:rPr>
                <w:rFonts w:cs="Arial"/>
                <w:b/>
                <w:sz w:val="18"/>
                <w:szCs w:val="18"/>
              </w:rPr>
              <w:t>1.Topography:</w:t>
            </w:r>
          </w:p>
          <w:p w14:paraId="6DD450F3" w14:textId="77777777" w:rsidR="00100CFD" w:rsidRPr="00E412D4" w:rsidRDefault="00100CFD" w:rsidP="0055634E">
            <w:pPr>
              <w:pStyle w:val="ListParagraph"/>
              <w:numPr>
                <w:ilvl w:val="0"/>
                <w:numId w:val="24"/>
              </w:numPr>
              <w:spacing w:after="0" w:line="240" w:lineRule="auto"/>
              <w:ind w:left="211" w:hanging="180"/>
              <w:rPr>
                <w:rFonts w:cs="Arial"/>
                <w:b/>
                <w:sz w:val="18"/>
                <w:szCs w:val="18"/>
              </w:rPr>
            </w:pPr>
            <w:r w:rsidRPr="00E412D4">
              <w:rPr>
                <w:rFonts w:cs="Arial"/>
                <w:b/>
                <w:sz w:val="18"/>
                <w:szCs w:val="18"/>
              </w:rPr>
              <w:t>Slope</w:t>
            </w:r>
          </w:p>
          <w:p w14:paraId="0532625B" w14:textId="77777777" w:rsidR="00100CFD" w:rsidRPr="00E412D4" w:rsidRDefault="00100CFD" w:rsidP="0055634E">
            <w:pPr>
              <w:pStyle w:val="ListParagraph"/>
              <w:numPr>
                <w:ilvl w:val="0"/>
                <w:numId w:val="24"/>
              </w:numPr>
              <w:spacing w:after="0" w:line="240" w:lineRule="auto"/>
              <w:ind w:left="211" w:hanging="180"/>
              <w:rPr>
                <w:rFonts w:cs="Arial"/>
                <w:b/>
                <w:sz w:val="18"/>
                <w:szCs w:val="18"/>
              </w:rPr>
            </w:pPr>
            <w:r w:rsidRPr="00E412D4">
              <w:rPr>
                <w:rFonts w:cs="Arial"/>
                <w:b/>
                <w:sz w:val="18"/>
                <w:szCs w:val="18"/>
              </w:rPr>
              <w:t>Geology</w:t>
            </w:r>
          </w:p>
          <w:p w14:paraId="78F3FC12" w14:textId="77777777" w:rsidR="00100CFD" w:rsidRPr="00E412D4" w:rsidRDefault="00100CFD" w:rsidP="0055634E">
            <w:pPr>
              <w:pStyle w:val="ListParagraph"/>
              <w:numPr>
                <w:ilvl w:val="0"/>
                <w:numId w:val="24"/>
              </w:numPr>
              <w:spacing w:after="0" w:line="240" w:lineRule="auto"/>
              <w:ind w:left="211" w:hanging="180"/>
              <w:rPr>
                <w:rFonts w:cs="Arial"/>
                <w:b/>
                <w:sz w:val="18"/>
                <w:szCs w:val="18"/>
              </w:rPr>
            </w:pPr>
            <w:r w:rsidRPr="00E412D4">
              <w:rPr>
                <w:rFonts w:cs="Arial"/>
                <w:b/>
                <w:sz w:val="18"/>
                <w:szCs w:val="18"/>
              </w:rPr>
              <w:t>Geomorphology</w:t>
            </w:r>
          </w:p>
        </w:tc>
        <w:tc>
          <w:tcPr>
            <w:tcW w:w="1267" w:type="dxa"/>
            <w:shd w:val="clear" w:color="auto" w:fill="D9D9D9" w:themeFill="background1" w:themeFillShade="D9"/>
          </w:tcPr>
          <w:p w14:paraId="431A3586" w14:textId="77777777" w:rsidR="00100CFD" w:rsidRPr="00E412D4" w:rsidRDefault="00100CFD" w:rsidP="00100CFD">
            <w:pPr>
              <w:contextualSpacing/>
              <w:rPr>
                <w:rFonts w:cs="Arial"/>
                <w:b/>
                <w:sz w:val="18"/>
                <w:szCs w:val="18"/>
              </w:rPr>
            </w:pPr>
            <w:r w:rsidRPr="00E412D4">
              <w:rPr>
                <w:rFonts w:cs="Arial"/>
                <w:b/>
                <w:sz w:val="18"/>
                <w:szCs w:val="18"/>
              </w:rPr>
              <w:t>2. Density:</w:t>
            </w:r>
          </w:p>
          <w:p w14:paraId="5F84409A" w14:textId="77777777" w:rsidR="00100CFD" w:rsidRPr="00E412D4" w:rsidRDefault="00100CFD" w:rsidP="0055634E">
            <w:pPr>
              <w:pStyle w:val="ListParagraph"/>
              <w:numPr>
                <w:ilvl w:val="0"/>
                <w:numId w:val="24"/>
              </w:numPr>
              <w:spacing w:after="0" w:line="240" w:lineRule="auto"/>
              <w:ind w:left="282" w:hanging="282"/>
              <w:rPr>
                <w:rFonts w:cs="Arial"/>
                <w:b/>
                <w:sz w:val="18"/>
                <w:szCs w:val="18"/>
              </w:rPr>
            </w:pPr>
            <w:r w:rsidRPr="00E412D4">
              <w:rPr>
                <w:rFonts w:cs="Arial"/>
                <w:b/>
                <w:sz w:val="18"/>
                <w:szCs w:val="18"/>
              </w:rPr>
              <w:t>High</w:t>
            </w:r>
          </w:p>
          <w:p w14:paraId="6FAF3580" w14:textId="77777777" w:rsidR="00100CFD" w:rsidRPr="00E412D4" w:rsidRDefault="00100CFD" w:rsidP="0055634E">
            <w:pPr>
              <w:pStyle w:val="ListParagraph"/>
              <w:numPr>
                <w:ilvl w:val="0"/>
                <w:numId w:val="24"/>
              </w:numPr>
              <w:spacing w:after="0" w:line="240" w:lineRule="auto"/>
              <w:ind w:left="282" w:hanging="282"/>
              <w:rPr>
                <w:rFonts w:cs="Arial"/>
                <w:b/>
                <w:sz w:val="18"/>
                <w:szCs w:val="18"/>
              </w:rPr>
            </w:pPr>
            <w:r w:rsidRPr="00E412D4">
              <w:rPr>
                <w:rFonts w:cs="Arial"/>
                <w:b/>
                <w:sz w:val="18"/>
                <w:szCs w:val="18"/>
              </w:rPr>
              <w:t>Medium</w:t>
            </w:r>
          </w:p>
          <w:p w14:paraId="2FA45C5F" w14:textId="77777777" w:rsidR="00100CFD" w:rsidRPr="00E412D4" w:rsidRDefault="00100CFD" w:rsidP="0055634E">
            <w:pPr>
              <w:pStyle w:val="ListParagraph"/>
              <w:numPr>
                <w:ilvl w:val="0"/>
                <w:numId w:val="24"/>
              </w:numPr>
              <w:spacing w:after="0" w:line="240" w:lineRule="auto"/>
              <w:ind w:left="282" w:hanging="282"/>
              <w:rPr>
                <w:rFonts w:cs="Arial"/>
                <w:b/>
                <w:sz w:val="18"/>
                <w:szCs w:val="18"/>
              </w:rPr>
            </w:pPr>
            <w:r w:rsidRPr="00E412D4">
              <w:rPr>
                <w:rFonts w:cs="Arial"/>
                <w:b/>
                <w:sz w:val="18"/>
                <w:szCs w:val="18"/>
              </w:rPr>
              <w:t>Low</w:t>
            </w:r>
          </w:p>
        </w:tc>
        <w:tc>
          <w:tcPr>
            <w:tcW w:w="1268" w:type="dxa"/>
            <w:shd w:val="clear" w:color="auto" w:fill="D9D9D9" w:themeFill="background1" w:themeFillShade="D9"/>
          </w:tcPr>
          <w:p w14:paraId="4F787F81" w14:textId="77777777" w:rsidR="00100CFD" w:rsidRPr="00E412D4" w:rsidRDefault="00100CFD" w:rsidP="00100CFD">
            <w:pPr>
              <w:contextualSpacing/>
              <w:rPr>
                <w:rFonts w:cs="Arial"/>
                <w:b/>
                <w:sz w:val="18"/>
                <w:szCs w:val="18"/>
              </w:rPr>
            </w:pPr>
            <w:r w:rsidRPr="00E412D4">
              <w:rPr>
                <w:rFonts w:cs="Arial"/>
                <w:b/>
                <w:sz w:val="18"/>
                <w:szCs w:val="18"/>
              </w:rPr>
              <w:t>3. Size:</w:t>
            </w:r>
          </w:p>
          <w:p w14:paraId="5CC04D48" w14:textId="77777777" w:rsidR="00100CFD" w:rsidRPr="00E412D4" w:rsidRDefault="00100CFD" w:rsidP="0055634E">
            <w:pPr>
              <w:pStyle w:val="ListParagraph"/>
              <w:numPr>
                <w:ilvl w:val="0"/>
                <w:numId w:val="23"/>
              </w:numPr>
              <w:spacing w:after="0" w:line="240" w:lineRule="auto"/>
              <w:ind w:left="72" w:hanging="90"/>
              <w:rPr>
                <w:rFonts w:cs="Arial"/>
                <w:b/>
                <w:sz w:val="18"/>
                <w:szCs w:val="18"/>
              </w:rPr>
            </w:pPr>
            <w:r w:rsidRPr="00E412D4">
              <w:rPr>
                <w:rFonts w:cs="Arial"/>
                <w:b/>
                <w:sz w:val="18"/>
                <w:szCs w:val="18"/>
              </w:rPr>
              <w:t>Small: Less than hundred hh</w:t>
            </w:r>
          </w:p>
          <w:p w14:paraId="58619FB1" w14:textId="77777777" w:rsidR="00100CFD" w:rsidRPr="00E412D4" w:rsidRDefault="00100CFD" w:rsidP="0055634E">
            <w:pPr>
              <w:pStyle w:val="ListParagraph"/>
              <w:numPr>
                <w:ilvl w:val="0"/>
                <w:numId w:val="23"/>
              </w:numPr>
              <w:spacing w:after="0" w:line="240" w:lineRule="auto"/>
              <w:ind w:left="72" w:hanging="90"/>
              <w:rPr>
                <w:rFonts w:cs="Arial"/>
                <w:b/>
                <w:sz w:val="18"/>
                <w:szCs w:val="18"/>
              </w:rPr>
            </w:pPr>
            <w:r w:rsidRPr="00E412D4">
              <w:rPr>
                <w:rFonts w:cs="Arial"/>
                <w:b/>
                <w:sz w:val="18"/>
                <w:szCs w:val="18"/>
              </w:rPr>
              <w:t xml:space="preserve">Medium: 100-1000 hh </w:t>
            </w:r>
          </w:p>
          <w:p w14:paraId="34382FA7" w14:textId="77777777" w:rsidR="00100CFD" w:rsidRPr="00E412D4" w:rsidRDefault="00100CFD" w:rsidP="0055634E">
            <w:pPr>
              <w:pStyle w:val="ListParagraph"/>
              <w:numPr>
                <w:ilvl w:val="0"/>
                <w:numId w:val="23"/>
              </w:numPr>
              <w:spacing w:after="0" w:line="240" w:lineRule="auto"/>
              <w:ind w:left="72" w:hanging="90"/>
              <w:rPr>
                <w:rFonts w:cs="Arial"/>
                <w:b/>
                <w:sz w:val="18"/>
                <w:szCs w:val="18"/>
              </w:rPr>
            </w:pPr>
            <w:r w:rsidRPr="00E412D4">
              <w:rPr>
                <w:rFonts w:cs="Arial"/>
                <w:b/>
                <w:sz w:val="18"/>
                <w:szCs w:val="18"/>
              </w:rPr>
              <w:t>Large: more than a 1000 hh</w:t>
            </w:r>
          </w:p>
        </w:tc>
        <w:tc>
          <w:tcPr>
            <w:tcW w:w="1267" w:type="dxa"/>
            <w:shd w:val="clear" w:color="auto" w:fill="D9D9D9" w:themeFill="background1" w:themeFillShade="D9"/>
          </w:tcPr>
          <w:p w14:paraId="6A88F826" w14:textId="77777777" w:rsidR="00100CFD" w:rsidRPr="00E412D4" w:rsidRDefault="00100CFD" w:rsidP="00100CFD">
            <w:pPr>
              <w:contextualSpacing/>
              <w:rPr>
                <w:rFonts w:cs="Arial"/>
                <w:b/>
                <w:sz w:val="18"/>
                <w:szCs w:val="18"/>
              </w:rPr>
            </w:pPr>
            <w:r w:rsidRPr="00E412D4">
              <w:rPr>
                <w:rFonts w:cs="Arial"/>
                <w:b/>
                <w:sz w:val="18"/>
                <w:szCs w:val="18"/>
              </w:rPr>
              <w:t>4. Legal status:</w:t>
            </w:r>
          </w:p>
          <w:p w14:paraId="23A4CBE2" w14:textId="61E7EC5B" w:rsidR="00100CFD" w:rsidRPr="00E412D4" w:rsidRDefault="008B47BF" w:rsidP="0055634E">
            <w:pPr>
              <w:pStyle w:val="ListParagraph"/>
              <w:numPr>
                <w:ilvl w:val="0"/>
                <w:numId w:val="23"/>
              </w:numPr>
              <w:spacing w:after="0" w:line="240" w:lineRule="auto"/>
              <w:ind w:left="86" w:hanging="86"/>
              <w:rPr>
                <w:rFonts w:cs="Arial"/>
                <w:b/>
                <w:sz w:val="18"/>
                <w:szCs w:val="18"/>
              </w:rPr>
            </w:pPr>
            <w:r>
              <w:rPr>
                <w:rFonts w:cs="Arial"/>
                <w:b/>
                <w:sz w:val="18"/>
                <w:szCs w:val="18"/>
              </w:rPr>
              <w:t>Recogniz</w:t>
            </w:r>
            <w:r w:rsidR="00100CFD" w:rsidRPr="00E412D4">
              <w:rPr>
                <w:rFonts w:cs="Arial"/>
                <w:b/>
                <w:sz w:val="18"/>
                <w:szCs w:val="18"/>
              </w:rPr>
              <w:t>ed/secure tenure</w:t>
            </w:r>
          </w:p>
          <w:p w14:paraId="042E5D2B" w14:textId="196338FA" w:rsidR="00100CFD" w:rsidRPr="00E412D4" w:rsidRDefault="00100CFD" w:rsidP="0055634E">
            <w:pPr>
              <w:pStyle w:val="ListParagraph"/>
              <w:numPr>
                <w:ilvl w:val="0"/>
                <w:numId w:val="23"/>
              </w:numPr>
              <w:spacing w:after="0" w:line="240" w:lineRule="auto"/>
              <w:ind w:left="86" w:hanging="86"/>
              <w:rPr>
                <w:rFonts w:cs="Arial"/>
                <w:b/>
                <w:sz w:val="18"/>
                <w:szCs w:val="18"/>
              </w:rPr>
            </w:pPr>
            <w:r w:rsidRPr="00E412D4">
              <w:rPr>
                <w:rFonts w:cs="Arial"/>
                <w:b/>
                <w:sz w:val="18"/>
                <w:szCs w:val="18"/>
              </w:rPr>
              <w:t xml:space="preserve">Not </w:t>
            </w:r>
            <w:r w:rsidR="008B47BF">
              <w:rPr>
                <w:rFonts w:cs="Arial"/>
                <w:b/>
                <w:sz w:val="18"/>
                <w:szCs w:val="18"/>
              </w:rPr>
              <w:t>recogniz</w:t>
            </w:r>
            <w:r w:rsidRPr="00E412D4">
              <w:rPr>
                <w:rFonts w:cs="Arial"/>
                <w:b/>
                <w:sz w:val="18"/>
                <w:szCs w:val="18"/>
              </w:rPr>
              <w:t>ed/ insecure tenure</w:t>
            </w:r>
          </w:p>
          <w:p w14:paraId="01B8F9B7" w14:textId="0E8D811A" w:rsidR="00100CFD" w:rsidRPr="00E412D4" w:rsidRDefault="00100CFD" w:rsidP="0055634E">
            <w:pPr>
              <w:pStyle w:val="ListParagraph"/>
              <w:numPr>
                <w:ilvl w:val="0"/>
                <w:numId w:val="23"/>
              </w:numPr>
              <w:spacing w:after="0" w:line="240" w:lineRule="auto"/>
              <w:ind w:left="86" w:hanging="86"/>
              <w:rPr>
                <w:rFonts w:cs="Arial"/>
                <w:b/>
                <w:sz w:val="18"/>
                <w:szCs w:val="18"/>
              </w:rPr>
            </w:pPr>
            <w:r w:rsidRPr="00E412D4">
              <w:rPr>
                <w:rFonts w:cs="Arial"/>
                <w:b/>
                <w:sz w:val="18"/>
                <w:szCs w:val="18"/>
              </w:rPr>
              <w:t xml:space="preserve">Not </w:t>
            </w:r>
            <w:r w:rsidR="008B47BF">
              <w:rPr>
                <w:rFonts w:cs="Arial"/>
                <w:b/>
                <w:sz w:val="18"/>
                <w:szCs w:val="18"/>
              </w:rPr>
              <w:t>recogniz</w:t>
            </w:r>
            <w:r w:rsidRPr="00E412D4">
              <w:rPr>
                <w:rFonts w:cs="Arial"/>
                <w:b/>
                <w:sz w:val="18"/>
                <w:szCs w:val="18"/>
              </w:rPr>
              <w:t>ed/secure tenure</w:t>
            </w:r>
          </w:p>
        </w:tc>
        <w:tc>
          <w:tcPr>
            <w:tcW w:w="1268" w:type="dxa"/>
            <w:shd w:val="clear" w:color="auto" w:fill="D9D9D9" w:themeFill="background1" w:themeFillShade="D9"/>
          </w:tcPr>
          <w:p w14:paraId="305092B6" w14:textId="77777777" w:rsidR="00100CFD" w:rsidRPr="00E412D4" w:rsidRDefault="00100CFD" w:rsidP="00100CFD">
            <w:pPr>
              <w:contextualSpacing/>
              <w:rPr>
                <w:rFonts w:cs="Arial"/>
                <w:b/>
                <w:sz w:val="18"/>
                <w:szCs w:val="18"/>
              </w:rPr>
            </w:pPr>
            <w:r w:rsidRPr="00E412D4">
              <w:rPr>
                <w:rFonts w:cs="Arial"/>
                <w:b/>
                <w:sz w:val="18"/>
                <w:szCs w:val="18"/>
              </w:rPr>
              <w:t xml:space="preserve">5. Age: </w:t>
            </w:r>
          </w:p>
          <w:p w14:paraId="1E19108F" w14:textId="77777777" w:rsidR="00100CFD" w:rsidRPr="00E412D4" w:rsidRDefault="00100CFD" w:rsidP="0055634E">
            <w:pPr>
              <w:pStyle w:val="ListParagraph"/>
              <w:numPr>
                <w:ilvl w:val="0"/>
                <w:numId w:val="23"/>
              </w:numPr>
              <w:spacing w:after="0" w:line="240" w:lineRule="auto"/>
              <w:ind w:left="87" w:hanging="87"/>
              <w:rPr>
                <w:rFonts w:cs="Arial"/>
                <w:b/>
                <w:sz w:val="18"/>
                <w:szCs w:val="18"/>
              </w:rPr>
            </w:pPr>
            <w:r w:rsidRPr="00E412D4">
              <w:rPr>
                <w:rFonts w:cs="Arial"/>
                <w:b/>
                <w:sz w:val="18"/>
                <w:szCs w:val="18"/>
              </w:rPr>
              <w:t xml:space="preserve">Less than 5 years </w:t>
            </w:r>
          </w:p>
          <w:p w14:paraId="429D1085" w14:textId="77777777" w:rsidR="00100CFD" w:rsidRPr="00E412D4" w:rsidRDefault="00100CFD" w:rsidP="0055634E">
            <w:pPr>
              <w:pStyle w:val="ListParagraph"/>
              <w:numPr>
                <w:ilvl w:val="0"/>
                <w:numId w:val="23"/>
              </w:numPr>
              <w:spacing w:after="0" w:line="240" w:lineRule="auto"/>
              <w:ind w:left="87" w:hanging="87"/>
              <w:rPr>
                <w:rFonts w:cs="Arial"/>
                <w:b/>
                <w:sz w:val="18"/>
                <w:szCs w:val="18"/>
              </w:rPr>
            </w:pPr>
            <w:r w:rsidRPr="00E412D4">
              <w:rPr>
                <w:rFonts w:cs="Arial"/>
                <w:b/>
                <w:sz w:val="18"/>
                <w:szCs w:val="18"/>
              </w:rPr>
              <w:t>6-10</w:t>
            </w:r>
          </w:p>
          <w:p w14:paraId="1E8F9E9A" w14:textId="77777777" w:rsidR="00100CFD" w:rsidRPr="00E412D4" w:rsidRDefault="00100CFD" w:rsidP="0055634E">
            <w:pPr>
              <w:pStyle w:val="ListParagraph"/>
              <w:numPr>
                <w:ilvl w:val="0"/>
                <w:numId w:val="23"/>
              </w:numPr>
              <w:spacing w:after="0" w:line="240" w:lineRule="auto"/>
              <w:ind w:left="87" w:hanging="87"/>
              <w:rPr>
                <w:rFonts w:cs="Arial"/>
                <w:b/>
                <w:sz w:val="18"/>
                <w:szCs w:val="18"/>
              </w:rPr>
            </w:pPr>
            <w:r w:rsidRPr="00E412D4">
              <w:rPr>
                <w:rFonts w:cs="Arial"/>
                <w:b/>
                <w:sz w:val="18"/>
                <w:szCs w:val="18"/>
              </w:rPr>
              <w:t>11 and more</w:t>
            </w:r>
          </w:p>
        </w:tc>
        <w:tc>
          <w:tcPr>
            <w:tcW w:w="1267" w:type="dxa"/>
            <w:shd w:val="clear" w:color="auto" w:fill="D9D9D9" w:themeFill="background1" w:themeFillShade="D9"/>
          </w:tcPr>
          <w:p w14:paraId="06C43D16" w14:textId="77777777" w:rsidR="00100CFD" w:rsidRPr="00E412D4" w:rsidRDefault="00100CFD" w:rsidP="00100CFD">
            <w:pPr>
              <w:contextualSpacing/>
              <w:rPr>
                <w:rFonts w:cs="Arial"/>
                <w:b/>
                <w:sz w:val="18"/>
                <w:szCs w:val="18"/>
              </w:rPr>
            </w:pPr>
            <w:r w:rsidRPr="00E412D4">
              <w:rPr>
                <w:rFonts w:cs="Arial"/>
                <w:b/>
                <w:sz w:val="18"/>
                <w:szCs w:val="18"/>
              </w:rPr>
              <w:t>6. Situation:</w:t>
            </w:r>
          </w:p>
          <w:p w14:paraId="31681EE1" w14:textId="77777777" w:rsidR="00100CFD" w:rsidRPr="00E412D4" w:rsidRDefault="00100CFD" w:rsidP="0055634E">
            <w:pPr>
              <w:pStyle w:val="ListParagraph"/>
              <w:numPr>
                <w:ilvl w:val="0"/>
                <w:numId w:val="23"/>
              </w:numPr>
              <w:spacing w:after="0" w:line="240" w:lineRule="auto"/>
              <w:ind w:left="87" w:hanging="87"/>
              <w:rPr>
                <w:rFonts w:cs="Arial"/>
                <w:b/>
                <w:sz w:val="18"/>
                <w:szCs w:val="18"/>
              </w:rPr>
            </w:pPr>
            <w:r w:rsidRPr="00E412D4">
              <w:rPr>
                <w:rFonts w:cs="Arial"/>
                <w:b/>
                <w:sz w:val="18"/>
                <w:szCs w:val="18"/>
              </w:rPr>
              <w:t>Private land</w:t>
            </w:r>
          </w:p>
          <w:p w14:paraId="027565D3" w14:textId="77777777" w:rsidR="00100CFD" w:rsidRPr="00E412D4" w:rsidRDefault="00100CFD" w:rsidP="0055634E">
            <w:pPr>
              <w:pStyle w:val="ListParagraph"/>
              <w:numPr>
                <w:ilvl w:val="0"/>
                <w:numId w:val="23"/>
              </w:numPr>
              <w:spacing w:after="0" w:line="240" w:lineRule="auto"/>
              <w:ind w:left="87" w:hanging="87"/>
              <w:rPr>
                <w:rFonts w:cs="Arial"/>
                <w:b/>
                <w:sz w:val="18"/>
                <w:szCs w:val="18"/>
              </w:rPr>
            </w:pPr>
            <w:r w:rsidRPr="00E412D4">
              <w:rPr>
                <w:rFonts w:cs="Arial"/>
                <w:b/>
                <w:sz w:val="18"/>
                <w:szCs w:val="18"/>
              </w:rPr>
              <w:t>Public land</w:t>
            </w:r>
          </w:p>
          <w:p w14:paraId="6CCFF916" w14:textId="77777777" w:rsidR="00100CFD" w:rsidRPr="00E412D4" w:rsidRDefault="00100CFD" w:rsidP="0055634E">
            <w:pPr>
              <w:pStyle w:val="ListParagraph"/>
              <w:numPr>
                <w:ilvl w:val="0"/>
                <w:numId w:val="23"/>
              </w:numPr>
              <w:spacing w:after="0" w:line="240" w:lineRule="auto"/>
              <w:ind w:left="87" w:hanging="87"/>
              <w:rPr>
                <w:rFonts w:cs="Arial"/>
                <w:b/>
                <w:sz w:val="18"/>
                <w:szCs w:val="18"/>
              </w:rPr>
            </w:pPr>
            <w:r w:rsidRPr="00E412D4">
              <w:rPr>
                <w:rFonts w:cs="Arial"/>
                <w:b/>
                <w:sz w:val="18"/>
                <w:szCs w:val="18"/>
              </w:rPr>
              <w:t>Mixed</w:t>
            </w:r>
          </w:p>
        </w:tc>
        <w:tc>
          <w:tcPr>
            <w:tcW w:w="1268" w:type="dxa"/>
            <w:shd w:val="clear" w:color="auto" w:fill="D9D9D9" w:themeFill="background1" w:themeFillShade="D9"/>
          </w:tcPr>
          <w:p w14:paraId="0193ABFF" w14:textId="77777777" w:rsidR="00100CFD" w:rsidRPr="00E412D4" w:rsidRDefault="00100CFD" w:rsidP="00100CFD">
            <w:pPr>
              <w:contextualSpacing/>
              <w:rPr>
                <w:rFonts w:cs="Arial"/>
                <w:b/>
                <w:sz w:val="18"/>
                <w:szCs w:val="18"/>
              </w:rPr>
            </w:pPr>
            <w:r w:rsidRPr="00E412D4">
              <w:rPr>
                <w:rFonts w:cs="Arial"/>
                <w:b/>
                <w:sz w:val="18"/>
                <w:szCs w:val="18"/>
              </w:rPr>
              <w:t>7. Access to services</w:t>
            </w:r>
          </w:p>
          <w:p w14:paraId="193A0884" w14:textId="77777777" w:rsidR="00100CFD" w:rsidRPr="00E412D4" w:rsidRDefault="00100CFD" w:rsidP="0055634E">
            <w:pPr>
              <w:pStyle w:val="ListParagraph"/>
              <w:numPr>
                <w:ilvl w:val="0"/>
                <w:numId w:val="23"/>
              </w:numPr>
              <w:spacing w:after="0" w:line="240" w:lineRule="auto"/>
              <w:ind w:left="87" w:hanging="87"/>
              <w:rPr>
                <w:rFonts w:cs="Arial"/>
                <w:b/>
                <w:sz w:val="18"/>
                <w:szCs w:val="18"/>
              </w:rPr>
            </w:pPr>
            <w:r w:rsidRPr="00E412D4">
              <w:rPr>
                <w:rFonts w:cs="Arial"/>
                <w:b/>
                <w:sz w:val="18"/>
                <w:szCs w:val="18"/>
              </w:rPr>
              <w:t>None</w:t>
            </w:r>
          </w:p>
          <w:p w14:paraId="6265703E" w14:textId="77777777" w:rsidR="00100CFD" w:rsidRPr="00E412D4" w:rsidRDefault="00100CFD" w:rsidP="0055634E">
            <w:pPr>
              <w:pStyle w:val="ListParagraph"/>
              <w:numPr>
                <w:ilvl w:val="0"/>
                <w:numId w:val="23"/>
              </w:numPr>
              <w:spacing w:after="0" w:line="240" w:lineRule="auto"/>
              <w:ind w:left="87" w:hanging="87"/>
              <w:rPr>
                <w:rFonts w:cs="Arial"/>
                <w:b/>
                <w:sz w:val="18"/>
                <w:szCs w:val="18"/>
              </w:rPr>
            </w:pPr>
            <w:r w:rsidRPr="00E412D4">
              <w:rPr>
                <w:rFonts w:cs="Arial"/>
                <w:b/>
                <w:sz w:val="18"/>
                <w:szCs w:val="18"/>
              </w:rPr>
              <w:t>Inadequate ratios</w:t>
            </w:r>
          </w:p>
          <w:p w14:paraId="688FDA04" w14:textId="77777777" w:rsidR="00100CFD" w:rsidRPr="00E412D4" w:rsidRDefault="00100CFD" w:rsidP="0055634E">
            <w:pPr>
              <w:pStyle w:val="ListParagraph"/>
              <w:numPr>
                <w:ilvl w:val="0"/>
                <w:numId w:val="23"/>
              </w:numPr>
              <w:spacing w:after="0" w:line="240" w:lineRule="auto"/>
              <w:ind w:left="87" w:hanging="87"/>
              <w:rPr>
                <w:rFonts w:cs="Arial"/>
                <w:b/>
                <w:sz w:val="18"/>
                <w:szCs w:val="18"/>
              </w:rPr>
            </w:pPr>
            <w:r w:rsidRPr="00E412D4">
              <w:rPr>
                <w:rFonts w:cs="Arial"/>
                <w:b/>
                <w:sz w:val="18"/>
                <w:szCs w:val="18"/>
              </w:rPr>
              <w:t>Adequate ratios</w:t>
            </w:r>
          </w:p>
          <w:p w14:paraId="71ABCBBA" w14:textId="77777777" w:rsidR="00100CFD" w:rsidRPr="00E412D4" w:rsidRDefault="00100CFD" w:rsidP="0055634E">
            <w:pPr>
              <w:pStyle w:val="ListParagraph"/>
              <w:numPr>
                <w:ilvl w:val="0"/>
                <w:numId w:val="23"/>
              </w:numPr>
              <w:spacing w:after="0" w:line="240" w:lineRule="auto"/>
              <w:ind w:left="87" w:hanging="87"/>
              <w:rPr>
                <w:rFonts w:cs="Arial"/>
                <w:b/>
                <w:sz w:val="18"/>
                <w:szCs w:val="18"/>
              </w:rPr>
            </w:pPr>
            <w:r w:rsidRPr="00E412D4">
              <w:rPr>
                <w:rFonts w:cs="Arial"/>
                <w:b/>
                <w:sz w:val="18"/>
                <w:szCs w:val="18"/>
              </w:rPr>
              <w:t>Good provision</w:t>
            </w:r>
          </w:p>
          <w:p w14:paraId="66B39D92" w14:textId="77777777" w:rsidR="00100CFD" w:rsidRPr="00E412D4" w:rsidRDefault="00100CFD" w:rsidP="00100CFD">
            <w:pPr>
              <w:contextualSpacing/>
              <w:rPr>
                <w:rFonts w:cs="Arial"/>
                <w:b/>
                <w:sz w:val="18"/>
                <w:szCs w:val="18"/>
              </w:rPr>
            </w:pPr>
          </w:p>
        </w:tc>
        <w:tc>
          <w:tcPr>
            <w:tcW w:w="1267" w:type="dxa"/>
            <w:shd w:val="clear" w:color="auto" w:fill="D9D9D9" w:themeFill="background1" w:themeFillShade="D9"/>
          </w:tcPr>
          <w:p w14:paraId="13B0E5C0" w14:textId="77777777" w:rsidR="00100CFD" w:rsidRPr="00E412D4" w:rsidRDefault="00100CFD" w:rsidP="00100CFD">
            <w:pPr>
              <w:contextualSpacing/>
              <w:rPr>
                <w:rFonts w:cs="Arial"/>
                <w:b/>
                <w:sz w:val="18"/>
                <w:szCs w:val="18"/>
              </w:rPr>
            </w:pPr>
            <w:r w:rsidRPr="00E412D4">
              <w:rPr>
                <w:rFonts w:cs="Arial"/>
                <w:b/>
                <w:sz w:val="18"/>
                <w:szCs w:val="18"/>
              </w:rPr>
              <w:t>8. Location:</w:t>
            </w:r>
          </w:p>
          <w:p w14:paraId="046AA5F5" w14:textId="77777777" w:rsidR="00100CFD" w:rsidRPr="00E412D4" w:rsidRDefault="00100CFD" w:rsidP="0055634E">
            <w:pPr>
              <w:pStyle w:val="ListParagraph"/>
              <w:numPr>
                <w:ilvl w:val="0"/>
                <w:numId w:val="23"/>
              </w:numPr>
              <w:spacing w:after="0" w:line="240" w:lineRule="auto"/>
              <w:ind w:left="87" w:hanging="87"/>
              <w:rPr>
                <w:rFonts w:cs="Arial"/>
                <w:b/>
                <w:sz w:val="18"/>
                <w:szCs w:val="18"/>
              </w:rPr>
            </w:pPr>
            <w:r w:rsidRPr="00E412D4">
              <w:rPr>
                <w:rFonts w:cs="Arial"/>
                <w:b/>
                <w:sz w:val="18"/>
                <w:szCs w:val="18"/>
              </w:rPr>
              <w:t>Rural</w:t>
            </w:r>
          </w:p>
          <w:p w14:paraId="0A6D6C1E" w14:textId="77777777" w:rsidR="00100CFD" w:rsidRPr="00E412D4" w:rsidRDefault="00100CFD" w:rsidP="0055634E">
            <w:pPr>
              <w:pStyle w:val="ListParagraph"/>
              <w:numPr>
                <w:ilvl w:val="0"/>
                <w:numId w:val="23"/>
              </w:numPr>
              <w:spacing w:after="0" w:line="240" w:lineRule="auto"/>
              <w:ind w:left="87" w:hanging="87"/>
              <w:rPr>
                <w:rFonts w:cs="Arial"/>
                <w:b/>
                <w:sz w:val="18"/>
                <w:szCs w:val="18"/>
              </w:rPr>
            </w:pPr>
            <w:r w:rsidRPr="00E412D4">
              <w:rPr>
                <w:rFonts w:cs="Arial"/>
                <w:b/>
                <w:sz w:val="18"/>
                <w:szCs w:val="18"/>
              </w:rPr>
              <w:t>Peripheral-</w:t>
            </w:r>
          </w:p>
          <w:p w14:paraId="22D972A6" w14:textId="77777777" w:rsidR="00100CFD" w:rsidRPr="00E412D4" w:rsidRDefault="00100CFD" w:rsidP="0055634E">
            <w:pPr>
              <w:pStyle w:val="ListParagraph"/>
              <w:numPr>
                <w:ilvl w:val="0"/>
                <w:numId w:val="23"/>
              </w:numPr>
              <w:spacing w:after="0" w:line="240" w:lineRule="auto"/>
              <w:ind w:left="87" w:hanging="87"/>
              <w:rPr>
                <w:rFonts w:cs="Arial"/>
                <w:b/>
                <w:sz w:val="18"/>
                <w:szCs w:val="18"/>
              </w:rPr>
            </w:pPr>
            <w:r w:rsidRPr="00E412D4">
              <w:rPr>
                <w:rFonts w:cs="Arial"/>
                <w:b/>
                <w:sz w:val="18"/>
                <w:szCs w:val="18"/>
              </w:rPr>
              <w:t>Well-located</w:t>
            </w:r>
          </w:p>
        </w:tc>
        <w:tc>
          <w:tcPr>
            <w:tcW w:w="1268" w:type="dxa"/>
            <w:shd w:val="clear" w:color="auto" w:fill="D9D9D9" w:themeFill="background1" w:themeFillShade="D9"/>
          </w:tcPr>
          <w:p w14:paraId="0B10032E" w14:textId="77777777" w:rsidR="00100CFD" w:rsidRPr="00E412D4" w:rsidRDefault="00100CFD" w:rsidP="00100CFD">
            <w:pPr>
              <w:contextualSpacing/>
              <w:rPr>
                <w:rFonts w:cs="Arial"/>
                <w:b/>
                <w:sz w:val="18"/>
                <w:szCs w:val="18"/>
              </w:rPr>
            </w:pPr>
            <w:r w:rsidRPr="00E412D4">
              <w:rPr>
                <w:rFonts w:cs="Arial"/>
                <w:b/>
                <w:sz w:val="18"/>
                <w:szCs w:val="18"/>
              </w:rPr>
              <w:t>9.Built Form:</w:t>
            </w:r>
          </w:p>
          <w:p w14:paraId="0056AA05" w14:textId="77777777" w:rsidR="00100CFD" w:rsidRPr="00E412D4" w:rsidRDefault="00100CFD" w:rsidP="0055634E">
            <w:pPr>
              <w:pStyle w:val="ListParagraph"/>
              <w:numPr>
                <w:ilvl w:val="0"/>
                <w:numId w:val="23"/>
              </w:numPr>
              <w:spacing w:after="0" w:line="240" w:lineRule="auto"/>
              <w:ind w:left="87" w:hanging="87"/>
              <w:rPr>
                <w:rFonts w:cs="Arial"/>
                <w:b/>
                <w:sz w:val="18"/>
                <w:szCs w:val="18"/>
              </w:rPr>
            </w:pPr>
            <w:r w:rsidRPr="00E412D4">
              <w:rPr>
                <w:rFonts w:cs="Arial"/>
                <w:b/>
                <w:sz w:val="18"/>
                <w:szCs w:val="18"/>
              </w:rPr>
              <w:t>Conventional materials</w:t>
            </w:r>
          </w:p>
          <w:p w14:paraId="17C53F09" w14:textId="77777777" w:rsidR="00100CFD" w:rsidRPr="00E412D4" w:rsidRDefault="00100CFD" w:rsidP="0055634E">
            <w:pPr>
              <w:pStyle w:val="ListParagraph"/>
              <w:numPr>
                <w:ilvl w:val="0"/>
                <w:numId w:val="23"/>
              </w:numPr>
              <w:spacing w:after="0" w:line="240" w:lineRule="auto"/>
              <w:ind w:left="87" w:hanging="87"/>
              <w:rPr>
                <w:rFonts w:cs="Arial"/>
                <w:b/>
                <w:sz w:val="18"/>
                <w:szCs w:val="18"/>
              </w:rPr>
            </w:pPr>
            <w:r w:rsidRPr="00E412D4">
              <w:rPr>
                <w:rFonts w:cs="Arial"/>
                <w:b/>
                <w:sz w:val="18"/>
                <w:szCs w:val="18"/>
              </w:rPr>
              <w:t>Informal materials</w:t>
            </w:r>
          </w:p>
          <w:p w14:paraId="050FFF1C" w14:textId="77777777" w:rsidR="00100CFD" w:rsidRPr="00E412D4" w:rsidRDefault="00100CFD" w:rsidP="0055634E">
            <w:pPr>
              <w:pStyle w:val="ListParagraph"/>
              <w:numPr>
                <w:ilvl w:val="0"/>
                <w:numId w:val="23"/>
              </w:numPr>
              <w:spacing w:after="0" w:line="240" w:lineRule="auto"/>
              <w:ind w:left="87" w:hanging="87"/>
              <w:rPr>
                <w:rFonts w:cs="Arial"/>
                <w:b/>
                <w:sz w:val="18"/>
                <w:szCs w:val="18"/>
              </w:rPr>
            </w:pPr>
            <w:r w:rsidRPr="00E412D4">
              <w:rPr>
                <w:rFonts w:cs="Arial"/>
                <w:b/>
                <w:sz w:val="18"/>
                <w:szCs w:val="18"/>
              </w:rPr>
              <w:t>Mixed</w:t>
            </w:r>
          </w:p>
          <w:p w14:paraId="51BA97EA" w14:textId="77777777" w:rsidR="00100CFD" w:rsidRPr="00E412D4" w:rsidRDefault="00100CFD" w:rsidP="00100CFD">
            <w:pPr>
              <w:contextualSpacing/>
              <w:rPr>
                <w:rFonts w:cs="Arial"/>
                <w:b/>
                <w:sz w:val="18"/>
                <w:szCs w:val="18"/>
              </w:rPr>
            </w:pPr>
          </w:p>
        </w:tc>
        <w:tc>
          <w:tcPr>
            <w:tcW w:w="1267" w:type="dxa"/>
            <w:shd w:val="clear" w:color="auto" w:fill="D9D9D9" w:themeFill="background1" w:themeFillShade="D9"/>
          </w:tcPr>
          <w:p w14:paraId="7E62C79F" w14:textId="77777777" w:rsidR="00100CFD" w:rsidRPr="00E412D4" w:rsidRDefault="00100CFD" w:rsidP="00100CFD">
            <w:pPr>
              <w:contextualSpacing/>
              <w:rPr>
                <w:rFonts w:cs="Arial"/>
                <w:b/>
                <w:sz w:val="18"/>
                <w:szCs w:val="18"/>
              </w:rPr>
            </w:pPr>
            <w:r w:rsidRPr="00E412D4">
              <w:rPr>
                <w:rFonts w:cs="Arial"/>
                <w:b/>
                <w:sz w:val="18"/>
                <w:szCs w:val="18"/>
              </w:rPr>
              <w:t>10. Role in urban system:</w:t>
            </w:r>
          </w:p>
        </w:tc>
        <w:tc>
          <w:tcPr>
            <w:tcW w:w="1268" w:type="dxa"/>
            <w:shd w:val="clear" w:color="auto" w:fill="D9D9D9" w:themeFill="background1" w:themeFillShade="D9"/>
          </w:tcPr>
          <w:p w14:paraId="2E912C74" w14:textId="77777777" w:rsidR="00100CFD" w:rsidRPr="00E412D4" w:rsidRDefault="00100CFD" w:rsidP="00100CFD">
            <w:pPr>
              <w:contextualSpacing/>
              <w:rPr>
                <w:rFonts w:cs="Arial"/>
                <w:b/>
                <w:sz w:val="18"/>
                <w:szCs w:val="18"/>
              </w:rPr>
            </w:pPr>
            <w:r w:rsidRPr="00E412D4">
              <w:rPr>
                <w:rFonts w:cs="Arial"/>
                <w:b/>
                <w:sz w:val="18"/>
                <w:szCs w:val="18"/>
              </w:rPr>
              <w:t>11 Socio-economic levels:</w:t>
            </w:r>
          </w:p>
          <w:p w14:paraId="12632434" w14:textId="77777777" w:rsidR="00100CFD" w:rsidRPr="00E412D4" w:rsidRDefault="00100CFD" w:rsidP="0055634E">
            <w:pPr>
              <w:pStyle w:val="ListParagraph"/>
              <w:numPr>
                <w:ilvl w:val="0"/>
                <w:numId w:val="23"/>
              </w:numPr>
              <w:spacing w:after="0" w:line="240" w:lineRule="auto"/>
              <w:rPr>
                <w:rFonts w:cs="Arial"/>
                <w:b/>
                <w:sz w:val="18"/>
                <w:szCs w:val="18"/>
              </w:rPr>
            </w:pPr>
          </w:p>
        </w:tc>
        <w:tc>
          <w:tcPr>
            <w:tcW w:w="1268" w:type="dxa"/>
            <w:shd w:val="clear" w:color="auto" w:fill="D9D9D9" w:themeFill="background1" w:themeFillShade="D9"/>
          </w:tcPr>
          <w:p w14:paraId="00708C00" w14:textId="77777777" w:rsidR="00100CFD" w:rsidRPr="00E412D4" w:rsidRDefault="00100CFD" w:rsidP="00100CFD">
            <w:pPr>
              <w:contextualSpacing/>
              <w:rPr>
                <w:rFonts w:cs="Arial"/>
                <w:b/>
                <w:sz w:val="18"/>
                <w:szCs w:val="18"/>
              </w:rPr>
            </w:pPr>
            <w:r w:rsidRPr="00E412D4">
              <w:rPr>
                <w:rFonts w:cs="Arial"/>
                <w:b/>
                <w:sz w:val="18"/>
                <w:szCs w:val="18"/>
              </w:rPr>
              <w:t>12. Governance and Leadership</w:t>
            </w:r>
          </w:p>
        </w:tc>
      </w:tr>
      <w:tr w:rsidR="00100CFD" w:rsidRPr="00E412D4" w14:paraId="018C72F6" w14:textId="77777777" w:rsidTr="00100CFD">
        <w:tc>
          <w:tcPr>
            <w:tcW w:w="1267" w:type="dxa"/>
          </w:tcPr>
          <w:p w14:paraId="3707B5F9" w14:textId="77777777" w:rsidR="00100CFD" w:rsidRPr="00E412D4" w:rsidRDefault="00100CFD" w:rsidP="00100CFD">
            <w:pPr>
              <w:contextualSpacing/>
              <w:rPr>
                <w:rFonts w:cs="Arial"/>
                <w:sz w:val="18"/>
                <w:szCs w:val="18"/>
              </w:rPr>
            </w:pPr>
            <w:r>
              <w:rPr>
                <w:rFonts w:cs="Arial"/>
                <w:sz w:val="18"/>
                <w:szCs w:val="18"/>
              </w:rPr>
              <w:t>2</w:t>
            </w:r>
            <w:r w:rsidRPr="00E412D4">
              <w:rPr>
                <w:rFonts w:cs="Arial"/>
                <w:sz w:val="18"/>
                <w:szCs w:val="18"/>
              </w:rPr>
              <w:t>.</w:t>
            </w:r>
            <w:r>
              <w:rPr>
                <w:rFonts w:cs="Arial"/>
                <w:sz w:val="18"/>
                <w:szCs w:val="18"/>
              </w:rPr>
              <w:t>1</w:t>
            </w:r>
            <w:r w:rsidRPr="00E412D4">
              <w:rPr>
                <w:rFonts w:cs="Arial"/>
                <w:sz w:val="18"/>
                <w:szCs w:val="18"/>
              </w:rPr>
              <w:t xml:space="preserve"> Gumtree, Ethekwini</w:t>
            </w:r>
          </w:p>
        </w:tc>
        <w:tc>
          <w:tcPr>
            <w:tcW w:w="1268" w:type="dxa"/>
          </w:tcPr>
          <w:p w14:paraId="3DDCF1BE" w14:textId="77777777" w:rsidR="00100CFD" w:rsidRPr="00E412D4" w:rsidRDefault="00100CFD" w:rsidP="00100CFD">
            <w:pPr>
              <w:contextualSpacing/>
              <w:rPr>
                <w:rFonts w:cs="Arial"/>
                <w:sz w:val="18"/>
                <w:szCs w:val="18"/>
              </w:rPr>
            </w:pPr>
            <w:r w:rsidRPr="00E412D4">
              <w:rPr>
                <w:rFonts w:cs="Arial"/>
                <w:sz w:val="18"/>
                <w:szCs w:val="18"/>
              </w:rPr>
              <w:t>Steep slope</w:t>
            </w:r>
          </w:p>
        </w:tc>
        <w:tc>
          <w:tcPr>
            <w:tcW w:w="1267" w:type="dxa"/>
          </w:tcPr>
          <w:p w14:paraId="6032C928" w14:textId="77777777" w:rsidR="00100CFD" w:rsidRPr="00E412D4" w:rsidRDefault="00100CFD" w:rsidP="00100CFD">
            <w:pPr>
              <w:ind w:left="-121"/>
              <w:contextualSpacing/>
              <w:jc w:val="center"/>
              <w:rPr>
                <w:rFonts w:cs="Arial"/>
                <w:sz w:val="18"/>
                <w:szCs w:val="18"/>
              </w:rPr>
            </w:pPr>
            <w:r w:rsidRPr="00E412D4">
              <w:rPr>
                <w:rFonts w:cs="Arial"/>
                <w:sz w:val="18"/>
                <w:szCs w:val="18"/>
              </w:rPr>
              <w:t>Low density</w:t>
            </w:r>
          </w:p>
        </w:tc>
        <w:tc>
          <w:tcPr>
            <w:tcW w:w="1268" w:type="dxa"/>
          </w:tcPr>
          <w:p w14:paraId="175BFA25" w14:textId="77777777" w:rsidR="00100CFD" w:rsidRPr="00E412D4" w:rsidRDefault="00100CFD" w:rsidP="00100CFD">
            <w:pPr>
              <w:contextualSpacing/>
              <w:rPr>
                <w:rFonts w:cs="Arial"/>
                <w:sz w:val="18"/>
                <w:szCs w:val="18"/>
              </w:rPr>
            </w:pPr>
            <w:r w:rsidRPr="00E412D4">
              <w:rPr>
                <w:rFonts w:cs="Arial"/>
                <w:sz w:val="18"/>
                <w:szCs w:val="18"/>
              </w:rPr>
              <w:t>Medium sized</w:t>
            </w:r>
          </w:p>
        </w:tc>
        <w:tc>
          <w:tcPr>
            <w:tcW w:w="1267" w:type="dxa"/>
          </w:tcPr>
          <w:p w14:paraId="3E982586" w14:textId="659E7159" w:rsidR="00100CFD" w:rsidRPr="00E412D4" w:rsidRDefault="008B47BF" w:rsidP="00100CFD">
            <w:pPr>
              <w:contextualSpacing/>
              <w:rPr>
                <w:rFonts w:cs="Arial"/>
                <w:sz w:val="18"/>
                <w:szCs w:val="18"/>
              </w:rPr>
            </w:pPr>
            <w:r>
              <w:rPr>
                <w:rFonts w:cs="Arial"/>
                <w:sz w:val="18"/>
                <w:szCs w:val="18"/>
              </w:rPr>
              <w:t>Recogniz</w:t>
            </w:r>
            <w:r w:rsidR="00100CFD" w:rsidRPr="00E412D4">
              <w:rPr>
                <w:rFonts w:cs="Arial"/>
                <w:sz w:val="18"/>
                <w:szCs w:val="18"/>
              </w:rPr>
              <w:t>ed/secure tenure</w:t>
            </w:r>
          </w:p>
        </w:tc>
        <w:tc>
          <w:tcPr>
            <w:tcW w:w="1268" w:type="dxa"/>
          </w:tcPr>
          <w:p w14:paraId="6DE4557A" w14:textId="77777777" w:rsidR="00100CFD" w:rsidRPr="00E412D4" w:rsidRDefault="00100CFD" w:rsidP="00100CFD">
            <w:pPr>
              <w:contextualSpacing/>
              <w:rPr>
                <w:rFonts w:cs="Arial"/>
                <w:sz w:val="18"/>
                <w:szCs w:val="18"/>
              </w:rPr>
            </w:pPr>
            <w:r w:rsidRPr="00E412D4">
              <w:rPr>
                <w:rFonts w:cs="Arial"/>
                <w:sz w:val="18"/>
                <w:szCs w:val="18"/>
              </w:rPr>
              <w:t>11 and more (1980s)</w:t>
            </w:r>
          </w:p>
        </w:tc>
        <w:tc>
          <w:tcPr>
            <w:tcW w:w="1267" w:type="dxa"/>
          </w:tcPr>
          <w:p w14:paraId="6BB01451" w14:textId="77777777" w:rsidR="00100CFD" w:rsidRPr="00E412D4" w:rsidRDefault="00100CFD" w:rsidP="00100CFD">
            <w:pPr>
              <w:contextualSpacing/>
              <w:rPr>
                <w:rFonts w:cs="Arial"/>
                <w:sz w:val="18"/>
                <w:szCs w:val="18"/>
              </w:rPr>
            </w:pPr>
            <w:r w:rsidRPr="00E412D4">
              <w:rPr>
                <w:rFonts w:cs="Arial"/>
                <w:sz w:val="18"/>
                <w:szCs w:val="18"/>
              </w:rPr>
              <w:t>Mixed</w:t>
            </w:r>
          </w:p>
        </w:tc>
        <w:tc>
          <w:tcPr>
            <w:tcW w:w="1268" w:type="dxa"/>
          </w:tcPr>
          <w:p w14:paraId="5D084FF3" w14:textId="77777777" w:rsidR="00100CFD" w:rsidRPr="00E412D4" w:rsidRDefault="00100CFD" w:rsidP="00100CFD">
            <w:pPr>
              <w:contextualSpacing/>
              <w:rPr>
                <w:rFonts w:cs="Arial"/>
                <w:sz w:val="18"/>
                <w:szCs w:val="18"/>
              </w:rPr>
            </w:pPr>
            <w:r w:rsidRPr="00E412D4">
              <w:rPr>
                <w:rFonts w:cs="Arial"/>
                <w:sz w:val="18"/>
                <w:szCs w:val="18"/>
              </w:rPr>
              <w:t>None</w:t>
            </w:r>
          </w:p>
        </w:tc>
        <w:tc>
          <w:tcPr>
            <w:tcW w:w="1267" w:type="dxa"/>
          </w:tcPr>
          <w:p w14:paraId="22F0061B" w14:textId="77777777" w:rsidR="00100CFD" w:rsidRPr="00E412D4" w:rsidRDefault="00100CFD" w:rsidP="00100CFD">
            <w:pPr>
              <w:contextualSpacing/>
              <w:rPr>
                <w:rFonts w:cs="Arial"/>
                <w:sz w:val="18"/>
                <w:szCs w:val="18"/>
              </w:rPr>
            </w:pPr>
            <w:r w:rsidRPr="00E412D4">
              <w:rPr>
                <w:rFonts w:cs="Arial"/>
                <w:sz w:val="18"/>
                <w:szCs w:val="18"/>
              </w:rPr>
              <w:t>Well-located</w:t>
            </w:r>
          </w:p>
        </w:tc>
        <w:tc>
          <w:tcPr>
            <w:tcW w:w="1268" w:type="dxa"/>
          </w:tcPr>
          <w:p w14:paraId="6D26F1B4" w14:textId="77777777" w:rsidR="00100CFD" w:rsidRPr="00E412D4" w:rsidRDefault="00100CFD" w:rsidP="00100CFD">
            <w:pPr>
              <w:contextualSpacing/>
              <w:rPr>
                <w:rFonts w:cs="Arial"/>
                <w:sz w:val="18"/>
                <w:szCs w:val="18"/>
              </w:rPr>
            </w:pPr>
            <w:r w:rsidRPr="00E412D4">
              <w:rPr>
                <w:rFonts w:cs="Arial"/>
                <w:sz w:val="18"/>
                <w:szCs w:val="18"/>
              </w:rPr>
              <w:t>Informal materials</w:t>
            </w:r>
          </w:p>
        </w:tc>
        <w:tc>
          <w:tcPr>
            <w:tcW w:w="1267" w:type="dxa"/>
          </w:tcPr>
          <w:p w14:paraId="0A137391" w14:textId="77777777" w:rsidR="00100CFD" w:rsidRPr="00E412D4" w:rsidRDefault="00100CFD" w:rsidP="00100CFD">
            <w:pPr>
              <w:contextualSpacing/>
              <w:rPr>
                <w:rFonts w:cs="Arial"/>
                <w:sz w:val="18"/>
                <w:szCs w:val="18"/>
              </w:rPr>
            </w:pPr>
            <w:r w:rsidRPr="00E412D4">
              <w:rPr>
                <w:rFonts w:cs="Arial"/>
                <w:sz w:val="18"/>
                <w:szCs w:val="18"/>
              </w:rPr>
              <w:t>Foothold</w:t>
            </w:r>
          </w:p>
        </w:tc>
        <w:tc>
          <w:tcPr>
            <w:tcW w:w="1268" w:type="dxa"/>
          </w:tcPr>
          <w:p w14:paraId="274527D1" w14:textId="77777777" w:rsidR="00100CFD" w:rsidRPr="00E412D4" w:rsidRDefault="00100CFD" w:rsidP="00100CFD">
            <w:pPr>
              <w:contextualSpacing/>
              <w:rPr>
                <w:rFonts w:cs="Arial"/>
                <w:sz w:val="18"/>
                <w:szCs w:val="18"/>
              </w:rPr>
            </w:pPr>
            <w:r w:rsidRPr="00E412D4">
              <w:rPr>
                <w:rFonts w:cs="Arial"/>
                <w:sz w:val="18"/>
                <w:szCs w:val="18"/>
              </w:rPr>
              <w:t>?</w:t>
            </w:r>
          </w:p>
        </w:tc>
        <w:tc>
          <w:tcPr>
            <w:tcW w:w="1268" w:type="dxa"/>
          </w:tcPr>
          <w:p w14:paraId="231541DD" w14:textId="77777777" w:rsidR="00100CFD" w:rsidRPr="00E412D4" w:rsidRDefault="00100CFD" w:rsidP="00100CFD">
            <w:pPr>
              <w:contextualSpacing/>
              <w:rPr>
                <w:rFonts w:cs="Arial"/>
                <w:sz w:val="18"/>
                <w:szCs w:val="18"/>
              </w:rPr>
            </w:pPr>
          </w:p>
        </w:tc>
      </w:tr>
      <w:tr w:rsidR="00100CFD" w:rsidRPr="00E412D4" w14:paraId="4FC0F8AF" w14:textId="77777777" w:rsidTr="00100CFD">
        <w:tc>
          <w:tcPr>
            <w:tcW w:w="1267" w:type="dxa"/>
          </w:tcPr>
          <w:p w14:paraId="0422F946" w14:textId="77777777" w:rsidR="00100CFD" w:rsidRPr="00E412D4" w:rsidRDefault="00100CFD" w:rsidP="00100CFD">
            <w:pPr>
              <w:contextualSpacing/>
              <w:rPr>
                <w:rFonts w:cs="Arial"/>
                <w:sz w:val="18"/>
                <w:szCs w:val="18"/>
              </w:rPr>
            </w:pPr>
            <w:r>
              <w:rPr>
                <w:rFonts w:cs="Arial"/>
                <w:sz w:val="18"/>
                <w:szCs w:val="18"/>
              </w:rPr>
              <w:t>2</w:t>
            </w:r>
            <w:r w:rsidRPr="00E412D4">
              <w:rPr>
                <w:rFonts w:cs="Arial"/>
                <w:sz w:val="18"/>
                <w:szCs w:val="18"/>
              </w:rPr>
              <w:t>.2 Diepsloot, Johannesburg</w:t>
            </w:r>
          </w:p>
        </w:tc>
        <w:tc>
          <w:tcPr>
            <w:tcW w:w="1268" w:type="dxa"/>
          </w:tcPr>
          <w:p w14:paraId="4CC1A4DB" w14:textId="77777777" w:rsidR="00100CFD" w:rsidRPr="00E412D4" w:rsidRDefault="00100CFD" w:rsidP="00100CFD">
            <w:pPr>
              <w:contextualSpacing/>
              <w:rPr>
                <w:rFonts w:cs="Arial"/>
                <w:sz w:val="18"/>
                <w:szCs w:val="18"/>
              </w:rPr>
            </w:pPr>
            <w:r w:rsidRPr="00E412D4">
              <w:rPr>
                <w:rFonts w:cs="Arial"/>
                <w:sz w:val="18"/>
                <w:szCs w:val="18"/>
              </w:rPr>
              <w:t>n/a</w:t>
            </w:r>
          </w:p>
        </w:tc>
        <w:tc>
          <w:tcPr>
            <w:tcW w:w="1267" w:type="dxa"/>
          </w:tcPr>
          <w:p w14:paraId="3BDE5443" w14:textId="77777777" w:rsidR="00100CFD" w:rsidRPr="00E412D4" w:rsidRDefault="00100CFD" w:rsidP="00100CFD">
            <w:pPr>
              <w:ind w:left="-93"/>
              <w:contextualSpacing/>
              <w:jc w:val="center"/>
              <w:rPr>
                <w:rFonts w:cs="Arial"/>
                <w:sz w:val="18"/>
                <w:szCs w:val="18"/>
              </w:rPr>
            </w:pPr>
            <w:r w:rsidRPr="00E412D4">
              <w:rPr>
                <w:rFonts w:cs="Arial"/>
                <w:sz w:val="18"/>
                <w:szCs w:val="18"/>
              </w:rPr>
              <w:t>High Density</w:t>
            </w:r>
          </w:p>
        </w:tc>
        <w:tc>
          <w:tcPr>
            <w:tcW w:w="1268" w:type="dxa"/>
          </w:tcPr>
          <w:p w14:paraId="5B535BBD" w14:textId="77777777" w:rsidR="00100CFD" w:rsidRPr="00E412D4" w:rsidRDefault="00100CFD" w:rsidP="00100CFD">
            <w:pPr>
              <w:contextualSpacing/>
              <w:rPr>
                <w:rFonts w:cs="Arial"/>
                <w:sz w:val="18"/>
                <w:szCs w:val="18"/>
              </w:rPr>
            </w:pPr>
            <w:r w:rsidRPr="00E412D4">
              <w:rPr>
                <w:rFonts w:cs="Arial"/>
                <w:sz w:val="18"/>
                <w:szCs w:val="18"/>
              </w:rPr>
              <w:t>Large, 58 000</w:t>
            </w:r>
          </w:p>
        </w:tc>
        <w:tc>
          <w:tcPr>
            <w:tcW w:w="1267" w:type="dxa"/>
          </w:tcPr>
          <w:p w14:paraId="27F353DA" w14:textId="0A6F584C" w:rsidR="00100CFD" w:rsidRPr="00E412D4" w:rsidRDefault="008B47BF" w:rsidP="00100CFD">
            <w:pPr>
              <w:contextualSpacing/>
              <w:rPr>
                <w:rFonts w:cs="Arial"/>
                <w:sz w:val="18"/>
                <w:szCs w:val="18"/>
              </w:rPr>
            </w:pPr>
            <w:r>
              <w:rPr>
                <w:rFonts w:cs="Arial"/>
                <w:sz w:val="18"/>
                <w:szCs w:val="18"/>
              </w:rPr>
              <w:t>Recogniz</w:t>
            </w:r>
            <w:r w:rsidR="00100CFD" w:rsidRPr="00E412D4">
              <w:rPr>
                <w:rFonts w:cs="Arial"/>
                <w:sz w:val="18"/>
                <w:szCs w:val="18"/>
              </w:rPr>
              <w:t>ed/secure tenure</w:t>
            </w:r>
          </w:p>
        </w:tc>
        <w:tc>
          <w:tcPr>
            <w:tcW w:w="1268" w:type="dxa"/>
          </w:tcPr>
          <w:p w14:paraId="3CE4A524" w14:textId="77777777" w:rsidR="00100CFD" w:rsidRPr="00E412D4" w:rsidRDefault="00100CFD" w:rsidP="00100CFD">
            <w:pPr>
              <w:contextualSpacing/>
              <w:rPr>
                <w:rFonts w:cs="Arial"/>
                <w:sz w:val="18"/>
                <w:szCs w:val="18"/>
              </w:rPr>
            </w:pPr>
            <w:r w:rsidRPr="00E412D4">
              <w:rPr>
                <w:rFonts w:cs="Arial"/>
                <w:sz w:val="18"/>
                <w:szCs w:val="18"/>
              </w:rPr>
              <w:t>11 and more (1995)</w:t>
            </w:r>
          </w:p>
        </w:tc>
        <w:tc>
          <w:tcPr>
            <w:tcW w:w="1267" w:type="dxa"/>
          </w:tcPr>
          <w:p w14:paraId="2AA032D7" w14:textId="77777777" w:rsidR="00100CFD" w:rsidRPr="00E412D4" w:rsidRDefault="00100CFD" w:rsidP="00100CFD">
            <w:pPr>
              <w:contextualSpacing/>
              <w:rPr>
                <w:rFonts w:cs="Arial"/>
                <w:sz w:val="18"/>
                <w:szCs w:val="18"/>
              </w:rPr>
            </w:pPr>
            <w:r w:rsidRPr="00E412D4">
              <w:rPr>
                <w:rFonts w:cs="Arial"/>
                <w:sz w:val="18"/>
                <w:szCs w:val="18"/>
              </w:rPr>
              <w:t>Mixed</w:t>
            </w:r>
          </w:p>
        </w:tc>
        <w:tc>
          <w:tcPr>
            <w:tcW w:w="1268" w:type="dxa"/>
          </w:tcPr>
          <w:p w14:paraId="5ECB36FF" w14:textId="77777777" w:rsidR="00100CFD" w:rsidRPr="00E412D4" w:rsidRDefault="00100CFD" w:rsidP="00100CFD">
            <w:pPr>
              <w:contextualSpacing/>
              <w:rPr>
                <w:rFonts w:cs="Arial"/>
                <w:sz w:val="18"/>
                <w:szCs w:val="18"/>
              </w:rPr>
            </w:pPr>
            <w:r w:rsidRPr="00E412D4">
              <w:rPr>
                <w:rFonts w:cs="Arial"/>
                <w:sz w:val="18"/>
                <w:szCs w:val="18"/>
              </w:rPr>
              <w:t>-Inadequate (also highly variable)</w:t>
            </w:r>
          </w:p>
        </w:tc>
        <w:tc>
          <w:tcPr>
            <w:tcW w:w="1267" w:type="dxa"/>
          </w:tcPr>
          <w:p w14:paraId="3509CD1F" w14:textId="77777777" w:rsidR="00100CFD" w:rsidRPr="00E412D4" w:rsidRDefault="00100CFD" w:rsidP="00100CFD">
            <w:pPr>
              <w:contextualSpacing/>
              <w:rPr>
                <w:rFonts w:cs="Arial"/>
                <w:sz w:val="18"/>
                <w:szCs w:val="18"/>
              </w:rPr>
            </w:pPr>
            <w:r w:rsidRPr="00E412D4">
              <w:rPr>
                <w:rFonts w:cs="Arial"/>
                <w:sz w:val="18"/>
                <w:szCs w:val="18"/>
              </w:rPr>
              <w:t>Peripheral but well-located</w:t>
            </w:r>
          </w:p>
        </w:tc>
        <w:tc>
          <w:tcPr>
            <w:tcW w:w="1268" w:type="dxa"/>
          </w:tcPr>
          <w:p w14:paraId="540EFB19" w14:textId="77777777" w:rsidR="00100CFD" w:rsidRPr="00E412D4" w:rsidRDefault="00100CFD" w:rsidP="00100CFD">
            <w:pPr>
              <w:contextualSpacing/>
              <w:rPr>
                <w:rFonts w:cs="Arial"/>
                <w:sz w:val="18"/>
                <w:szCs w:val="18"/>
              </w:rPr>
            </w:pPr>
            <w:r w:rsidRPr="00E412D4">
              <w:rPr>
                <w:rFonts w:cs="Arial"/>
                <w:sz w:val="18"/>
                <w:szCs w:val="18"/>
              </w:rPr>
              <w:t>-Mixed</w:t>
            </w:r>
          </w:p>
        </w:tc>
        <w:tc>
          <w:tcPr>
            <w:tcW w:w="1267" w:type="dxa"/>
          </w:tcPr>
          <w:p w14:paraId="5DC3C9F1" w14:textId="77777777" w:rsidR="00100CFD" w:rsidRPr="00E412D4" w:rsidRDefault="00100CFD" w:rsidP="00100CFD">
            <w:pPr>
              <w:contextualSpacing/>
              <w:rPr>
                <w:rFonts w:cs="Arial"/>
                <w:sz w:val="18"/>
                <w:szCs w:val="18"/>
              </w:rPr>
            </w:pPr>
            <w:r w:rsidRPr="00E412D4">
              <w:rPr>
                <w:rFonts w:cs="Arial"/>
                <w:sz w:val="18"/>
                <w:szCs w:val="18"/>
              </w:rPr>
              <w:t>Foothold</w:t>
            </w:r>
          </w:p>
        </w:tc>
        <w:tc>
          <w:tcPr>
            <w:tcW w:w="1268" w:type="dxa"/>
          </w:tcPr>
          <w:p w14:paraId="3B2716EA" w14:textId="77777777" w:rsidR="00100CFD" w:rsidRPr="00E412D4" w:rsidRDefault="00100CFD" w:rsidP="00100CFD">
            <w:pPr>
              <w:contextualSpacing/>
              <w:rPr>
                <w:rFonts w:cs="Arial"/>
                <w:sz w:val="18"/>
                <w:szCs w:val="18"/>
              </w:rPr>
            </w:pPr>
            <w:r w:rsidRPr="00E412D4">
              <w:rPr>
                <w:rFonts w:cs="Arial"/>
                <w:sz w:val="18"/>
                <w:szCs w:val="18"/>
              </w:rPr>
              <w:t>Extremely poor</w:t>
            </w:r>
          </w:p>
        </w:tc>
        <w:tc>
          <w:tcPr>
            <w:tcW w:w="1268" w:type="dxa"/>
          </w:tcPr>
          <w:p w14:paraId="65A6EC37" w14:textId="77777777" w:rsidR="00100CFD" w:rsidRPr="00E412D4" w:rsidRDefault="00100CFD" w:rsidP="00100CFD">
            <w:pPr>
              <w:contextualSpacing/>
              <w:rPr>
                <w:rFonts w:cs="Arial"/>
                <w:sz w:val="18"/>
                <w:szCs w:val="18"/>
              </w:rPr>
            </w:pPr>
            <w:r w:rsidRPr="00E412D4">
              <w:rPr>
                <w:rFonts w:cs="Arial"/>
                <w:sz w:val="18"/>
                <w:szCs w:val="18"/>
              </w:rPr>
              <w:t>Elected leadership but politically contested</w:t>
            </w:r>
          </w:p>
        </w:tc>
      </w:tr>
      <w:tr w:rsidR="00100CFD" w:rsidRPr="00E412D4" w14:paraId="2F9262A8" w14:textId="77777777" w:rsidTr="00100CFD">
        <w:tc>
          <w:tcPr>
            <w:tcW w:w="1267" w:type="dxa"/>
          </w:tcPr>
          <w:p w14:paraId="39113155" w14:textId="77777777" w:rsidR="00100CFD" w:rsidRPr="00E412D4" w:rsidRDefault="00100CFD" w:rsidP="00100CFD">
            <w:pPr>
              <w:contextualSpacing/>
              <w:rPr>
                <w:rFonts w:cs="Arial"/>
                <w:sz w:val="18"/>
                <w:szCs w:val="18"/>
              </w:rPr>
            </w:pPr>
            <w:r>
              <w:rPr>
                <w:rFonts w:cs="Arial"/>
                <w:sz w:val="18"/>
                <w:szCs w:val="18"/>
              </w:rPr>
              <w:t>2</w:t>
            </w:r>
            <w:r w:rsidRPr="00E412D4">
              <w:rPr>
                <w:rFonts w:cs="Arial"/>
                <w:sz w:val="18"/>
                <w:szCs w:val="18"/>
              </w:rPr>
              <w:t>.3 Imizamo Yethu, Hout Bay</w:t>
            </w:r>
          </w:p>
          <w:p w14:paraId="639E68F6" w14:textId="77777777" w:rsidR="00100CFD" w:rsidRPr="00E412D4" w:rsidRDefault="00100CFD" w:rsidP="00100CFD">
            <w:pPr>
              <w:contextualSpacing/>
              <w:rPr>
                <w:rFonts w:cs="Arial"/>
                <w:sz w:val="18"/>
                <w:szCs w:val="18"/>
              </w:rPr>
            </w:pPr>
          </w:p>
        </w:tc>
        <w:tc>
          <w:tcPr>
            <w:tcW w:w="1268" w:type="dxa"/>
          </w:tcPr>
          <w:p w14:paraId="4F2D9276" w14:textId="77777777" w:rsidR="00100CFD" w:rsidRPr="00E412D4" w:rsidRDefault="00100CFD" w:rsidP="00100CFD">
            <w:pPr>
              <w:contextualSpacing/>
              <w:rPr>
                <w:rFonts w:cs="Arial"/>
                <w:sz w:val="18"/>
                <w:szCs w:val="18"/>
              </w:rPr>
            </w:pPr>
            <w:r w:rsidRPr="00E412D4">
              <w:rPr>
                <w:rFonts w:cs="Arial"/>
                <w:sz w:val="18"/>
                <w:szCs w:val="18"/>
              </w:rPr>
              <w:t>Steep slope</w:t>
            </w:r>
          </w:p>
        </w:tc>
        <w:tc>
          <w:tcPr>
            <w:tcW w:w="1267" w:type="dxa"/>
          </w:tcPr>
          <w:p w14:paraId="2258A4B1" w14:textId="77777777" w:rsidR="00100CFD" w:rsidRPr="00E412D4" w:rsidRDefault="00100CFD" w:rsidP="00100CFD">
            <w:pPr>
              <w:ind w:left="-93"/>
              <w:contextualSpacing/>
              <w:jc w:val="center"/>
              <w:rPr>
                <w:rFonts w:cs="Arial"/>
                <w:sz w:val="18"/>
                <w:szCs w:val="18"/>
              </w:rPr>
            </w:pPr>
            <w:r w:rsidRPr="00E412D4">
              <w:rPr>
                <w:rFonts w:cs="Arial"/>
                <w:sz w:val="18"/>
                <w:szCs w:val="18"/>
              </w:rPr>
              <w:t>High Density</w:t>
            </w:r>
          </w:p>
        </w:tc>
        <w:tc>
          <w:tcPr>
            <w:tcW w:w="1268" w:type="dxa"/>
          </w:tcPr>
          <w:p w14:paraId="3DB2DC63" w14:textId="77777777" w:rsidR="00100CFD" w:rsidRPr="00E412D4" w:rsidRDefault="00100CFD" w:rsidP="00100CFD">
            <w:pPr>
              <w:contextualSpacing/>
              <w:rPr>
                <w:rFonts w:cs="Arial"/>
                <w:sz w:val="18"/>
                <w:szCs w:val="18"/>
              </w:rPr>
            </w:pPr>
            <w:r w:rsidRPr="00E412D4">
              <w:rPr>
                <w:rFonts w:cs="Arial"/>
                <w:sz w:val="18"/>
                <w:szCs w:val="18"/>
              </w:rPr>
              <w:t>Large</w:t>
            </w:r>
          </w:p>
        </w:tc>
        <w:tc>
          <w:tcPr>
            <w:tcW w:w="1267" w:type="dxa"/>
          </w:tcPr>
          <w:p w14:paraId="11BDA3C0" w14:textId="6C9B23D6" w:rsidR="00100CFD" w:rsidRPr="00E412D4" w:rsidRDefault="008B47BF" w:rsidP="00100CFD">
            <w:pPr>
              <w:contextualSpacing/>
              <w:rPr>
                <w:rFonts w:cs="Arial"/>
                <w:sz w:val="18"/>
                <w:szCs w:val="18"/>
              </w:rPr>
            </w:pPr>
            <w:r>
              <w:rPr>
                <w:rFonts w:cs="Arial"/>
                <w:sz w:val="18"/>
                <w:szCs w:val="18"/>
              </w:rPr>
              <w:t>Recogniz</w:t>
            </w:r>
            <w:r w:rsidR="00100CFD" w:rsidRPr="00E412D4">
              <w:rPr>
                <w:rFonts w:cs="Arial"/>
                <w:sz w:val="18"/>
                <w:szCs w:val="18"/>
              </w:rPr>
              <w:t>ed/secure</w:t>
            </w:r>
          </w:p>
        </w:tc>
        <w:tc>
          <w:tcPr>
            <w:tcW w:w="1268" w:type="dxa"/>
          </w:tcPr>
          <w:p w14:paraId="333FB1CD" w14:textId="77777777" w:rsidR="00100CFD" w:rsidRPr="00E412D4" w:rsidRDefault="00100CFD" w:rsidP="00100CFD">
            <w:pPr>
              <w:rPr>
                <w:rFonts w:cs="Arial"/>
                <w:sz w:val="18"/>
                <w:szCs w:val="18"/>
              </w:rPr>
            </w:pPr>
            <w:r w:rsidRPr="00E412D4">
              <w:rPr>
                <w:rFonts w:cs="Arial"/>
                <w:sz w:val="18"/>
                <w:szCs w:val="18"/>
              </w:rPr>
              <w:t>11 and more (1970s)</w:t>
            </w:r>
          </w:p>
        </w:tc>
        <w:tc>
          <w:tcPr>
            <w:tcW w:w="1267" w:type="dxa"/>
          </w:tcPr>
          <w:p w14:paraId="2D94D007" w14:textId="77777777" w:rsidR="00100CFD" w:rsidRPr="00E412D4" w:rsidRDefault="00100CFD" w:rsidP="00100CFD">
            <w:pPr>
              <w:contextualSpacing/>
              <w:rPr>
                <w:rFonts w:cs="Arial"/>
                <w:sz w:val="18"/>
                <w:szCs w:val="18"/>
              </w:rPr>
            </w:pPr>
            <w:r w:rsidRPr="00E412D4">
              <w:rPr>
                <w:rFonts w:cs="Arial"/>
                <w:sz w:val="18"/>
                <w:szCs w:val="18"/>
              </w:rPr>
              <w:t>Public</w:t>
            </w:r>
          </w:p>
        </w:tc>
        <w:tc>
          <w:tcPr>
            <w:tcW w:w="1268" w:type="dxa"/>
          </w:tcPr>
          <w:p w14:paraId="40FD6C1E" w14:textId="77777777" w:rsidR="00100CFD" w:rsidRPr="00E412D4" w:rsidRDefault="00100CFD" w:rsidP="00100CFD">
            <w:pPr>
              <w:contextualSpacing/>
              <w:rPr>
                <w:rFonts w:cs="Arial"/>
                <w:sz w:val="18"/>
                <w:szCs w:val="18"/>
              </w:rPr>
            </w:pPr>
            <w:r w:rsidRPr="00E412D4">
              <w:rPr>
                <w:rFonts w:cs="Arial"/>
                <w:sz w:val="18"/>
                <w:szCs w:val="18"/>
              </w:rPr>
              <w:t>-Mixed</w:t>
            </w:r>
          </w:p>
        </w:tc>
        <w:tc>
          <w:tcPr>
            <w:tcW w:w="1267" w:type="dxa"/>
          </w:tcPr>
          <w:p w14:paraId="552990FD" w14:textId="77777777" w:rsidR="00100CFD" w:rsidRPr="00E412D4" w:rsidRDefault="00100CFD" w:rsidP="00100CFD">
            <w:pPr>
              <w:contextualSpacing/>
              <w:rPr>
                <w:rFonts w:cs="Arial"/>
                <w:sz w:val="18"/>
                <w:szCs w:val="18"/>
              </w:rPr>
            </w:pPr>
            <w:r w:rsidRPr="00E412D4">
              <w:rPr>
                <w:rFonts w:cs="Arial"/>
                <w:sz w:val="18"/>
                <w:szCs w:val="18"/>
              </w:rPr>
              <w:t>Well-located</w:t>
            </w:r>
          </w:p>
        </w:tc>
        <w:tc>
          <w:tcPr>
            <w:tcW w:w="1268" w:type="dxa"/>
          </w:tcPr>
          <w:p w14:paraId="36AC2ECD" w14:textId="77777777" w:rsidR="00100CFD" w:rsidRPr="00E412D4" w:rsidRDefault="00100CFD" w:rsidP="00100CFD">
            <w:pPr>
              <w:contextualSpacing/>
              <w:rPr>
                <w:rFonts w:cs="Arial"/>
                <w:sz w:val="18"/>
                <w:szCs w:val="18"/>
              </w:rPr>
            </w:pPr>
            <w:r w:rsidRPr="00E412D4">
              <w:rPr>
                <w:rFonts w:cs="Arial"/>
                <w:sz w:val="18"/>
                <w:szCs w:val="18"/>
              </w:rPr>
              <w:t>Informal materials</w:t>
            </w:r>
          </w:p>
        </w:tc>
        <w:tc>
          <w:tcPr>
            <w:tcW w:w="1267" w:type="dxa"/>
          </w:tcPr>
          <w:p w14:paraId="068C2FBD" w14:textId="77777777" w:rsidR="00100CFD" w:rsidRPr="00E412D4" w:rsidRDefault="00100CFD" w:rsidP="00100CFD">
            <w:pPr>
              <w:contextualSpacing/>
              <w:rPr>
                <w:rFonts w:cs="Arial"/>
                <w:sz w:val="18"/>
                <w:szCs w:val="18"/>
              </w:rPr>
            </w:pPr>
          </w:p>
        </w:tc>
        <w:tc>
          <w:tcPr>
            <w:tcW w:w="1268" w:type="dxa"/>
          </w:tcPr>
          <w:p w14:paraId="4B102127" w14:textId="77777777" w:rsidR="00100CFD" w:rsidRPr="00E412D4" w:rsidRDefault="00100CFD" w:rsidP="00100CFD">
            <w:pPr>
              <w:contextualSpacing/>
              <w:rPr>
                <w:rFonts w:cs="Arial"/>
                <w:sz w:val="18"/>
                <w:szCs w:val="18"/>
              </w:rPr>
            </w:pPr>
          </w:p>
        </w:tc>
        <w:tc>
          <w:tcPr>
            <w:tcW w:w="1268" w:type="dxa"/>
          </w:tcPr>
          <w:p w14:paraId="44D4B78D" w14:textId="77777777" w:rsidR="00100CFD" w:rsidRPr="00E412D4" w:rsidRDefault="00100CFD" w:rsidP="00100CFD">
            <w:pPr>
              <w:contextualSpacing/>
              <w:rPr>
                <w:rFonts w:cs="Arial"/>
                <w:sz w:val="18"/>
                <w:szCs w:val="18"/>
              </w:rPr>
            </w:pPr>
          </w:p>
        </w:tc>
      </w:tr>
      <w:tr w:rsidR="00100CFD" w:rsidRPr="00E412D4" w14:paraId="00EB9FB4" w14:textId="77777777" w:rsidTr="00100CFD">
        <w:tc>
          <w:tcPr>
            <w:tcW w:w="1267" w:type="dxa"/>
          </w:tcPr>
          <w:p w14:paraId="1DDF96FB" w14:textId="77777777" w:rsidR="00100CFD" w:rsidRPr="00E412D4" w:rsidRDefault="00100CFD" w:rsidP="00100CFD">
            <w:pPr>
              <w:contextualSpacing/>
              <w:rPr>
                <w:rFonts w:cs="Arial"/>
                <w:sz w:val="18"/>
                <w:szCs w:val="18"/>
              </w:rPr>
            </w:pPr>
            <w:r>
              <w:rPr>
                <w:rFonts w:cs="Arial"/>
                <w:sz w:val="18"/>
                <w:szCs w:val="18"/>
              </w:rPr>
              <w:t>2</w:t>
            </w:r>
            <w:r w:rsidRPr="00E412D4">
              <w:rPr>
                <w:rFonts w:cs="Arial"/>
                <w:sz w:val="18"/>
                <w:szCs w:val="18"/>
              </w:rPr>
              <w:t>.4 Langrug, Stellenbosch</w:t>
            </w:r>
          </w:p>
        </w:tc>
        <w:tc>
          <w:tcPr>
            <w:tcW w:w="1268" w:type="dxa"/>
          </w:tcPr>
          <w:p w14:paraId="25AFEDC2" w14:textId="77777777" w:rsidR="00100CFD" w:rsidRPr="00E412D4" w:rsidRDefault="00100CFD" w:rsidP="00100CFD">
            <w:pPr>
              <w:contextualSpacing/>
              <w:rPr>
                <w:rFonts w:cs="Arial"/>
                <w:sz w:val="18"/>
                <w:szCs w:val="18"/>
              </w:rPr>
            </w:pPr>
            <w:r w:rsidRPr="00E412D4">
              <w:rPr>
                <w:rFonts w:cs="Arial"/>
                <w:sz w:val="18"/>
                <w:szCs w:val="18"/>
              </w:rPr>
              <w:t>na</w:t>
            </w:r>
          </w:p>
        </w:tc>
        <w:tc>
          <w:tcPr>
            <w:tcW w:w="1267" w:type="dxa"/>
          </w:tcPr>
          <w:p w14:paraId="6940E565" w14:textId="77777777" w:rsidR="00100CFD" w:rsidRPr="00E412D4" w:rsidRDefault="00100CFD" w:rsidP="00100CFD">
            <w:pPr>
              <w:ind w:left="-93"/>
              <w:contextualSpacing/>
              <w:jc w:val="center"/>
              <w:rPr>
                <w:rFonts w:cs="Arial"/>
                <w:sz w:val="18"/>
                <w:szCs w:val="18"/>
              </w:rPr>
            </w:pPr>
            <w:r w:rsidRPr="00E412D4">
              <w:rPr>
                <w:rFonts w:cs="Arial"/>
                <w:sz w:val="18"/>
                <w:szCs w:val="18"/>
              </w:rPr>
              <w:t>Low Density</w:t>
            </w:r>
          </w:p>
        </w:tc>
        <w:tc>
          <w:tcPr>
            <w:tcW w:w="1268" w:type="dxa"/>
          </w:tcPr>
          <w:p w14:paraId="79AD3D30" w14:textId="77777777" w:rsidR="00100CFD" w:rsidRPr="00E412D4" w:rsidRDefault="00100CFD" w:rsidP="00100CFD">
            <w:pPr>
              <w:rPr>
                <w:rFonts w:cs="Arial"/>
                <w:sz w:val="18"/>
                <w:szCs w:val="18"/>
              </w:rPr>
            </w:pPr>
            <w:r w:rsidRPr="00E412D4">
              <w:rPr>
                <w:rFonts w:cs="Arial"/>
                <w:sz w:val="18"/>
                <w:szCs w:val="18"/>
              </w:rPr>
              <w:t>Large 1800 hh</w:t>
            </w:r>
          </w:p>
        </w:tc>
        <w:tc>
          <w:tcPr>
            <w:tcW w:w="1267" w:type="dxa"/>
          </w:tcPr>
          <w:p w14:paraId="0611510E" w14:textId="16BACCD8" w:rsidR="00100CFD" w:rsidRPr="00E412D4" w:rsidRDefault="00100CFD" w:rsidP="00100CFD">
            <w:pPr>
              <w:contextualSpacing/>
              <w:rPr>
                <w:rFonts w:cs="Arial"/>
                <w:sz w:val="18"/>
                <w:szCs w:val="18"/>
              </w:rPr>
            </w:pPr>
            <w:r w:rsidRPr="00E412D4">
              <w:rPr>
                <w:rFonts w:cs="Arial"/>
                <w:sz w:val="18"/>
                <w:szCs w:val="18"/>
              </w:rPr>
              <w:t xml:space="preserve">-Not </w:t>
            </w:r>
            <w:r w:rsidR="008B47BF">
              <w:rPr>
                <w:rFonts w:cs="Arial"/>
                <w:sz w:val="18"/>
                <w:szCs w:val="18"/>
              </w:rPr>
              <w:t>recogniz</w:t>
            </w:r>
            <w:r w:rsidRPr="00E412D4">
              <w:rPr>
                <w:rFonts w:cs="Arial"/>
                <w:sz w:val="18"/>
                <w:szCs w:val="18"/>
              </w:rPr>
              <w:t>ed/secure tenure</w:t>
            </w:r>
          </w:p>
        </w:tc>
        <w:tc>
          <w:tcPr>
            <w:tcW w:w="1268" w:type="dxa"/>
          </w:tcPr>
          <w:p w14:paraId="615F27E0" w14:textId="77777777" w:rsidR="00100CFD" w:rsidRPr="00E412D4" w:rsidRDefault="00100CFD" w:rsidP="00100CFD">
            <w:pPr>
              <w:contextualSpacing/>
              <w:rPr>
                <w:rFonts w:cs="Arial"/>
                <w:sz w:val="18"/>
                <w:szCs w:val="18"/>
              </w:rPr>
            </w:pPr>
            <w:r w:rsidRPr="00E412D4">
              <w:rPr>
                <w:rFonts w:cs="Arial"/>
                <w:sz w:val="18"/>
                <w:szCs w:val="18"/>
              </w:rPr>
              <w:t>11 and more (mid-1990s)</w:t>
            </w:r>
          </w:p>
        </w:tc>
        <w:tc>
          <w:tcPr>
            <w:tcW w:w="1267" w:type="dxa"/>
          </w:tcPr>
          <w:p w14:paraId="1A89B982" w14:textId="77777777" w:rsidR="00100CFD" w:rsidRPr="00E412D4" w:rsidRDefault="00100CFD" w:rsidP="00100CFD">
            <w:pPr>
              <w:contextualSpacing/>
              <w:rPr>
                <w:rFonts w:cs="Arial"/>
                <w:sz w:val="18"/>
                <w:szCs w:val="18"/>
              </w:rPr>
            </w:pPr>
            <w:r w:rsidRPr="00E412D4">
              <w:rPr>
                <w:rFonts w:cs="Arial"/>
                <w:sz w:val="18"/>
                <w:szCs w:val="18"/>
              </w:rPr>
              <w:t>Public land</w:t>
            </w:r>
          </w:p>
        </w:tc>
        <w:tc>
          <w:tcPr>
            <w:tcW w:w="1268" w:type="dxa"/>
          </w:tcPr>
          <w:p w14:paraId="309E70BE" w14:textId="77777777" w:rsidR="00100CFD" w:rsidRPr="00E412D4" w:rsidRDefault="00100CFD" w:rsidP="00100CFD">
            <w:pPr>
              <w:rPr>
                <w:rFonts w:cs="Arial"/>
                <w:sz w:val="18"/>
                <w:szCs w:val="18"/>
              </w:rPr>
            </w:pPr>
            <w:r w:rsidRPr="00E412D4">
              <w:rPr>
                <w:rFonts w:cs="Arial"/>
                <w:sz w:val="18"/>
                <w:szCs w:val="18"/>
              </w:rPr>
              <w:t>Inadequate ratios</w:t>
            </w:r>
          </w:p>
        </w:tc>
        <w:tc>
          <w:tcPr>
            <w:tcW w:w="1267" w:type="dxa"/>
          </w:tcPr>
          <w:p w14:paraId="4957EB8F" w14:textId="77777777" w:rsidR="00100CFD" w:rsidRPr="00E412D4" w:rsidRDefault="00100CFD" w:rsidP="00100CFD">
            <w:pPr>
              <w:contextualSpacing/>
              <w:rPr>
                <w:rFonts w:cs="Arial"/>
                <w:sz w:val="18"/>
                <w:szCs w:val="18"/>
              </w:rPr>
            </w:pPr>
            <w:r w:rsidRPr="00E412D4">
              <w:rPr>
                <w:rFonts w:cs="Arial"/>
                <w:sz w:val="18"/>
                <w:szCs w:val="18"/>
              </w:rPr>
              <w:t>Rural</w:t>
            </w:r>
          </w:p>
        </w:tc>
        <w:tc>
          <w:tcPr>
            <w:tcW w:w="1268" w:type="dxa"/>
          </w:tcPr>
          <w:p w14:paraId="4CF4B22D" w14:textId="77777777" w:rsidR="00100CFD" w:rsidRPr="00E412D4" w:rsidRDefault="00100CFD" w:rsidP="00100CFD">
            <w:pPr>
              <w:contextualSpacing/>
              <w:rPr>
                <w:rFonts w:cs="Arial"/>
                <w:sz w:val="18"/>
                <w:szCs w:val="18"/>
              </w:rPr>
            </w:pPr>
            <w:r w:rsidRPr="00E412D4">
              <w:rPr>
                <w:rFonts w:cs="Arial"/>
                <w:sz w:val="18"/>
                <w:szCs w:val="18"/>
              </w:rPr>
              <w:t>Informal materials</w:t>
            </w:r>
          </w:p>
        </w:tc>
        <w:tc>
          <w:tcPr>
            <w:tcW w:w="1267" w:type="dxa"/>
          </w:tcPr>
          <w:p w14:paraId="62645165" w14:textId="77777777" w:rsidR="00100CFD" w:rsidRPr="00E412D4" w:rsidRDefault="00100CFD" w:rsidP="00100CFD">
            <w:pPr>
              <w:contextualSpacing/>
              <w:rPr>
                <w:rFonts w:cs="Arial"/>
                <w:sz w:val="18"/>
                <w:szCs w:val="18"/>
              </w:rPr>
            </w:pPr>
            <w:r w:rsidRPr="00E412D4">
              <w:rPr>
                <w:rFonts w:cs="Arial"/>
                <w:sz w:val="18"/>
                <w:szCs w:val="18"/>
              </w:rPr>
              <w:t>Access to employment</w:t>
            </w:r>
          </w:p>
        </w:tc>
        <w:tc>
          <w:tcPr>
            <w:tcW w:w="1268" w:type="dxa"/>
          </w:tcPr>
          <w:p w14:paraId="3D9382DB" w14:textId="77777777" w:rsidR="00100CFD" w:rsidRPr="00E412D4" w:rsidRDefault="00100CFD" w:rsidP="00100CFD">
            <w:pPr>
              <w:contextualSpacing/>
              <w:rPr>
                <w:rFonts w:cs="Arial"/>
                <w:sz w:val="18"/>
                <w:szCs w:val="18"/>
              </w:rPr>
            </w:pPr>
            <w:r w:rsidRPr="00E412D4">
              <w:rPr>
                <w:rFonts w:cs="Arial"/>
                <w:sz w:val="18"/>
                <w:szCs w:val="18"/>
              </w:rPr>
              <w:t>Very low</w:t>
            </w:r>
          </w:p>
        </w:tc>
        <w:tc>
          <w:tcPr>
            <w:tcW w:w="1268" w:type="dxa"/>
          </w:tcPr>
          <w:p w14:paraId="5F0FEC5D" w14:textId="77777777" w:rsidR="00100CFD" w:rsidRPr="00E412D4" w:rsidRDefault="00100CFD" w:rsidP="00100CFD">
            <w:pPr>
              <w:contextualSpacing/>
              <w:rPr>
                <w:rFonts w:cs="Arial"/>
                <w:sz w:val="18"/>
                <w:szCs w:val="18"/>
              </w:rPr>
            </w:pPr>
            <w:r>
              <w:rPr>
                <w:rFonts w:cs="Arial"/>
                <w:sz w:val="18"/>
                <w:szCs w:val="18"/>
              </w:rPr>
              <w:t>H</w:t>
            </w:r>
          </w:p>
        </w:tc>
      </w:tr>
      <w:tr w:rsidR="00100CFD" w:rsidRPr="00E412D4" w14:paraId="4D83217D" w14:textId="77777777" w:rsidTr="00100CFD">
        <w:tc>
          <w:tcPr>
            <w:tcW w:w="1267" w:type="dxa"/>
          </w:tcPr>
          <w:p w14:paraId="6A5A6FCA" w14:textId="77777777" w:rsidR="00100CFD" w:rsidRPr="00E412D4" w:rsidRDefault="00100CFD" w:rsidP="00100CFD">
            <w:pPr>
              <w:contextualSpacing/>
              <w:rPr>
                <w:rFonts w:cs="Arial"/>
                <w:sz w:val="18"/>
                <w:szCs w:val="18"/>
              </w:rPr>
            </w:pPr>
            <w:r>
              <w:rPr>
                <w:rFonts w:cs="Arial"/>
                <w:sz w:val="18"/>
                <w:szCs w:val="18"/>
              </w:rPr>
              <w:t>2</w:t>
            </w:r>
            <w:r w:rsidRPr="00E412D4">
              <w:rPr>
                <w:rFonts w:cs="Arial"/>
                <w:sz w:val="18"/>
                <w:szCs w:val="18"/>
              </w:rPr>
              <w:t>.5 Alberton Station, Ekurhuleni</w:t>
            </w:r>
          </w:p>
        </w:tc>
        <w:tc>
          <w:tcPr>
            <w:tcW w:w="1268" w:type="dxa"/>
          </w:tcPr>
          <w:p w14:paraId="2A7F8974" w14:textId="77777777" w:rsidR="00100CFD" w:rsidRPr="00E412D4" w:rsidRDefault="00100CFD" w:rsidP="00100CFD">
            <w:pPr>
              <w:contextualSpacing/>
              <w:rPr>
                <w:rFonts w:cs="Arial"/>
                <w:sz w:val="18"/>
                <w:szCs w:val="18"/>
              </w:rPr>
            </w:pPr>
            <w:r w:rsidRPr="00E412D4">
              <w:rPr>
                <w:rFonts w:cs="Arial"/>
                <w:sz w:val="18"/>
                <w:szCs w:val="18"/>
              </w:rPr>
              <w:t>na</w:t>
            </w:r>
          </w:p>
        </w:tc>
        <w:tc>
          <w:tcPr>
            <w:tcW w:w="1267" w:type="dxa"/>
          </w:tcPr>
          <w:p w14:paraId="79C8E9C0" w14:textId="77777777" w:rsidR="00100CFD" w:rsidRPr="00E412D4" w:rsidRDefault="00100CFD" w:rsidP="00100CFD">
            <w:pPr>
              <w:ind w:left="-93"/>
              <w:contextualSpacing/>
              <w:jc w:val="center"/>
              <w:rPr>
                <w:rFonts w:cs="Arial"/>
                <w:sz w:val="18"/>
                <w:szCs w:val="18"/>
              </w:rPr>
            </w:pPr>
            <w:r w:rsidRPr="00E412D4">
              <w:rPr>
                <w:rFonts w:cs="Arial"/>
                <w:sz w:val="18"/>
                <w:szCs w:val="18"/>
              </w:rPr>
              <w:t>Low Density</w:t>
            </w:r>
          </w:p>
        </w:tc>
        <w:tc>
          <w:tcPr>
            <w:tcW w:w="1268" w:type="dxa"/>
          </w:tcPr>
          <w:p w14:paraId="2BBC56F3" w14:textId="77777777" w:rsidR="00100CFD" w:rsidRPr="00E412D4" w:rsidRDefault="00100CFD" w:rsidP="00100CFD">
            <w:pPr>
              <w:contextualSpacing/>
              <w:rPr>
                <w:rFonts w:cs="Arial"/>
                <w:sz w:val="18"/>
                <w:szCs w:val="18"/>
              </w:rPr>
            </w:pPr>
            <w:r w:rsidRPr="00E412D4">
              <w:rPr>
                <w:rFonts w:cs="Arial"/>
                <w:sz w:val="18"/>
                <w:szCs w:val="18"/>
              </w:rPr>
              <w:t>Medium 265 households</w:t>
            </w:r>
          </w:p>
        </w:tc>
        <w:tc>
          <w:tcPr>
            <w:tcW w:w="1267" w:type="dxa"/>
          </w:tcPr>
          <w:p w14:paraId="736066D7" w14:textId="175136F0" w:rsidR="00100CFD" w:rsidRPr="00E412D4" w:rsidRDefault="00100CFD" w:rsidP="00100CFD">
            <w:pPr>
              <w:rPr>
                <w:rFonts w:cs="Arial"/>
                <w:sz w:val="18"/>
                <w:szCs w:val="18"/>
              </w:rPr>
            </w:pPr>
            <w:r w:rsidRPr="00E412D4">
              <w:rPr>
                <w:rFonts w:cs="Arial"/>
                <w:sz w:val="18"/>
                <w:szCs w:val="18"/>
              </w:rPr>
              <w:t xml:space="preserve">Not </w:t>
            </w:r>
            <w:r w:rsidR="008B47BF">
              <w:rPr>
                <w:rFonts w:cs="Arial"/>
                <w:sz w:val="18"/>
                <w:szCs w:val="18"/>
              </w:rPr>
              <w:t>recogniz</w:t>
            </w:r>
            <w:r w:rsidRPr="00E412D4">
              <w:rPr>
                <w:rFonts w:cs="Arial"/>
                <w:sz w:val="18"/>
                <w:szCs w:val="18"/>
              </w:rPr>
              <w:t>ed/insecure tenure</w:t>
            </w:r>
          </w:p>
        </w:tc>
        <w:tc>
          <w:tcPr>
            <w:tcW w:w="1268" w:type="dxa"/>
          </w:tcPr>
          <w:p w14:paraId="545639A5" w14:textId="77777777" w:rsidR="00100CFD" w:rsidRPr="00E412D4" w:rsidRDefault="00100CFD" w:rsidP="00100CFD">
            <w:pPr>
              <w:contextualSpacing/>
              <w:rPr>
                <w:rFonts w:cs="Arial"/>
                <w:sz w:val="18"/>
                <w:szCs w:val="18"/>
              </w:rPr>
            </w:pPr>
            <w:r w:rsidRPr="00E412D4">
              <w:rPr>
                <w:rFonts w:cs="Arial"/>
                <w:sz w:val="18"/>
                <w:szCs w:val="18"/>
              </w:rPr>
              <w:t>11 and more (mid-1990s)</w:t>
            </w:r>
          </w:p>
        </w:tc>
        <w:tc>
          <w:tcPr>
            <w:tcW w:w="1267" w:type="dxa"/>
          </w:tcPr>
          <w:p w14:paraId="0AEE4C61" w14:textId="77777777" w:rsidR="00100CFD" w:rsidRPr="00E412D4" w:rsidRDefault="00100CFD" w:rsidP="00100CFD">
            <w:pPr>
              <w:contextualSpacing/>
              <w:rPr>
                <w:rFonts w:cs="Arial"/>
                <w:sz w:val="18"/>
                <w:szCs w:val="18"/>
              </w:rPr>
            </w:pPr>
            <w:r w:rsidRPr="00E412D4">
              <w:rPr>
                <w:rFonts w:cs="Arial"/>
                <w:sz w:val="18"/>
                <w:szCs w:val="18"/>
              </w:rPr>
              <w:t>Public land (PRASA)</w:t>
            </w:r>
          </w:p>
        </w:tc>
        <w:tc>
          <w:tcPr>
            <w:tcW w:w="1268" w:type="dxa"/>
          </w:tcPr>
          <w:p w14:paraId="72F4EC1E" w14:textId="77777777" w:rsidR="00100CFD" w:rsidRPr="00E412D4" w:rsidRDefault="00100CFD" w:rsidP="00100CFD">
            <w:pPr>
              <w:contextualSpacing/>
              <w:rPr>
                <w:rFonts w:cs="Arial"/>
                <w:sz w:val="18"/>
                <w:szCs w:val="18"/>
              </w:rPr>
            </w:pPr>
            <w:r w:rsidRPr="00E412D4">
              <w:rPr>
                <w:rFonts w:cs="Arial"/>
                <w:sz w:val="18"/>
                <w:szCs w:val="18"/>
              </w:rPr>
              <w:t>None</w:t>
            </w:r>
          </w:p>
        </w:tc>
        <w:tc>
          <w:tcPr>
            <w:tcW w:w="1267" w:type="dxa"/>
          </w:tcPr>
          <w:p w14:paraId="391334A8" w14:textId="77777777" w:rsidR="00100CFD" w:rsidRPr="00E412D4" w:rsidRDefault="00100CFD" w:rsidP="00100CFD">
            <w:pPr>
              <w:contextualSpacing/>
              <w:rPr>
                <w:rFonts w:cs="Arial"/>
                <w:sz w:val="18"/>
                <w:szCs w:val="18"/>
              </w:rPr>
            </w:pPr>
            <w:r w:rsidRPr="00E412D4">
              <w:rPr>
                <w:rFonts w:cs="Arial"/>
                <w:sz w:val="18"/>
                <w:szCs w:val="18"/>
              </w:rPr>
              <w:t>Well-located</w:t>
            </w:r>
          </w:p>
        </w:tc>
        <w:tc>
          <w:tcPr>
            <w:tcW w:w="1268" w:type="dxa"/>
          </w:tcPr>
          <w:p w14:paraId="30D7F151" w14:textId="77777777" w:rsidR="00100CFD" w:rsidRPr="00E412D4" w:rsidRDefault="00100CFD" w:rsidP="00100CFD">
            <w:pPr>
              <w:contextualSpacing/>
              <w:rPr>
                <w:rFonts w:cs="Arial"/>
                <w:sz w:val="18"/>
                <w:szCs w:val="18"/>
              </w:rPr>
            </w:pPr>
            <w:r w:rsidRPr="00E412D4">
              <w:rPr>
                <w:rFonts w:cs="Arial"/>
                <w:sz w:val="18"/>
                <w:szCs w:val="18"/>
              </w:rPr>
              <w:t>Mixed</w:t>
            </w:r>
          </w:p>
        </w:tc>
        <w:tc>
          <w:tcPr>
            <w:tcW w:w="1267" w:type="dxa"/>
          </w:tcPr>
          <w:p w14:paraId="6751738F" w14:textId="77777777" w:rsidR="00100CFD" w:rsidRPr="00E412D4" w:rsidRDefault="00100CFD" w:rsidP="00100CFD">
            <w:pPr>
              <w:contextualSpacing/>
              <w:rPr>
                <w:rFonts w:cs="Arial"/>
                <w:sz w:val="18"/>
                <w:szCs w:val="18"/>
              </w:rPr>
            </w:pPr>
            <w:r w:rsidRPr="00E412D4">
              <w:rPr>
                <w:rFonts w:cs="Arial"/>
                <w:sz w:val="18"/>
                <w:szCs w:val="18"/>
              </w:rPr>
              <w:t>Access to employment</w:t>
            </w:r>
          </w:p>
        </w:tc>
        <w:tc>
          <w:tcPr>
            <w:tcW w:w="1268" w:type="dxa"/>
          </w:tcPr>
          <w:p w14:paraId="3ACB2B90" w14:textId="77777777" w:rsidR="00100CFD" w:rsidRPr="00E412D4" w:rsidRDefault="00100CFD" w:rsidP="00100CFD">
            <w:pPr>
              <w:contextualSpacing/>
              <w:rPr>
                <w:rFonts w:cs="Arial"/>
                <w:sz w:val="18"/>
                <w:szCs w:val="18"/>
              </w:rPr>
            </w:pPr>
            <w:r w:rsidRPr="00E412D4">
              <w:rPr>
                <w:rFonts w:cs="Arial"/>
                <w:sz w:val="18"/>
                <w:szCs w:val="18"/>
              </w:rPr>
              <w:t>Very low (below R1000/month)</w:t>
            </w:r>
          </w:p>
        </w:tc>
        <w:tc>
          <w:tcPr>
            <w:tcW w:w="1268" w:type="dxa"/>
          </w:tcPr>
          <w:p w14:paraId="1F52FB65" w14:textId="77777777" w:rsidR="00100CFD" w:rsidRPr="00E412D4" w:rsidRDefault="00100CFD" w:rsidP="00100CFD">
            <w:pPr>
              <w:contextualSpacing/>
              <w:rPr>
                <w:rFonts w:cs="Arial"/>
                <w:sz w:val="18"/>
                <w:szCs w:val="18"/>
              </w:rPr>
            </w:pPr>
            <w:r w:rsidRPr="00E412D4">
              <w:rPr>
                <w:rFonts w:cs="Arial"/>
                <w:sz w:val="18"/>
                <w:szCs w:val="18"/>
              </w:rPr>
              <w:t>Elected leadership but politically contested</w:t>
            </w:r>
          </w:p>
        </w:tc>
      </w:tr>
      <w:tr w:rsidR="00100CFD" w:rsidRPr="00E412D4" w14:paraId="6C0BA129" w14:textId="77777777" w:rsidTr="00100CFD">
        <w:tc>
          <w:tcPr>
            <w:tcW w:w="1267" w:type="dxa"/>
          </w:tcPr>
          <w:p w14:paraId="3AA8A369" w14:textId="77777777" w:rsidR="00100CFD" w:rsidRPr="00E412D4" w:rsidRDefault="00100CFD" w:rsidP="00100CFD">
            <w:pPr>
              <w:contextualSpacing/>
              <w:rPr>
                <w:rFonts w:cs="Arial"/>
                <w:sz w:val="18"/>
                <w:szCs w:val="18"/>
              </w:rPr>
            </w:pPr>
            <w:r>
              <w:rPr>
                <w:rFonts w:cs="Arial"/>
                <w:sz w:val="18"/>
                <w:szCs w:val="18"/>
              </w:rPr>
              <w:t>2.6 Lwazi, Cape Town</w:t>
            </w:r>
          </w:p>
        </w:tc>
        <w:tc>
          <w:tcPr>
            <w:tcW w:w="1268" w:type="dxa"/>
          </w:tcPr>
          <w:p w14:paraId="7291B54E" w14:textId="77777777" w:rsidR="00100CFD" w:rsidRPr="00E412D4" w:rsidRDefault="00100CFD" w:rsidP="00100CFD">
            <w:pPr>
              <w:contextualSpacing/>
              <w:rPr>
                <w:rFonts w:cs="Arial"/>
                <w:sz w:val="18"/>
                <w:szCs w:val="18"/>
              </w:rPr>
            </w:pPr>
            <w:r>
              <w:rPr>
                <w:rFonts w:cs="Arial"/>
                <w:sz w:val="18"/>
                <w:szCs w:val="18"/>
              </w:rPr>
              <w:t>Below flood line</w:t>
            </w:r>
          </w:p>
        </w:tc>
        <w:tc>
          <w:tcPr>
            <w:tcW w:w="1267" w:type="dxa"/>
          </w:tcPr>
          <w:p w14:paraId="5AE55A16" w14:textId="77777777" w:rsidR="00100CFD" w:rsidRPr="00E412D4" w:rsidRDefault="00100CFD" w:rsidP="00100CFD">
            <w:pPr>
              <w:ind w:left="32"/>
              <w:contextualSpacing/>
              <w:rPr>
                <w:rFonts w:cs="Arial"/>
                <w:sz w:val="18"/>
                <w:szCs w:val="18"/>
              </w:rPr>
            </w:pPr>
            <w:r>
              <w:rPr>
                <w:rFonts w:cs="Arial"/>
                <w:sz w:val="18"/>
                <w:szCs w:val="18"/>
              </w:rPr>
              <w:t>Low Density</w:t>
            </w:r>
          </w:p>
        </w:tc>
        <w:tc>
          <w:tcPr>
            <w:tcW w:w="1268" w:type="dxa"/>
          </w:tcPr>
          <w:p w14:paraId="2BBDD56F" w14:textId="77777777" w:rsidR="00100CFD" w:rsidRPr="00E412D4" w:rsidRDefault="00100CFD" w:rsidP="00100CFD">
            <w:pPr>
              <w:contextualSpacing/>
              <w:rPr>
                <w:rFonts w:cs="Arial"/>
                <w:sz w:val="18"/>
                <w:szCs w:val="18"/>
              </w:rPr>
            </w:pPr>
            <w:r>
              <w:rPr>
                <w:rFonts w:cs="Arial"/>
                <w:sz w:val="18"/>
                <w:szCs w:val="18"/>
              </w:rPr>
              <w:t>Small 37 hh</w:t>
            </w:r>
          </w:p>
        </w:tc>
        <w:tc>
          <w:tcPr>
            <w:tcW w:w="1267" w:type="dxa"/>
          </w:tcPr>
          <w:p w14:paraId="2CB1DC31" w14:textId="21B55F12" w:rsidR="00100CFD" w:rsidRPr="00E412D4" w:rsidRDefault="00100CFD" w:rsidP="00100CFD">
            <w:pPr>
              <w:contextualSpacing/>
              <w:rPr>
                <w:rFonts w:cs="Arial"/>
                <w:sz w:val="18"/>
                <w:szCs w:val="18"/>
              </w:rPr>
            </w:pPr>
            <w:r>
              <w:rPr>
                <w:rFonts w:cs="Arial"/>
                <w:sz w:val="18"/>
                <w:szCs w:val="18"/>
              </w:rPr>
              <w:t xml:space="preserve">Not </w:t>
            </w:r>
            <w:r w:rsidR="008B47BF">
              <w:rPr>
                <w:rFonts w:cs="Arial"/>
                <w:sz w:val="18"/>
                <w:szCs w:val="18"/>
              </w:rPr>
              <w:t>recogniz</w:t>
            </w:r>
            <w:r>
              <w:rPr>
                <w:rFonts w:cs="Arial"/>
                <w:sz w:val="18"/>
                <w:szCs w:val="18"/>
              </w:rPr>
              <w:t>ed/ insecure tenure</w:t>
            </w:r>
          </w:p>
        </w:tc>
        <w:tc>
          <w:tcPr>
            <w:tcW w:w="1268" w:type="dxa"/>
          </w:tcPr>
          <w:p w14:paraId="3E59079C" w14:textId="77777777" w:rsidR="00100CFD" w:rsidRPr="00E412D4" w:rsidRDefault="00100CFD" w:rsidP="00100CFD">
            <w:pPr>
              <w:contextualSpacing/>
              <w:rPr>
                <w:rFonts w:cs="Arial"/>
                <w:sz w:val="18"/>
                <w:szCs w:val="18"/>
              </w:rPr>
            </w:pPr>
            <w:r>
              <w:rPr>
                <w:rFonts w:cs="Arial"/>
                <w:sz w:val="18"/>
                <w:szCs w:val="18"/>
              </w:rPr>
              <w:t>11 and more (late 1980s)</w:t>
            </w:r>
          </w:p>
        </w:tc>
        <w:tc>
          <w:tcPr>
            <w:tcW w:w="1267" w:type="dxa"/>
          </w:tcPr>
          <w:p w14:paraId="7885D445" w14:textId="77777777" w:rsidR="00100CFD" w:rsidRPr="00E412D4" w:rsidRDefault="00100CFD" w:rsidP="00100CFD">
            <w:pPr>
              <w:contextualSpacing/>
              <w:rPr>
                <w:rFonts w:cs="Arial"/>
                <w:sz w:val="18"/>
                <w:szCs w:val="18"/>
              </w:rPr>
            </w:pPr>
            <w:r>
              <w:rPr>
                <w:rFonts w:cs="Arial"/>
                <w:sz w:val="18"/>
                <w:szCs w:val="18"/>
              </w:rPr>
              <w:t>Public land</w:t>
            </w:r>
          </w:p>
        </w:tc>
        <w:tc>
          <w:tcPr>
            <w:tcW w:w="1268" w:type="dxa"/>
          </w:tcPr>
          <w:p w14:paraId="412D4AC9" w14:textId="77777777" w:rsidR="00100CFD" w:rsidRPr="00E412D4" w:rsidRDefault="00100CFD" w:rsidP="00100CFD">
            <w:pPr>
              <w:contextualSpacing/>
              <w:rPr>
                <w:rFonts w:cs="Arial"/>
                <w:sz w:val="18"/>
                <w:szCs w:val="18"/>
              </w:rPr>
            </w:pPr>
            <w:r>
              <w:rPr>
                <w:rFonts w:cs="Arial"/>
                <w:sz w:val="18"/>
                <w:szCs w:val="18"/>
              </w:rPr>
              <w:t>None</w:t>
            </w:r>
          </w:p>
        </w:tc>
        <w:tc>
          <w:tcPr>
            <w:tcW w:w="1267" w:type="dxa"/>
          </w:tcPr>
          <w:p w14:paraId="019AD445" w14:textId="77777777" w:rsidR="00100CFD" w:rsidRPr="00E412D4" w:rsidRDefault="00100CFD" w:rsidP="00100CFD">
            <w:pPr>
              <w:contextualSpacing/>
              <w:rPr>
                <w:rFonts w:cs="Arial"/>
                <w:sz w:val="18"/>
                <w:szCs w:val="18"/>
              </w:rPr>
            </w:pPr>
            <w:r>
              <w:rPr>
                <w:rFonts w:cs="Arial"/>
                <w:sz w:val="18"/>
                <w:szCs w:val="18"/>
              </w:rPr>
              <w:t>Well-located</w:t>
            </w:r>
          </w:p>
        </w:tc>
        <w:tc>
          <w:tcPr>
            <w:tcW w:w="1268" w:type="dxa"/>
          </w:tcPr>
          <w:p w14:paraId="2BCE06FA" w14:textId="77777777" w:rsidR="00100CFD" w:rsidRPr="00E412D4" w:rsidRDefault="00100CFD" w:rsidP="00100CFD">
            <w:pPr>
              <w:contextualSpacing/>
              <w:rPr>
                <w:rFonts w:cs="Arial"/>
                <w:sz w:val="18"/>
                <w:szCs w:val="18"/>
              </w:rPr>
            </w:pPr>
            <w:r>
              <w:rPr>
                <w:rFonts w:cs="Arial"/>
                <w:sz w:val="18"/>
                <w:szCs w:val="18"/>
              </w:rPr>
              <w:t>Informal materials</w:t>
            </w:r>
          </w:p>
        </w:tc>
        <w:tc>
          <w:tcPr>
            <w:tcW w:w="1267" w:type="dxa"/>
          </w:tcPr>
          <w:p w14:paraId="19EE693C" w14:textId="77777777" w:rsidR="00100CFD" w:rsidRPr="00E412D4" w:rsidRDefault="00100CFD" w:rsidP="00100CFD">
            <w:pPr>
              <w:contextualSpacing/>
              <w:rPr>
                <w:rFonts w:cs="Arial"/>
                <w:sz w:val="18"/>
                <w:szCs w:val="18"/>
              </w:rPr>
            </w:pPr>
            <w:r>
              <w:rPr>
                <w:rFonts w:cs="Arial"/>
                <w:sz w:val="18"/>
                <w:szCs w:val="18"/>
              </w:rPr>
              <w:t>Unknown</w:t>
            </w:r>
          </w:p>
        </w:tc>
        <w:tc>
          <w:tcPr>
            <w:tcW w:w="1268" w:type="dxa"/>
          </w:tcPr>
          <w:p w14:paraId="6A47DB8E" w14:textId="77777777" w:rsidR="00100CFD" w:rsidRPr="00E412D4" w:rsidRDefault="00100CFD" w:rsidP="00100CFD">
            <w:pPr>
              <w:contextualSpacing/>
              <w:rPr>
                <w:rFonts w:cs="Arial"/>
                <w:sz w:val="18"/>
                <w:szCs w:val="18"/>
              </w:rPr>
            </w:pPr>
            <w:r>
              <w:rPr>
                <w:rFonts w:cs="Arial"/>
                <w:sz w:val="18"/>
                <w:szCs w:val="18"/>
              </w:rPr>
              <w:t>Low – R1135 a month</w:t>
            </w:r>
          </w:p>
        </w:tc>
        <w:tc>
          <w:tcPr>
            <w:tcW w:w="1268" w:type="dxa"/>
          </w:tcPr>
          <w:p w14:paraId="61BEB3FB" w14:textId="77777777" w:rsidR="00100CFD" w:rsidRPr="00E412D4" w:rsidRDefault="00100CFD" w:rsidP="00100CFD">
            <w:pPr>
              <w:contextualSpacing/>
              <w:rPr>
                <w:rFonts w:cs="Arial"/>
                <w:sz w:val="18"/>
                <w:szCs w:val="18"/>
              </w:rPr>
            </w:pPr>
            <w:r>
              <w:rPr>
                <w:rFonts w:cs="Arial"/>
                <w:sz w:val="18"/>
                <w:szCs w:val="18"/>
              </w:rPr>
              <w:t>Unknown</w:t>
            </w:r>
          </w:p>
        </w:tc>
      </w:tr>
      <w:tr w:rsidR="00100CFD" w:rsidRPr="00E412D4" w14:paraId="07266E74" w14:textId="77777777" w:rsidTr="00100CFD">
        <w:tc>
          <w:tcPr>
            <w:tcW w:w="1267" w:type="dxa"/>
          </w:tcPr>
          <w:p w14:paraId="1532A133" w14:textId="77777777" w:rsidR="00100CFD" w:rsidRPr="00E412D4" w:rsidRDefault="00100CFD" w:rsidP="00100CFD">
            <w:pPr>
              <w:contextualSpacing/>
              <w:rPr>
                <w:rFonts w:cs="Arial"/>
                <w:sz w:val="18"/>
                <w:szCs w:val="18"/>
              </w:rPr>
            </w:pPr>
            <w:r>
              <w:rPr>
                <w:rFonts w:cs="Arial"/>
                <w:sz w:val="18"/>
                <w:szCs w:val="18"/>
              </w:rPr>
              <w:t>2</w:t>
            </w:r>
            <w:r w:rsidRPr="00E412D4">
              <w:rPr>
                <w:rFonts w:cs="Arial"/>
                <w:sz w:val="18"/>
                <w:szCs w:val="18"/>
              </w:rPr>
              <w:t>.7 Los Angeles, Cape Town</w:t>
            </w:r>
          </w:p>
        </w:tc>
        <w:tc>
          <w:tcPr>
            <w:tcW w:w="1268" w:type="dxa"/>
          </w:tcPr>
          <w:p w14:paraId="525EEC61" w14:textId="77777777" w:rsidR="00100CFD" w:rsidRPr="00E412D4" w:rsidRDefault="00100CFD" w:rsidP="00100CFD">
            <w:pPr>
              <w:contextualSpacing/>
              <w:rPr>
                <w:rFonts w:cs="Arial"/>
                <w:sz w:val="18"/>
                <w:szCs w:val="18"/>
              </w:rPr>
            </w:pPr>
            <w:r w:rsidRPr="00E412D4">
              <w:rPr>
                <w:rFonts w:cs="Arial"/>
                <w:sz w:val="18"/>
                <w:szCs w:val="18"/>
              </w:rPr>
              <w:t>Sand</w:t>
            </w:r>
          </w:p>
        </w:tc>
        <w:tc>
          <w:tcPr>
            <w:tcW w:w="1267" w:type="dxa"/>
          </w:tcPr>
          <w:p w14:paraId="1E9F30B0" w14:textId="77777777" w:rsidR="00100CFD" w:rsidRPr="00E412D4" w:rsidRDefault="00100CFD" w:rsidP="00100CFD">
            <w:pPr>
              <w:ind w:left="32"/>
              <w:contextualSpacing/>
              <w:rPr>
                <w:rFonts w:cs="Arial"/>
                <w:sz w:val="18"/>
                <w:szCs w:val="18"/>
              </w:rPr>
            </w:pPr>
            <w:r w:rsidRPr="00E412D4">
              <w:rPr>
                <w:rFonts w:cs="Arial"/>
                <w:sz w:val="18"/>
                <w:szCs w:val="18"/>
              </w:rPr>
              <w:t>Low density</w:t>
            </w:r>
          </w:p>
        </w:tc>
        <w:tc>
          <w:tcPr>
            <w:tcW w:w="1268" w:type="dxa"/>
          </w:tcPr>
          <w:p w14:paraId="5C1B958B" w14:textId="77777777" w:rsidR="00100CFD" w:rsidRPr="00E412D4" w:rsidRDefault="00100CFD" w:rsidP="00100CFD">
            <w:pPr>
              <w:contextualSpacing/>
              <w:rPr>
                <w:rFonts w:cs="Arial"/>
                <w:sz w:val="18"/>
                <w:szCs w:val="18"/>
              </w:rPr>
            </w:pPr>
            <w:r w:rsidRPr="00E412D4">
              <w:rPr>
                <w:rFonts w:cs="Arial"/>
                <w:sz w:val="18"/>
                <w:szCs w:val="18"/>
              </w:rPr>
              <w:t>Medium sized 375 hh</w:t>
            </w:r>
          </w:p>
        </w:tc>
        <w:tc>
          <w:tcPr>
            <w:tcW w:w="1267" w:type="dxa"/>
          </w:tcPr>
          <w:p w14:paraId="2944EBE2" w14:textId="460CECC3" w:rsidR="00100CFD" w:rsidRPr="00E412D4" w:rsidRDefault="00100CFD" w:rsidP="00100CFD">
            <w:pPr>
              <w:contextualSpacing/>
              <w:rPr>
                <w:rFonts w:cs="Arial"/>
                <w:sz w:val="18"/>
                <w:szCs w:val="18"/>
              </w:rPr>
            </w:pPr>
            <w:r w:rsidRPr="00E412D4">
              <w:rPr>
                <w:rFonts w:cs="Arial"/>
                <w:sz w:val="18"/>
                <w:szCs w:val="18"/>
              </w:rPr>
              <w:t xml:space="preserve">Not </w:t>
            </w:r>
            <w:r w:rsidR="008B47BF">
              <w:rPr>
                <w:rFonts w:cs="Arial"/>
                <w:sz w:val="18"/>
                <w:szCs w:val="18"/>
              </w:rPr>
              <w:t>recogniz</w:t>
            </w:r>
            <w:r w:rsidRPr="00E412D4">
              <w:rPr>
                <w:rFonts w:cs="Arial"/>
                <w:sz w:val="18"/>
                <w:szCs w:val="18"/>
              </w:rPr>
              <w:t xml:space="preserve">ed/secure tenure </w:t>
            </w:r>
          </w:p>
        </w:tc>
        <w:tc>
          <w:tcPr>
            <w:tcW w:w="1268" w:type="dxa"/>
          </w:tcPr>
          <w:p w14:paraId="541A16A4" w14:textId="77777777" w:rsidR="00100CFD" w:rsidRPr="00E412D4" w:rsidRDefault="00100CFD" w:rsidP="00100CFD">
            <w:pPr>
              <w:contextualSpacing/>
              <w:rPr>
                <w:rFonts w:cs="Arial"/>
                <w:sz w:val="18"/>
                <w:szCs w:val="18"/>
              </w:rPr>
            </w:pPr>
            <w:r w:rsidRPr="00E412D4">
              <w:rPr>
                <w:rFonts w:cs="Arial"/>
                <w:sz w:val="18"/>
                <w:szCs w:val="18"/>
              </w:rPr>
              <w:t>11 and more</w:t>
            </w:r>
          </w:p>
          <w:p w14:paraId="07E36DBE" w14:textId="77777777" w:rsidR="00100CFD" w:rsidRPr="00E412D4" w:rsidRDefault="00100CFD" w:rsidP="00100CFD">
            <w:pPr>
              <w:contextualSpacing/>
              <w:rPr>
                <w:rFonts w:cs="Arial"/>
                <w:sz w:val="18"/>
                <w:szCs w:val="18"/>
              </w:rPr>
            </w:pPr>
            <w:r w:rsidRPr="00E412D4">
              <w:rPr>
                <w:rFonts w:cs="Arial"/>
                <w:sz w:val="18"/>
                <w:szCs w:val="18"/>
              </w:rPr>
              <w:t>(1995)</w:t>
            </w:r>
          </w:p>
        </w:tc>
        <w:tc>
          <w:tcPr>
            <w:tcW w:w="1267" w:type="dxa"/>
          </w:tcPr>
          <w:p w14:paraId="3AF5D589" w14:textId="77777777" w:rsidR="00100CFD" w:rsidRPr="00E412D4" w:rsidRDefault="00100CFD" w:rsidP="00100CFD">
            <w:pPr>
              <w:contextualSpacing/>
              <w:rPr>
                <w:rFonts w:cs="Arial"/>
                <w:sz w:val="18"/>
                <w:szCs w:val="18"/>
              </w:rPr>
            </w:pPr>
            <w:r w:rsidRPr="00E412D4">
              <w:rPr>
                <w:rFonts w:cs="Arial"/>
                <w:sz w:val="18"/>
                <w:szCs w:val="18"/>
              </w:rPr>
              <w:t>Public land</w:t>
            </w:r>
          </w:p>
        </w:tc>
        <w:tc>
          <w:tcPr>
            <w:tcW w:w="1268" w:type="dxa"/>
          </w:tcPr>
          <w:p w14:paraId="040DB580" w14:textId="77777777" w:rsidR="00100CFD" w:rsidRPr="00E412D4" w:rsidRDefault="00100CFD" w:rsidP="00100CFD">
            <w:pPr>
              <w:contextualSpacing/>
              <w:rPr>
                <w:rFonts w:cs="Arial"/>
                <w:sz w:val="18"/>
                <w:szCs w:val="18"/>
              </w:rPr>
            </w:pPr>
            <w:r w:rsidRPr="00E412D4">
              <w:rPr>
                <w:rFonts w:cs="Arial"/>
                <w:sz w:val="18"/>
                <w:szCs w:val="18"/>
              </w:rPr>
              <w:t xml:space="preserve">None </w:t>
            </w:r>
          </w:p>
        </w:tc>
        <w:tc>
          <w:tcPr>
            <w:tcW w:w="1267" w:type="dxa"/>
          </w:tcPr>
          <w:p w14:paraId="1CF8A2FA" w14:textId="77777777" w:rsidR="00100CFD" w:rsidRPr="00E412D4" w:rsidRDefault="00100CFD" w:rsidP="00100CFD">
            <w:pPr>
              <w:contextualSpacing/>
              <w:rPr>
                <w:rFonts w:cs="Arial"/>
                <w:sz w:val="18"/>
                <w:szCs w:val="18"/>
              </w:rPr>
            </w:pPr>
            <w:r w:rsidRPr="00E412D4">
              <w:rPr>
                <w:rFonts w:cs="Arial"/>
                <w:sz w:val="18"/>
                <w:szCs w:val="18"/>
              </w:rPr>
              <w:t xml:space="preserve">Peripheral </w:t>
            </w:r>
          </w:p>
        </w:tc>
        <w:tc>
          <w:tcPr>
            <w:tcW w:w="1268" w:type="dxa"/>
          </w:tcPr>
          <w:p w14:paraId="0991227F" w14:textId="77777777" w:rsidR="00100CFD" w:rsidRPr="00E412D4" w:rsidRDefault="00100CFD" w:rsidP="00100CFD">
            <w:pPr>
              <w:contextualSpacing/>
              <w:rPr>
                <w:rFonts w:cs="Arial"/>
                <w:sz w:val="18"/>
                <w:szCs w:val="18"/>
              </w:rPr>
            </w:pPr>
            <w:r w:rsidRPr="00E412D4">
              <w:rPr>
                <w:rFonts w:cs="Arial"/>
                <w:sz w:val="18"/>
                <w:szCs w:val="18"/>
              </w:rPr>
              <w:t>Informal materials</w:t>
            </w:r>
          </w:p>
        </w:tc>
        <w:tc>
          <w:tcPr>
            <w:tcW w:w="1267" w:type="dxa"/>
          </w:tcPr>
          <w:p w14:paraId="1FE5152A" w14:textId="77777777" w:rsidR="00100CFD" w:rsidRPr="00E412D4" w:rsidRDefault="00100CFD" w:rsidP="00100CFD">
            <w:pPr>
              <w:contextualSpacing/>
              <w:rPr>
                <w:rFonts w:cs="Arial"/>
                <w:sz w:val="18"/>
                <w:szCs w:val="18"/>
              </w:rPr>
            </w:pPr>
            <w:r w:rsidRPr="00E412D4">
              <w:rPr>
                <w:rFonts w:cs="Arial"/>
                <w:sz w:val="18"/>
                <w:szCs w:val="18"/>
              </w:rPr>
              <w:t>Assorted</w:t>
            </w:r>
          </w:p>
        </w:tc>
        <w:tc>
          <w:tcPr>
            <w:tcW w:w="1268" w:type="dxa"/>
          </w:tcPr>
          <w:p w14:paraId="3269BA7C" w14:textId="77777777" w:rsidR="00100CFD" w:rsidRPr="00E412D4" w:rsidRDefault="00100CFD" w:rsidP="00100CFD">
            <w:pPr>
              <w:contextualSpacing/>
              <w:rPr>
                <w:rFonts w:cs="Arial"/>
                <w:sz w:val="18"/>
                <w:szCs w:val="18"/>
              </w:rPr>
            </w:pPr>
            <w:r w:rsidRPr="00E412D4">
              <w:rPr>
                <w:rFonts w:cs="Arial"/>
                <w:sz w:val="18"/>
                <w:szCs w:val="18"/>
              </w:rPr>
              <w:t>Extremely poor, high rates of unemployment</w:t>
            </w:r>
          </w:p>
        </w:tc>
        <w:tc>
          <w:tcPr>
            <w:tcW w:w="1268" w:type="dxa"/>
          </w:tcPr>
          <w:p w14:paraId="1D23F2CD" w14:textId="77777777" w:rsidR="00100CFD" w:rsidRPr="00E412D4" w:rsidRDefault="00100CFD" w:rsidP="00100CFD">
            <w:pPr>
              <w:contextualSpacing/>
              <w:rPr>
                <w:rFonts w:cs="Arial"/>
                <w:sz w:val="18"/>
                <w:szCs w:val="18"/>
              </w:rPr>
            </w:pPr>
          </w:p>
        </w:tc>
      </w:tr>
    </w:tbl>
    <w:p w14:paraId="686812A8" w14:textId="77777777" w:rsidR="00100CFD" w:rsidRPr="002604AE" w:rsidRDefault="00100CFD" w:rsidP="00100CFD">
      <w:pPr>
        <w:rPr>
          <w:rFonts w:cs="Arial"/>
          <w:sz w:val="20"/>
          <w:szCs w:val="20"/>
        </w:rPr>
        <w:sectPr w:rsidR="00100CFD" w:rsidRPr="002604AE" w:rsidSect="00100CFD">
          <w:pgSz w:w="16838" w:h="11906" w:orient="landscape"/>
          <w:pgMar w:top="1440" w:right="1440" w:bottom="1440" w:left="1440" w:header="706" w:footer="706" w:gutter="0"/>
          <w:cols w:space="708"/>
          <w:docGrid w:linePitch="360"/>
        </w:sectPr>
      </w:pPr>
    </w:p>
    <w:p w14:paraId="7BA0B1E9" w14:textId="77777777" w:rsidR="00100CFD" w:rsidRDefault="00100CFD" w:rsidP="00100CFD">
      <w:pPr>
        <w:rPr>
          <w:rFonts w:cs="Arial"/>
          <w:b/>
          <w:i/>
          <w:sz w:val="20"/>
          <w:szCs w:val="20"/>
        </w:rPr>
      </w:pPr>
    </w:p>
    <w:p w14:paraId="5ED633A6" w14:textId="77777777" w:rsidR="00100CFD" w:rsidRPr="00A0532A" w:rsidRDefault="00100CFD" w:rsidP="00540DD7">
      <w:pPr>
        <w:pStyle w:val="Heading2"/>
        <w:numPr>
          <w:ilvl w:val="0"/>
          <w:numId w:val="0"/>
        </w:numPr>
        <w:ind w:left="510"/>
      </w:pPr>
      <w:bookmarkStart w:id="397" w:name="_Toc270946061"/>
      <w:r w:rsidRPr="00A0532A">
        <w:t>Informal Settlement Profiles: cases from across South Africa</w:t>
      </w:r>
      <w:bookmarkEnd w:id="397"/>
    </w:p>
    <w:p w14:paraId="5A8858D2" w14:textId="30C40308" w:rsidR="00100CFD" w:rsidRPr="00CC2D09" w:rsidRDefault="00A0532A" w:rsidP="002A05AF">
      <w:pPr>
        <w:pStyle w:val="Heading3"/>
        <w:numPr>
          <w:ilvl w:val="0"/>
          <w:numId w:val="0"/>
        </w:numPr>
        <w:ind w:left="624" w:hanging="624"/>
      </w:pPr>
      <w:bookmarkStart w:id="398" w:name="_Toc262067927"/>
      <w:bookmarkStart w:id="399" w:name="_Toc262068253"/>
      <w:r w:rsidRPr="00CC2D09">
        <w:t>A:</w:t>
      </w:r>
      <w:r w:rsidR="00100CFD" w:rsidRPr="00CC2D09">
        <w:t xml:space="preserve"> Topography: Steep Slopes – characteristic of many settlements in KwaZulu-Natal and the Eastern Cape</w:t>
      </w:r>
      <w:bookmarkEnd w:id="398"/>
      <w:bookmarkEnd w:id="399"/>
    </w:p>
    <w:p w14:paraId="7DA487FD" w14:textId="77777777" w:rsidR="00A0532A" w:rsidRPr="00A0532A" w:rsidRDefault="00A0532A" w:rsidP="00100CFD">
      <w:pPr>
        <w:rPr>
          <w:rFonts w:cs="Arial"/>
          <w:b/>
          <w:i/>
          <w:szCs w:val="22"/>
        </w:rPr>
      </w:pPr>
    </w:p>
    <w:p w14:paraId="3BC4513F" w14:textId="77777777" w:rsidR="00100CFD" w:rsidRPr="00A0532A" w:rsidRDefault="00100CFD" w:rsidP="00100CFD">
      <w:pPr>
        <w:rPr>
          <w:rFonts w:cs="Arial"/>
          <w:b/>
          <w:szCs w:val="22"/>
        </w:rPr>
      </w:pPr>
      <w:r w:rsidRPr="00A0532A">
        <w:rPr>
          <w:rFonts w:cs="Arial"/>
          <w:szCs w:val="22"/>
        </w:rPr>
        <w:t xml:space="preserve">a. </w:t>
      </w:r>
      <w:r w:rsidRPr="00A0532A">
        <w:rPr>
          <w:rFonts w:cs="Arial"/>
          <w:b/>
          <w:szCs w:val="22"/>
        </w:rPr>
        <w:t>Settlement Location &amp; Identification</w:t>
      </w:r>
      <w:r w:rsidRPr="00A0532A">
        <w:rPr>
          <w:rFonts w:cs="Arial"/>
          <w:b/>
          <w:szCs w:val="22"/>
        </w:rPr>
        <w:tab/>
      </w:r>
    </w:p>
    <w:p w14:paraId="0D6D6967" w14:textId="77777777" w:rsidR="00100CFD" w:rsidRPr="00A0532A" w:rsidRDefault="00100CFD" w:rsidP="00100CFD">
      <w:pPr>
        <w:tabs>
          <w:tab w:val="left" w:pos="724"/>
          <w:tab w:val="left" w:pos="3128"/>
          <w:tab w:val="left" w:pos="6009"/>
          <w:tab w:val="left" w:pos="7345"/>
        </w:tabs>
        <w:ind w:left="118"/>
        <w:rPr>
          <w:rFonts w:cs="Arial"/>
          <w:szCs w:val="22"/>
        </w:rPr>
      </w:pPr>
      <w:r w:rsidRPr="00A0532A">
        <w:rPr>
          <w:rFonts w:cs="Arial"/>
          <w:szCs w:val="22"/>
        </w:rPr>
        <w:tab/>
        <w:t>Settlement Name</w:t>
      </w:r>
      <w:r w:rsidRPr="00A0532A">
        <w:rPr>
          <w:rFonts w:cs="Arial"/>
          <w:szCs w:val="22"/>
        </w:rPr>
        <w:tab/>
        <w:t xml:space="preserve">Gumtree Road </w:t>
      </w:r>
    </w:p>
    <w:p w14:paraId="39713982" w14:textId="77777777" w:rsidR="00100CFD" w:rsidRPr="00A0532A" w:rsidRDefault="00100CFD" w:rsidP="00100CFD">
      <w:pPr>
        <w:tabs>
          <w:tab w:val="left" w:pos="724"/>
          <w:tab w:val="left" w:pos="3128"/>
          <w:tab w:val="left" w:pos="6009"/>
          <w:tab w:val="left" w:pos="7345"/>
        </w:tabs>
        <w:ind w:left="118"/>
        <w:rPr>
          <w:rFonts w:cs="Arial"/>
          <w:szCs w:val="22"/>
        </w:rPr>
      </w:pPr>
      <w:r w:rsidRPr="00A0532A">
        <w:rPr>
          <w:rFonts w:cs="Arial"/>
          <w:szCs w:val="22"/>
        </w:rPr>
        <w:tab/>
        <w:t>Municipality Name</w:t>
      </w:r>
      <w:r w:rsidRPr="00A0532A">
        <w:rPr>
          <w:rFonts w:cs="Arial"/>
          <w:szCs w:val="22"/>
        </w:rPr>
        <w:tab/>
        <w:t>Ethekwini</w:t>
      </w:r>
    </w:p>
    <w:p w14:paraId="47B806B2" w14:textId="77777777" w:rsidR="00100CFD" w:rsidRPr="00A0532A" w:rsidRDefault="00100CFD" w:rsidP="00100CFD">
      <w:pPr>
        <w:tabs>
          <w:tab w:val="left" w:pos="724"/>
          <w:tab w:val="left" w:pos="3128"/>
          <w:tab w:val="left" w:pos="6009"/>
          <w:tab w:val="left" w:pos="7345"/>
        </w:tabs>
        <w:ind w:left="118"/>
        <w:rPr>
          <w:rFonts w:cs="Arial"/>
          <w:szCs w:val="22"/>
        </w:rPr>
      </w:pPr>
      <w:r w:rsidRPr="00A0532A">
        <w:rPr>
          <w:rFonts w:cs="Arial"/>
          <w:szCs w:val="22"/>
        </w:rPr>
        <w:tab/>
        <w:t>Province Name</w:t>
      </w:r>
      <w:r w:rsidRPr="00A0532A">
        <w:rPr>
          <w:rFonts w:cs="Arial"/>
          <w:szCs w:val="22"/>
        </w:rPr>
        <w:tab/>
        <w:t>Kwa-Zulu Natal.</w:t>
      </w:r>
      <w:r w:rsidRPr="00A0532A">
        <w:rPr>
          <w:rFonts w:cs="Arial"/>
          <w:szCs w:val="22"/>
        </w:rPr>
        <w:tab/>
      </w:r>
    </w:p>
    <w:p w14:paraId="79E5A5AA" w14:textId="77777777" w:rsidR="00100CFD" w:rsidRPr="00A0532A" w:rsidRDefault="00100CFD" w:rsidP="00100CFD">
      <w:pPr>
        <w:rPr>
          <w:rFonts w:cs="Arial"/>
          <w:szCs w:val="22"/>
        </w:rPr>
      </w:pPr>
      <w:r w:rsidRPr="00A0532A">
        <w:rPr>
          <w:rFonts w:cs="Arial"/>
          <w:szCs w:val="22"/>
        </w:rPr>
        <w:tab/>
      </w:r>
    </w:p>
    <w:p w14:paraId="7A116423" w14:textId="77777777" w:rsidR="00100CFD" w:rsidRPr="00A0532A" w:rsidRDefault="00100CFD" w:rsidP="00100CFD">
      <w:pPr>
        <w:rPr>
          <w:rFonts w:cs="Arial"/>
          <w:szCs w:val="22"/>
        </w:rPr>
      </w:pPr>
      <w:r w:rsidRPr="00A0532A">
        <w:rPr>
          <w:rFonts w:cs="Arial"/>
          <w:noProof/>
          <w:szCs w:val="22"/>
          <w:lang w:val="en-US"/>
        </w:rPr>
        <mc:AlternateContent>
          <mc:Choice Requires="wps">
            <w:drawing>
              <wp:anchor distT="0" distB="0" distL="114300" distR="114300" simplePos="0" relativeHeight="251665408" behindDoc="0" locked="0" layoutInCell="1" allowOverlap="1" wp14:anchorId="0F736AEC" wp14:editId="14A122A5">
                <wp:simplePos x="0" y="0"/>
                <wp:positionH relativeFrom="column">
                  <wp:posOffset>2070021</wp:posOffset>
                </wp:positionH>
                <wp:positionV relativeFrom="paragraph">
                  <wp:posOffset>1489987</wp:posOffset>
                </wp:positionV>
                <wp:extent cx="2176609" cy="509309"/>
                <wp:effectExtent l="0" t="0" r="33655" b="24130"/>
                <wp:wrapNone/>
                <wp:docPr id="13" name="Straight Connector 13"/>
                <wp:cNvGraphicFramePr/>
                <a:graphic xmlns:a="http://schemas.openxmlformats.org/drawingml/2006/main">
                  <a:graphicData uri="http://schemas.microsoft.com/office/word/2010/wordprocessingShape">
                    <wps:wsp>
                      <wps:cNvCnPr/>
                      <wps:spPr>
                        <a:xfrm>
                          <a:off x="0" y="0"/>
                          <a:ext cx="2176609" cy="509309"/>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FDEE19" id="Straight Connector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117.3pt" to="334.4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" strokecolor="#0d0d0d [3069]" strokeweight="1.5pt"/>
            </w:pict>
          </mc:Fallback>
        </mc:AlternateContent>
      </w:r>
      <w:r w:rsidRPr="00A0532A">
        <w:rPr>
          <w:rFonts w:cs="Arial"/>
          <w:noProof/>
          <w:szCs w:val="22"/>
          <w:lang w:val="en-US"/>
        </w:rPr>
        <mc:AlternateContent>
          <mc:Choice Requires="wps">
            <w:drawing>
              <wp:anchor distT="0" distB="0" distL="114300" distR="114300" simplePos="0" relativeHeight="251664384" behindDoc="0" locked="0" layoutInCell="1" allowOverlap="1" wp14:anchorId="0ACBF1F9" wp14:editId="04BAC540">
                <wp:simplePos x="0" y="0"/>
                <wp:positionH relativeFrom="column">
                  <wp:posOffset>1912947</wp:posOffset>
                </wp:positionH>
                <wp:positionV relativeFrom="paragraph">
                  <wp:posOffset>828028</wp:posOffset>
                </wp:positionV>
                <wp:extent cx="1789532" cy="308540"/>
                <wp:effectExtent l="0" t="0" r="20320" b="34925"/>
                <wp:wrapNone/>
                <wp:docPr id="14" name="Straight Connector 14"/>
                <wp:cNvGraphicFramePr/>
                <a:graphic xmlns:a="http://schemas.openxmlformats.org/drawingml/2006/main">
                  <a:graphicData uri="http://schemas.microsoft.com/office/word/2010/wordprocessingShape">
                    <wps:wsp>
                      <wps:cNvCnPr/>
                      <wps:spPr>
                        <a:xfrm flipV="1">
                          <a:off x="0" y="0"/>
                          <a:ext cx="1789532" cy="30854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6AF1D8A" id="Straight Connector 1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65pt,65.2pt" to="291.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" strokecolor="#0d0d0d [3069]" strokeweight="1.5pt"/>
            </w:pict>
          </mc:Fallback>
        </mc:AlternateContent>
      </w:r>
      <w:r w:rsidRPr="00A0532A">
        <w:rPr>
          <w:rFonts w:cs="Arial"/>
          <w:noProof/>
          <w:szCs w:val="22"/>
          <w:lang w:val="en-US"/>
        </w:rPr>
        <w:drawing>
          <wp:inline distT="0" distB="0" distL="0" distR="0" wp14:anchorId="45113905" wp14:editId="0C2DC94C">
            <wp:extent cx="3033979" cy="199148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37724" cy="1993942"/>
                    </a:xfrm>
                    <a:prstGeom prst="rect">
                      <a:avLst/>
                    </a:prstGeom>
                    <a:noFill/>
                    <a:ln>
                      <a:noFill/>
                    </a:ln>
                  </pic:spPr>
                </pic:pic>
              </a:graphicData>
            </a:graphic>
          </wp:inline>
        </w:drawing>
      </w:r>
      <w:r w:rsidRPr="00A0532A">
        <w:rPr>
          <w:rFonts w:cs="Arial"/>
          <w:noProof/>
          <w:szCs w:val="22"/>
          <w:lang w:val="en-US"/>
        </w:rPr>
        <w:drawing>
          <wp:inline distT="0" distB="0" distL="0" distR="0" wp14:anchorId="6B678036" wp14:editId="5390200E">
            <wp:extent cx="2628661" cy="2002069"/>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632975" cy="2005355"/>
                    </a:xfrm>
                    <a:prstGeom prst="rect">
                      <a:avLst/>
                    </a:prstGeom>
                    <a:noFill/>
                    <a:ln>
                      <a:noFill/>
                    </a:ln>
                  </pic:spPr>
                </pic:pic>
              </a:graphicData>
            </a:graphic>
          </wp:inline>
        </w:drawing>
      </w:r>
    </w:p>
    <w:p w14:paraId="083B9CD0" w14:textId="0E8642D6" w:rsidR="00100CFD" w:rsidRPr="00A0532A" w:rsidRDefault="004A5492" w:rsidP="00CF1919">
      <w:pPr>
        <w:pStyle w:val="Caption"/>
        <w:rPr>
          <w:rFonts w:cs="Arial"/>
        </w:rPr>
      </w:pPr>
      <w:bookmarkStart w:id="400" w:name="_Toc262046872"/>
      <w:bookmarkStart w:id="401" w:name="_Toc270945527"/>
      <w:r w:rsidRPr="00A0532A">
        <w:t xml:space="preserve">Figure </w:t>
      </w:r>
      <w:r w:rsidRPr="00A0532A">
        <w:fldChar w:fldCharType="begin"/>
      </w:r>
      <w:r w:rsidRPr="00A0532A">
        <w:instrText xml:space="preserve"> SEQ Figure \* ARABIC </w:instrText>
      </w:r>
      <w:r w:rsidRPr="00A0532A">
        <w:fldChar w:fldCharType="separate"/>
      </w:r>
      <w:r w:rsidR="00E9048A">
        <w:rPr>
          <w:noProof/>
        </w:rPr>
        <w:t>24</w:t>
      </w:r>
      <w:r w:rsidRPr="00A0532A">
        <w:rPr>
          <w:noProof/>
        </w:rPr>
        <w:fldChar w:fldCharType="end"/>
      </w:r>
      <w:r w:rsidRPr="00A0532A">
        <w:t xml:space="preserve">: Image </w:t>
      </w:r>
      <w:r w:rsidR="00100CFD" w:rsidRPr="00A0532A">
        <w:t>Location and layout of Gumtree Road Informal Settlement, Ethekwini, KZN.</w:t>
      </w:r>
      <w:bookmarkEnd w:id="400"/>
      <w:bookmarkEnd w:id="401"/>
    </w:p>
    <w:p w14:paraId="7B955203" w14:textId="77777777" w:rsidR="004F7551" w:rsidRDefault="004F7551" w:rsidP="00100CFD">
      <w:pPr>
        <w:tabs>
          <w:tab w:val="left" w:pos="724"/>
          <w:tab w:val="left" w:pos="3128"/>
        </w:tabs>
        <w:rPr>
          <w:rFonts w:cs="Arial"/>
          <w:szCs w:val="22"/>
        </w:rPr>
      </w:pPr>
    </w:p>
    <w:p w14:paraId="71FB820B" w14:textId="77777777" w:rsidR="00100CFD" w:rsidRPr="00A0532A" w:rsidRDefault="00100CFD" w:rsidP="00100CFD">
      <w:pPr>
        <w:tabs>
          <w:tab w:val="left" w:pos="724"/>
          <w:tab w:val="left" w:pos="3128"/>
        </w:tabs>
        <w:rPr>
          <w:rFonts w:cs="Arial"/>
          <w:b/>
          <w:szCs w:val="22"/>
        </w:rPr>
      </w:pPr>
      <w:r w:rsidRPr="00A0532A">
        <w:rPr>
          <w:rFonts w:cs="Arial"/>
          <w:szCs w:val="22"/>
        </w:rPr>
        <w:t xml:space="preserve">b. </w:t>
      </w:r>
      <w:r w:rsidRPr="00A0532A">
        <w:rPr>
          <w:rFonts w:cs="Arial"/>
          <w:b/>
          <w:szCs w:val="22"/>
        </w:rPr>
        <w:t>Settlement Overview</w:t>
      </w:r>
      <w:r w:rsidRPr="00A0532A">
        <w:rPr>
          <w:rFonts w:cs="Arial"/>
          <w:b/>
          <w:szCs w:val="22"/>
        </w:rPr>
        <w:tab/>
      </w:r>
    </w:p>
    <w:p w14:paraId="58B8DFD3" w14:textId="77777777" w:rsidR="00100CFD" w:rsidRPr="00A0532A" w:rsidRDefault="00100CFD" w:rsidP="00100CFD">
      <w:pPr>
        <w:rPr>
          <w:rFonts w:cs="Arial"/>
          <w:szCs w:val="22"/>
        </w:rPr>
      </w:pPr>
      <w:r w:rsidRPr="00A0532A">
        <w:rPr>
          <w:rFonts w:cs="Arial"/>
          <w:szCs w:val="22"/>
        </w:rPr>
        <w:t xml:space="preserve">The site is just under 8 ha and is extremely well-located between the Umgeni Business Park and the Briardene Industrial Area, as well as well-established middle income suburbs. Access to transport is good with the settlement being in close proximity to both highway and the train station and there is a direct line between Kenville, KwaMashu and the city centre. </w:t>
      </w:r>
    </w:p>
    <w:p w14:paraId="476F76FF"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Some of the earliest settlers to Gum Tree Road came in the late 1980s from African townships in an attempt to move closer to work. These early settlers were joined by larger numbers in the early 1990s just before the first set of democratic elections. As mentioned it is a fairly small area of just under 8 hectares and is home to about 400 informal dwellings and an estimated population of 1200-1500 people.</w:t>
      </w:r>
      <w:r w:rsidRPr="00A0532A">
        <w:rPr>
          <w:rFonts w:cs="Arial"/>
          <w:szCs w:val="22"/>
        </w:rPr>
        <w:tab/>
      </w:r>
    </w:p>
    <w:p w14:paraId="2C01F1AB" w14:textId="77777777" w:rsidR="00A0532A" w:rsidRPr="00A0532A" w:rsidRDefault="00A0532A" w:rsidP="00100CFD">
      <w:pPr>
        <w:tabs>
          <w:tab w:val="left" w:pos="724"/>
          <w:tab w:val="left" w:pos="3128"/>
        </w:tabs>
        <w:rPr>
          <w:rFonts w:cs="Arial"/>
          <w:szCs w:val="22"/>
        </w:rPr>
      </w:pPr>
    </w:p>
    <w:p w14:paraId="1A34EA35" w14:textId="77777777" w:rsidR="00100CFD" w:rsidRPr="00A0532A" w:rsidRDefault="00100CFD" w:rsidP="00100CFD">
      <w:pPr>
        <w:tabs>
          <w:tab w:val="left" w:pos="724"/>
          <w:tab w:val="left" w:pos="3128"/>
        </w:tabs>
        <w:rPr>
          <w:rFonts w:cs="Arial"/>
          <w:b/>
          <w:szCs w:val="22"/>
        </w:rPr>
      </w:pPr>
      <w:r w:rsidRPr="00A0532A">
        <w:rPr>
          <w:rFonts w:cs="Arial"/>
          <w:szCs w:val="22"/>
        </w:rPr>
        <w:t xml:space="preserve">c. </w:t>
      </w:r>
      <w:r w:rsidRPr="00A0532A">
        <w:rPr>
          <w:rFonts w:cs="Arial"/>
          <w:b/>
          <w:szCs w:val="22"/>
        </w:rPr>
        <w:t>Physical Settlement Characteristics</w:t>
      </w:r>
      <w:r w:rsidRPr="00A0532A">
        <w:rPr>
          <w:rFonts w:cs="Arial"/>
          <w:b/>
          <w:szCs w:val="22"/>
        </w:rPr>
        <w:tab/>
      </w:r>
    </w:p>
    <w:p w14:paraId="7B09B75C"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lastRenderedPageBreak/>
        <w:t>The settlement is located on 17 formally defined erven, 16 are privately owned and the 17</w:t>
      </w:r>
      <w:r w:rsidRPr="00A0532A">
        <w:rPr>
          <w:rFonts w:cs="Arial"/>
          <w:szCs w:val="22"/>
          <w:vertAlign w:val="superscript"/>
        </w:rPr>
        <w:t>th</w:t>
      </w:r>
      <w:r w:rsidRPr="00A0532A">
        <w:rPr>
          <w:rFonts w:cs="Arial"/>
          <w:szCs w:val="22"/>
        </w:rPr>
        <w:t xml:space="preserve"> belongs to the municipality. The settlement is located on a very steep slope (see figure below), however households have adapted to the slope and house position has been largely determined in response to the contour lines. Furthermore, as a consequence of the slope the settlement is entirely pedestrianized with footpaths being well-established and adhered to. The settlement has a low density of approximately 53 units per hectare or 160 people per hectare. Although no official statistics could be found, evidence taken from photographs of the settlement indicate that structures use a mixture between conventional and temporary building materials, and there is the appearance of significant numbers of brick and mortar structures. The settlement has had communal standpipes and refuse collection since the early 1990s.</w:t>
      </w:r>
    </w:p>
    <w:p w14:paraId="3ECC48E5" w14:textId="77777777" w:rsidR="00100CFD" w:rsidRPr="00A0532A" w:rsidRDefault="00100CFD" w:rsidP="00100CFD">
      <w:pPr>
        <w:tabs>
          <w:tab w:val="left" w:pos="724"/>
          <w:tab w:val="left" w:pos="3128"/>
          <w:tab w:val="left" w:pos="6009"/>
          <w:tab w:val="left" w:pos="7345"/>
        </w:tabs>
        <w:ind w:left="118"/>
        <w:rPr>
          <w:rFonts w:cs="Arial"/>
          <w:szCs w:val="22"/>
        </w:rPr>
      </w:pPr>
    </w:p>
    <w:p w14:paraId="3E15586D" w14:textId="77777777" w:rsidR="00100CFD" w:rsidRPr="00A0532A" w:rsidRDefault="00100CFD" w:rsidP="00100CFD">
      <w:pPr>
        <w:keepNext/>
        <w:tabs>
          <w:tab w:val="left" w:pos="724"/>
          <w:tab w:val="left" w:pos="3128"/>
          <w:tab w:val="left" w:pos="6009"/>
          <w:tab w:val="left" w:pos="7345"/>
        </w:tabs>
        <w:ind w:left="118"/>
        <w:rPr>
          <w:szCs w:val="22"/>
        </w:rPr>
      </w:pPr>
      <w:r w:rsidRPr="00A0532A">
        <w:rPr>
          <w:rFonts w:cs="Arial"/>
          <w:noProof/>
          <w:szCs w:val="22"/>
          <w:lang w:val="en-US"/>
        </w:rPr>
        <w:drawing>
          <wp:inline distT="0" distB="0" distL="0" distR="0" wp14:anchorId="4E6B22D6" wp14:editId="5B2AA2CF">
            <wp:extent cx="3904432" cy="2458988"/>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907254" cy="2460765"/>
                    </a:xfrm>
                    <a:prstGeom prst="rect">
                      <a:avLst/>
                    </a:prstGeom>
                    <a:noFill/>
                    <a:ln>
                      <a:noFill/>
                    </a:ln>
                  </pic:spPr>
                </pic:pic>
              </a:graphicData>
            </a:graphic>
          </wp:inline>
        </w:drawing>
      </w:r>
    </w:p>
    <w:p w14:paraId="53EE2244" w14:textId="6513897F" w:rsidR="00100CFD" w:rsidRPr="00A0532A" w:rsidRDefault="004A5492" w:rsidP="00CF1919">
      <w:pPr>
        <w:pStyle w:val="Caption"/>
        <w:rPr>
          <w:rFonts w:cs="Arial"/>
        </w:rPr>
      </w:pPr>
      <w:bookmarkStart w:id="402" w:name="_Toc262046873"/>
      <w:bookmarkStart w:id="403" w:name="_Toc270945528"/>
      <w:r w:rsidRPr="00A0532A">
        <w:t xml:space="preserve">Figure </w:t>
      </w:r>
      <w:r w:rsidRPr="00A0532A">
        <w:fldChar w:fldCharType="begin"/>
      </w:r>
      <w:r w:rsidRPr="00A0532A">
        <w:instrText xml:space="preserve"> SEQ Figure \* ARABIC </w:instrText>
      </w:r>
      <w:r w:rsidRPr="00A0532A">
        <w:fldChar w:fldCharType="separate"/>
      </w:r>
      <w:r w:rsidR="00E9048A">
        <w:rPr>
          <w:noProof/>
        </w:rPr>
        <w:t>25</w:t>
      </w:r>
      <w:r w:rsidRPr="00A0532A">
        <w:rPr>
          <w:noProof/>
        </w:rPr>
        <w:fldChar w:fldCharType="end"/>
      </w:r>
      <w:r w:rsidRPr="00A0532A">
        <w:t>: Image</w:t>
      </w:r>
      <w:r w:rsidR="00100CFD" w:rsidRPr="00A0532A">
        <w:t>: Map indicating steepness of slope.</w:t>
      </w:r>
      <w:bookmarkEnd w:id="402"/>
      <w:bookmarkEnd w:id="403"/>
    </w:p>
    <w:p w14:paraId="71A56E48" w14:textId="77777777" w:rsidR="00100CFD" w:rsidRPr="00A0532A" w:rsidRDefault="00100CFD" w:rsidP="00100CFD">
      <w:pPr>
        <w:tabs>
          <w:tab w:val="left" w:pos="724"/>
          <w:tab w:val="left" w:pos="3128"/>
          <w:tab w:val="left" w:pos="6009"/>
          <w:tab w:val="left" w:pos="7345"/>
        </w:tabs>
        <w:rPr>
          <w:rFonts w:cs="Arial"/>
          <w:b/>
          <w:szCs w:val="22"/>
        </w:rPr>
      </w:pPr>
      <w:r w:rsidRPr="00A0532A">
        <w:rPr>
          <w:rFonts w:cs="Arial"/>
          <w:szCs w:val="22"/>
        </w:rPr>
        <w:t xml:space="preserve">d. </w:t>
      </w:r>
      <w:r w:rsidRPr="00A0532A">
        <w:rPr>
          <w:rFonts w:cs="Arial"/>
          <w:b/>
          <w:szCs w:val="22"/>
        </w:rPr>
        <w:t>Population dynamics and socio-economic conditions</w:t>
      </w:r>
      <w:r w:rsidRPr="00A0532A">
        <w:rPr>
          <w:rFonts w:cs="Arial"/>
          <w:b/>
          <w:szCs w:val="22"/>
        </w:rPr>
        <w:tab/>
      </w:r>
    </w:p>
    <w:p w14:paraId="7284A95A"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 xml:space="preserve">No information available about the population dynamics of the area other than to say that the majority of employed residents work in the nearby factories as unskilled labourers. </w:t>
      </w:r>
    </w:p>
    <w:p w14:paraId="6661E2CB" w14:textId="77777777" w:rsidR="00100CFD" w:rsidRPr="00A0532A" w:rsidRDefault="00100CFD" w:rsidP="00100CFD">
      <w:pPr>
        <w:tabs>
          <w:tab w:val="left" w:pos="724"/>
          <w:tab w:val="left" w:pos="3128"/>
          <w:tab w:val="left" w:pos="6009"/>
          <w:tab w:val="left" w:pos="7345"/>
        </w:tabs>
        <w:rPr>
          <w:rFonts w:cs="Arial"/>
          <w:szCs w:val="22"/>
        </w:rPr>
      </w:pPr>
    </w:p>
    <w:p w14:paraId="544684C0" w14:textId="77777777" w:rsidR="00100CFD" w:rsidRPr="00A0532A" w:rsidRDefault="00100CFD" w:rsidP="00100CFD">
      <w:pPr>
        <w:rPr>
          <w:rFonts w:cs="Arial"/>
          <w:b/>
          <w:szCs w:val="22"/>
        </w:rPr>
      </w:pPr>
      <w:r w:rsidRPr="00A0532A">
        <w:rPr>
          <w:rFonts w:cs="Arial"/>
          <w:szCs w:val="22"/>
        </w:rPr>
        <w:t xml:space="preserve">e. </w:t>
      </w:r>
      <w:r w:rsidRPr="00A0532A">
        <w:rPr>
          <w:rFonts w:cs="Arial"/>
          <w:b/>
          <w:szCs w:val="22"/>
        </w:rPr>
        <w:t>Leadership structures and governance context</w:t>
      </w:r>
    </w:p>
    <w:p w14:paraId="305F8F05" w14:textId="77777777" w:rsidR="00100CFD" w:rsidRPr="00A0532A" w:rsidRDefault="00100CFD" w:rsidP="00100CFD">
      <w:pPr>
        <w:autoSpaceDE w:val="0"/>
        <w:autoSpaceDN w:val="0"/>
        <w:adjustRightInd w:val="0"/>
        <w:rPr>
          <w:rFonts w:cs="Arial"/>
          <w:szCs w:val="22"/>
        </w:rPr>
      </w:pPr>
      <w:r w:rsidRPr="00A0532A">
        <w:rPr>
          <w:rFonts w:cs="Arial"/>
          <w:szCs w:val="22"/>
        </w:rPr>
        <w:t xml:space="preserve">The leadership structures in the settlement date from the second wave of in-migration, where due to the increased numbers of people, it was felt that some form of management was needed. The early settlers formed a committee to organise residents and set rules for entry to the settlement and general rules on behaviour. The leadership is still in place and manages conflict and disputes within the settlement as well as managing numbers of new entrants. Currently the Community Development Committee is comprised of approximately ten residents informally elected. Elections are through resident consensus and generally take place when a member is widely perceived to be non-performing. The Chairman of the CDC is the main representative and spokesman for all residents and usually works closely with the local Ward councillor. </w:t>
      </w:r>
      <w:r w:rsidRPr="00A0532A">
        <w:rPr>
          <w:rFonts w:cs="Arial"/>
          <w:szCs w:val="22"/>
        </w:rPr>
        <w:cr/>
      </w:r>
    </w:p>
    <w:p w14:paraId="5CFE816A" w14:textId="77777777" w:rsidR="00100CFD" w:rsidRPr="00A0532A" w:rsidRDefault="00100CFD" w:rsidP="00100CFD">
      <w:pPr>
        <w:tabs>
          <w:tab w:val="left" w:pos="724"/>
          <w:tab w:val="left" w:pos="3128"/>
        </w:tabs>
        <w:rPr>
          <w:rFonts w:cs="Arial"/>
          <w:b/>
          <w:szCs w:val="22"/>
        </w:rPr>
      </w:pPr>
      <w:r w:rsidRPr="00A0532A">
        <w:rPr>
          <w:rFonts w:cs="Arial"/>
          <w:szCs w:val="22"/>
        </w:rPr>
        <w:t xml:space="preserve">f. </w:t>
      </w:r>
      <w:r w:rsidRPr="00A0532A">
        <w:rPr>
          <w:rFonts w:cs="Arial"/>
          <w:b/>
          <w:szCs w:val="22"/>
        </w:rPr>
        <w:t>In Situ Upgrading Potential</w:t>
      </w:r>
      <w:r w:rsidRPr="00A0532A">
        <w:rPr>
          <w:rFonts w:cs="Arial"/>
          <w:b/>
          <w:szCs w:val="22"/>
        </w:rPr>
        <w:tab/>
      </w:r>
    </w:p>
    <w:p w14:paraId="2AB7AE1B" w14:textId="77777777" w:rsidR="00100CFD" w:rsidRPr="00A0532A" w:rsidRDefault="00100CFD" w:rsidP="00100CFD">
      <w:pPr>
        <w:autoSpaceDE w:val="0"/>
        <w:autoSpaceDN w:val="0"/>
        <w:adjustRightInd w:val="0"/>
        <w:rPr>
          <w:rFonts w:cs="Arial"/>
          <w:szCs w:val="22"/>
        </w:rPr>
      </w:pPr>
      <w:r w:rsidRPr="00A0532A">
        <w:rPr>
          <w:rFonts w:cs="Arial"/>
          <w:szCs w:val="22"/>
        </w:rPr>
        <w:lastRenderedPageBreak/>
        <w:t>The Gumtree Road settlement has been included in the municipality’s list of settlements selected for in situ upgrading since 2005. However, standard house plans and layouts would not be appropriate for this site and would result in high levels of de-densification and relocation of households. As such, alternatives are being investigated for the settlement and there has been a community engagement process in the settlement since 2008. However given the low skill levels it is unlikely that households will be able to consolidate their units without state assistance.</w:t>
      </w:r>
    </w:p>
    <w:p w14:paraId="639EF92E" w14:textId="77777777" w:rsidR="00100CFD" w:rsidRPr="00A0532A" w:rsidRDefault="00100CFD" w:rsidP="00100CFD">
      <w:pPr>
        <w:autoSpaceDE w:val="0"/>
        <w:autoSpaceDN w:val="0"/>
        <w:adjustRightInd w:val="0"/>
        <w:rPr>
          <w:rFonts w:cs="FuturaBT-Book"/>
          <w:szCs w:val="22"/>
        </w:rPr>
      </w:pPr>
    </w:p>
    <w:p w14:paraId="6387286A" w14:textId="1FE3CD49" w:rsidR="00CC2D09" w:rsidRPr="00CC2D09" w:rsidRDefault="00CC2D09" w:rsidP="002A05AF">
      <w:pPr>
        <w:pStyle w:val="Heading3"/>
        <w:numPr>
          <w:ilvl w:val="0"/>
          <w:numId w:val="0"/>
        </w:numPr>
        <w:ind w:left="624" w:hanging="624"/>
      </w:pPr>
      <w:bookmarkStart w:id="404" w:name="_Toc262067928"/>
      <w:bookmarkStart w:id="405" w:name="_Toc262068254"/>
      <w:r>
        <w:t>B</w:t>
      </w:r>
      <w:r w:rsidRPr="00CC2D09">
        <w:t xml:space="preserve">: </w:t>
      </w:r>
      <w:r>
        <w:t>Density: High Density and High Population</w:t>
      </w:r>
      <w:bookmarkEnd w:id="404"/>
      <w:bookmarkEnd w:id="405"/>
      <w:r>
        <w:t xml:space="preserve"> </w:t>
      </w:r>
    </w:p>
    <w:p w14:paraId="3A945892" w14:textId="77777777" w:rsidR="00100CFD" w:rsidRPr="00A0532A" w:rsidRDefault="00100CFD" w:rsidP="0055634E">
      <w:pPr>
        <w:pStyle w:val="ListParagraph"/>
        <w:numPr>
          <w:ilvl w:val="0"/>
          <w:numId w:val="26"/>
        </w:numPr>
        <w:autoSpaceDE w:val="0"/>
        <w:autoSpaceDN w:val="0"/>
        <w:adjustRightInd w:val="0"/>
        <w:spacing w:after="0" w:line="240" w:lineRule="auto"/>
        <w:ind w:left="180" w:hanging="180"/>
        <w:rPr>
          <w:rFonts w:cs="FuturaBT-Book"/>
          <w:b/>
        </w:rPr>
      </w:pPr>
      <w:r w:rsidRPr="00A0532A">
        <w:rPr>
          <w:rFonts w:cs="FuturaBT-Book"/>
          <w:b/>
        </w:rPr>
        <w:t>Settlement Location &amp; identification</w:t>
      </w:r>
    </w:p>
    <w:p w14:paraId="490A3CB9" w14:textId="77777777" w:rsidR="00100CFD" w:rsidRPr="00A0532A" w:rsidRDefault="00100CFD" w:rsidP="00100CFD">
      <w:pPr>
        <w:autoSpaceDE w:val="0"/>
        <w:autoSpaceDN w:val="0"/>
        <w:adjustRightInd w:val="0"/>
        <w:ind w:firstLine="720"/>
        <w:rPr>
          <w:rFonts w:cs="FuturaBT-Book"/>
          <w:szCs w:val="22"/>
        </w:rPr>
      </w:pPr>
      <w:r w:rsidRPr="00A0532A">
        <w:rPr>
          <w:rFonts w:cs="FuturaBT-Book"/>
          <w:szCs w:val="22"/>
        </w:rPr>
        <w:t>Settlement Name</w:t>
      </w:r>
      <w:r w:rsidRPr="00A0532A">
        <w:rPr>
          <w:rFonts w:cs="FuturaBT-Book"/>
          <w:szCs w:val="22"/>
        </w:rPr>
        <w:tab/>
        <w:t xml:space="preserve">   Diepsloot</w:t>
      </w:r>
    </w:p>
    <w:p w14:paraId="28C85468" w14:textId="77777777" w:rsidR="00100CFD" w:rsidRPr="00A0532A" w:rsidRDefault="00100CFD" w:rsidP="00100CFD">
      <w:pPr>
        <w:autoSpaceDE w:val="0"/>
        <w:autoSpaceDN w:val="0"/>
        <w:adjustRightInd w:val="0"/>
        <w:ind w:firstLine="720"/>
        <w:rPr>
          <w:rFonts w:cs="FuturaBT-Book"/>
          <w:szCs w:val="22"/>
        </w:rPr>
      </w:pPr>
      <w:r w:rsidRPr="00A0532A">
        <w:rPr>
          <w:rFonts w:cs="FuturaBT-Book"/>
          <w:szCs w:val="22"/>
        </w:rPr>
        <w:t>Municipality Name</w:t>
      </w:r>
      <w:r w:rsidRPr="00A0532A">
        <w:rPr>
          <w:rFonts w:cs="FuturaBT-Book"/>
          <w:szCs w:val="22"/>
        </w:rPr>
        <w:tab/>
        <w:t xml:space="preserve">   City of Johannesburg</w:t>
      </w:r>
    </w:p>
    <w:p w14:paraId="285AF366" w14:textId="77777777" w:rsidR="00100CFD" w:rsidRPr="00A0532A" w:rsidRDefault="00100CFD" w:rsidP="00100CFD">
      <w:pPr>
        <w:autoSpaceDE w:val="0"/>
        <w:autoSpaceDN w:val="0"/>
        <w:adjustRightInd w:val="0"/>
        <w:ind w:firstLine="720"/>
        <w:rPr>
          <w:rFonts w:cs="FuturaBT-Book"/>
          <w:szCs w:val="22"/>
        </w:rPr>
      </w:pPr>
      <w:r w:rsidRPr="00A0532A">
        <w:rPr>
          <w:rFonts w:cs="FuturaBT-Book"/>
          <w:szCs w:val="22"/>
        </w:rPr>
        <w:t>Province</w:t>
      </w:r>
      <w:r w:rsidRPr="00A0532A">
        <w:rPr>
          <w:rFonts w:cs="FuturaBT-Book"/>
          <w:szCs w:val="22"/>
        </w:rPr>
        <w:tab/>
      </w:r>
      <w:r w:rsidRPr="00A0532A">
        <w:rPr>
          <w:rFonts w:cs="FuturaBT-Book"/>
          <w:szCs w:val="22"/>
        </w:rPr>
        <w:tab/>
        <w:t xml:space="preserve">   Gauteng</w:t>
      </w:r>
    </w:p>
    <w:p w14:paraId="44384CD2" w14:textId="77777777" w:rsidR="00100CFD" w:rsidRPr="00A0532A" w:rsidRDefault="00100CFD" w:rsidP="00100CFD">
      <w:pPr>
        <w:autoSpaceDE w:val="0"/>
        <w:autoSpaceDN w:val="0"/>
        <w:adjustRightInd w:val="0"/>
        <w:rPr>
          <w:rFonts w:cs="FuturaBT-Book"/>
          <w:szCs w:val="22"/>
        </w:rPr>
      </w:pPr>
    </w:p>
    <w:p w14:paraId="3EE7FA0B" w14:textId="77777777" w:rsidR="00100CFD" w:rsidRPr="00A0532A" w:rsidRDefault="00100CFD" w:rsidP="0055634E">
      <w:pPr>
        <w:pStyle w:val="ListParagraph"/>
        <w:numPr>
          <w:ilvl w:val="0"/>
          <w:numId w:val="26"/>
        </w:numPr>
        <w:autoSpaceDE w:val="0"/>
        <w:autoSpaceDN w:val="0"/>
        <w:adjustRightInd w:val="0"/>
        <w:spacing w:after="0" w:line="240" w:lineRule="auto"/>
        <w:ind w:left="180" w:hanging="180"/>
        <w:rPr>
          <w:rFonts w:cs="FuturaBT-Book"/>
          <w:b/>
        </w:rPr>
      </w:pPr>
      <w:r w:rsidRPr="00A0532A">
        <w:rPr>
          <w:rFonts w:cs="FuturaBT-Book"/>
          <w:b/>
        </w:rPr>
        <w:t>Settlement Overview</w:t>
      </w:r>
    </w:p>
    <w:p w14:paraId="4217A666" w14:textId="77777777" w:rsidR="00100CFD" w:rsidRPr="00A0532A" w:rsidRDefault="00100CFD" w:rsidP="00100CFD">
      <w:pPr>
        <w:autoSpaceDE w:val="0"/>
        <w:autoSpaceDN w:val="0"/>
        <w:adjustRightInd w:val="0"/>
        <w:rPr>
          <w:rFonts w:cs="Arial"/>
          <w:szCs w:val="22"/>
        </w:rPr>
      </w:pPr>
      <w:r w:rsidRPr="00A0532A">
        <w:rPr>
          <w:rFonts w:cs="Arial"/>
          <w:szCs w:val="22"/>
        </w:rPr>
        <w:t>Diepsloot, located about 40 km form the Johannesburg city centre, began life as transit camp for over 1100 households relocated from Zevenfontein in 1995, the population grew to an estimated 10 000 households by 1999 a number that was significantly bolstered in 2001 when the Gauteng government moved about 5000 families to Diepsloot from the banks of the Jukskei River in Alexandra as part of the Alexandra Renewal Project. Over the intervening years the settlement has grown to almost 140 000 (according to the 2011 Census, although some estimates put the population as high as 350 000) attracted by its good transport links, along the arterial road of William Nicol Drive and close to the N14 highway. It is also very close to the upper income neighbourhoods of Dainfern and Chartwell and 20km from the financial centre of Sandton. It is also accessible, generally by minibus taxi, to Tshwane, Centurion and Midrand. It is a densely settled settlement of about 12km² with a density of approximately 11,532 people per km².</w:t>
      </w:r>
    </w:p>
    <w:p w14:paraId="20577A7D" w14:textId="77777777" w:rsidR="00100CFD" w:rsidRPr="00A0532A" w:rsidRDefault="00100CFD" w:rsidP="00100CFD">
      <w:pPr>
        <w:autoSpaceDE w:val="0"/>
        <w:autoSpaceDN w:val="0"/>
        <w:adjustRightInd w:val="0"/>
        <w:rPr>
          <w:rFonts w:cs="Arial"/>
          <w:szCs w:val="22"/>
        </w:rPr>
      </w:pPr>
    </w:p>
    <w:p w14:paraId="5702C24F" w14:textId="77777777" w:rsidR="00100CFD" w:rsidRPr="00A0532A" w:rsidRDefault="00100CFD" w:rsidP="00100CFD">
      <w:pPr>
        <w:autoSpaceDE w:val="0"/>
        <w:autoSpaceDN w:val="0"/>
        <w:adjustRightInd w:val="0"/>
        <w:rPr>
          <w:rFonts w:cs="Arial"/>
          <w:b/>
          <w:szCs w:val="22"/>
        </w:rPr>
      </w:pPr>
      <w:r w:rsidRPr="00A0532A">
        <w:rPr>
          <w:rFonts w:cs="Arial"/>
          <w:b/>
          <w:szCs w:val="22"/>
        </w:rPr>
        <w:t xml:space="preserve">c. Physical Settlement Characteristics. </w:t>
      </w:r>
    </w:p>
    <w:p w14:paraId="36FC7207" w14:textId="77777777" w:rsidR="00100CFD" w:rsidRPr="00A0532A" w:rsidRDefault="00100CFD" w:rsidP="00100CFD">
      <w:pPr>
        <w:autoSpaceDE w:val="0"/>
        <w:autoSpaceDN w:val="0"/>
        <w:adjustRightInd w:val="0"/>
        <w:rPr>
          <w:rFonts w:cs="Arial"/>
          <w:szCs w:val="22"/>
        </w:rPr>
      </w:pPr>
      <w:r w:rsidRPr="00A0532A">
        <w:rPr>
          <w:rFonts w:cs="Arial"/>
          <w:szCs w:val="22"/>
        </w:rPr>
        <w:t xml:space="preserve">Diepsloot is divided into a series of smaller extensions, each of which has its own character and distribution of formal and informal units: extensions 1, 12 and 13 have shacks only: whereas extensions 2, 4, 5, 6, 7, 8, 9, 10, 11 have RDP houses but most also have shacks and backyard rooms; and extension 3 (Tanganani) has bond houses. Estimates of the precise numbers of the population, number of units and provision of facilities is difficult to specify (as is often the case in large and dense settlements). A 2011 JDA/ULM report argue that there are some 24,737 shacks constructed mostly from corrugated iron, wood and cardboard alongside more than 5 000 formal housing units, such as RDP houses, self-built houses on serviced sites, and a small number of bank-financed houses, constructed from brick and mortar. However, a report by Brown University argues that there are more than 50 000 shacks and 8000 RDP units alone and the latest census identifies over 40 000 people living in informal accommodation of either free-standing shacks or backyard rooms and 17000 in free-standing formal units. </w:t>
      </w:r>
    </w:p>
    <w:p w14:paraId="18FF1909" w14:textId="77777777" w:rsidR="00100CFD" w:rsidRPr="00A0532A" w:rsidRDefault="00100CFD" w:rsidP="00100CFD">
      <w:pPr>
        <w:autoSpaceDE w:val="0"/>
        <w:autoSpaceDN w:val="0"/>
        <w:adjustRightInd w:val="0"/>
        <w:rPr>
          <w:rFonts w:cs="Arial"/>
          <w:szCs w:val="22"/>
        </w:rPr>
      </w:pPr>
      <w:r w:rsidRPr="00A0532A">
        <w:rPr>
          <w:rFonts w:cs="Arial"/>
          <w:szCs w:val="22"/>
        </w:rPr>
        <w:lastRenderedPageBreak/>
        <w:t xml:space="preserve">In terms of services: electricity was provided to the formal units but there are now high numbers of illegal connections in the settlement to supply informal households. Internal roads within the settlement have been classified as poor by the City of Johannesburg’s 2010/2011 RSDF. Water and sewerage are a major problem within the settlement but vary across the settlement and the household typology i.e. backyard units may have better access to services than those staying in informal settlements. </w:t>
      </w:r>
    </w:p>
    <w:p w14:paraId="0D703262" w14:textId="77777777" w:rsidR="00100CFD" w:rsidRPr="00A0532A" w:rsidRDefault="00100CFD" w:rsidP="00100CFD">
      <w:pPr>
        <w:autoSpaceDE w:val="0"/>
        <w:autoSpaceDN w:val="0"/>
        <w:adjustRightInd w:val="0"/>
        <w:rPr>
          <w:rFonts w:cs="Arial"/>
          <w:szCs w:val="22"/>
        </w:rPr>
      </w:pPr>
    </w:p>
    <w:p w14:paraId="2449915A" w14:textId="77777777" w:rsidR="00100CFD" w:rsidRPr="00A0532A" w:rsidRDefault="00100CFD" w:rsidP="00100CFD">
      <w:pPr>
        <w:tabs>
          <w:tab w:val="left" w:pos="724"/>
          <w:tab w:val="left" w:pos="3128"/>
          <w:tab w:val="left" w:pos="6009"/>
          <w:tab w:val="left" w:pos="7345"/>
        </w:tabs>
        <w:rPr>
          <w:rFonts w:cs="Arial"/>
          <w:b/>
          <w:szCs w:val="22"/>
        </w:rPr>
      </w:pPr>
      <w:r w:rsidRPr="00A0532A">
        <w:rPr>
          <w:rFonts w:cs="Arial"/>
          <w:b/>
          <w:szCs w:val="22"/>
        </w:rPr>
        <w:t>d. Population dynamics and socio-economic conditions</w:t>
      </w:r>
      <w:r w:rsidRPr="00A0532A">
        <w:rPr>
          <w:rFonts w:cs="Arial"/>
          <w:b/>
          <w:szCs w:val="22"/>
        </w:rPr>
        <w:tab/>
      </w:r>
    </w:p>
    <w:p w14:paraId="3559E291" w14:textId="77777777" w:rsidR="00100CFD" w:rsidRPr="00A0532A" w:rsidRDefault="00100CFD" w:rsidP="00100CFD">
      <w:pPr>
        <w:keepNext/>
        <w:tabs>
          <w:tab w:val="left" w:pos="724"/>
          <w:tab w:val="left" w:pos="3128"/>
          <w:tab w:val="left" w:pos="6009"/>
          <w:tab w:val="left" w:pos="7345"/>
        </w:tabs>
        <w:rPr>
          <w:szCs w:val="22"/>
        </w:rPr>
      </w:pPr>
      <w:r w:rsidRPr="00A0532A">
        <w:rPr>
          <w:noProof/>
          <w:szCs w:val="22"/>
          <w:lang w:val="en-US"/>
        </w:rPr>
        <w:drawing>
          <wp:inline distT="0" distB="0" distL="0" distR="0" wp14:anchorId="2C6EC3BC" wp14:editId="0DB4C45B">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455A958" w14:textId="76A3F4E7" w:rsidR="00100CFD" w:rsidRPr="00A0532A" w:rsidRDefault="00EC0A74" w:rsidP="00CF1919">
      <w:pPr>
        <w:pStyle w:val="Caption"/>
        <w:rPr>
          <w:rFonts w:cs="Arial"/>
        </w:rPr>
      </w:pPr>
      <w:bookmarkStart w:id="406" w:name="_Toc262046874"/>
      <w:bookmarkStart w:id="407" w:name="_Toc270945529"/>
      <w:r w:rsidRPr="00A0532A">
        <w:t xml:space="preserve">Figure </w:t>
      </w:r>
      <w:r w:rsidRPr="00A0532A">
        <w:fldChar w:fldCharType="begin"/>
      </w:r>
      <w:r w:rsidRPr="00A0532A">
        <w:instrText xml:space="preserve"> SEQ Figure \* ARABIC </w:instrText>
      </w:r>
      <w:r w:rsidRPr="00A0532A">
        <w:fldChar w:fldCharType="separate"/>
      </w:r>
      <w:r w:rsidR="00E9048A">
        <w:rPr>
          <w:noProof/>
        </w:rPr>
        <w:t>26</w:t>
      </w:r>
      <w:r w:rsidRPr="00A0532A">
        <w:rPr>
          <w:noProof/>
        </w:rPr>
        <w:fldChar w:fldCharType="end"/>
      </w:r>
      <w:r w:rsidRPr="00A0532A">
        <w:t xml:space="preserve">: </w:t>
      </w:r>
      <w:r w:rsidR="00100CFD" w:rsidRPr="00A0532A">
        <w:t>Percentages of households per income/month category (Source: StatsSA, 2011)</w:t>
      </w:r>
      <w:bookmarkEnd w:id="406"/>
      <w:bookmarkEnd w:id="407"/>
    </w:p>
    <w:p w14:paraId="39662697" w14:textId="77777777" w:rsidR="00EC0A74" w:rsidRDefault="00EC0A74" w:rsidP="00100CFD">
      <w:pPr>
        <w:tabs>
          <w:tab w:val="left" w:pos="724"/>
          <w:tab w:val="left" w:pos="3128"/>
          <w:tab w:val="left" w:pos="6009"/>
          <w:tab w:val="left" w:pos="7345"/>
        </w:tabs>
        <w:rPr>
          <w:rFonts w:cs="Arial"/>
          <w:szCs w:val="22"/>
        </w:rPr>
      </w:pPr>
    </w:p>
    <w:p w14:paraId="754E788C"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The 2011 Census reveals that the socio-economic profile of the area is not promising in terms of the ability of the population to invest in housing. Employment in the area is very low with only just over half of the population in some type of formal employment, with more than 23% constituting unemployed people, and a further 22% who are either discouraged work seekers or who although sitting in the 15-64 year old age cohort are not economically active. The end result is a very poor population with just under 30% earning less than R1600 a month and a further 38% earning between R1601-R3200. Prospects also look very bleak as the majority of residents have low education levels, with 48 000 residents having some secondary and 30 500 who have a standard 10 or Grade 12, making competing in the workforce extremely difficult.</w:t>
      </w:r>
    </w:p>
    <w:p w14:paraId="1EE348D9" w14:textId="77777777" w:rsidR="00EC0A74" w:rsidRDefault="00EC0A74" w:rsidP="00CF1919">
      <w:pPr>
        <w:pStyle w:val="Caption"/>
      </w:pPr>
    </w:p>
    <w:p w14:paraId="5E737C0F" w14:textId="77777777" w:rsidR="00100CFD" w:rsidRPr="00A0532A" w:rsidRDefault="00100CFD" w:rsidP="00CF1919">
      <w:pPr>
        <w:pStyle w:val="Caption"/>
      </w:pPr>
      <w:bookmarkStart w:id="408" w:name="_Toc270945499"/>
      <w:r w:rsidRPr="00A0532A">
        <w:t xml:space="preserve">Table </w:t>
      </w:r>
      <w:r w:rsidRPr="00A0532A">
        <w:fldChar w:fldCharType="begin"/>
      </w:r>
      <w:r w:rsidRPr="00A0532A">
        <w:instrText xml:space="preserve"> SEQ Table \* ARABIC </w:instrText>
      </w:r>
      <w:r w:rsidRPr="00A0532A">
        <w:fldChar w:fldCharType="separate"/>
      </w:r>
      <w:r w:rsidR="00E9048A">
        <w:rPr>
          <w:noProof/>
        </w:rPr>
        <w:t>8</w:t>
      </w:r>
      <w:r w:rsidRPr="00A0532A">
        <w:rPr>
          <w:noProof/>
        </w:rPr>
        <w:fldChar w:fldCharType="end"/>
      </w:r>
      <w:r w:rsidRPr="00A0532A">
        <w:t>: Employment statistics for Diepsloot (Source: StatsSA, 2011)</w:t>
      </w:r>
      <w:bookmarkEnd w:id="408"/>
    </w:p>
    <w:tbl>
      <w:tblPr>
        <w:tblStyle w:val="TableGrid"/>
        <w:tblW w:w="0" w:type="auto"/>
        <w:tblLook w:val="04A0" w:firstRow="1" w:lastRow="0" w:firstColumn="1" w:lastColumn="0" w:noHBand="0" w:noVBand="1"/>
      </w:tblPr>
      <w:tblGrid>
        <w:gridCol w:w="3293"/>
        <w:gridCol w:w="2867"/>
        <w:gridCol w:w="2856"/>
      </w:tblGrid>
      <w:tr w:rsidR="00100CFD" w:rsidRPr="00A0532A" w14:paraId="33F8887B" w14:textId="77777777" w:rsidTr="00100CFD">
        <w:trPr>
          <w:trHeight w:val="300"/>
        </w:trPr>
        <w:tc>
          <w:tcPr>
            <w:tcW w:w="3293" w:type="dxa"/>
            <w:noWrap/>
            <w:hideMark/>
          </w:tcPr>
          <w:p w14:paraId="0F6B2631" w14:textId="77777777" w:rsidR="00100CFD" w:rsidRPr="00A0532A" w:rsidRDefault="00100CFD" w:rsidP="00100CFD">
            <w:pPr>
              <w:tabs>
                <w:tab w:val="left" w:pos="724"/>
                <w:tab w:val="left" w:pos="3128"/>
                <w:tab w:val="left" w:pos="6009"/>
                <w:tab w:val="left" w:pos="7345"/>
              </w:tabs>
              <w:rPr>
                <w:rFonts w:cs="Arial"/>
                <w:szCs w:val="22"/>
              </w:rPr>
            </w:pPr>
          </w:p>
        </w:tc>
        <w:tc>
          <w:tcPr>
            <w:tcW w:w="2867" w:type="dxa"/>
            <w:noWrap/>
            <w:hideMark/>
          </w:tcPr>
          <w:p w14:paraId="1CA4D801"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Number</w:t>
            </w:r>
          </w:p>
        </w:tc>
        <w:tc>
          <w:tcPr>
            <w:tcW w:w="2856" w:type="dxa"/>
            <w:noWrap/>
            <w:hideMark/>
          </w:tcPr>
          <w:p w14:paraId="7AFF6CA9"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Percent</w:t>
            </w:r>
          </w:p>
        </w:tc>
      </w:tr>
      <w:tr w:rsidR="00100CFD" w:rsidRPr="00A0532A" w14:paraId="31F82D8E" w14:textId="77777777" w:rsidTr="00100CFD">
        <w:trPr>
          <w:trHeight w:val="300"/>
        </w:trPr>
        <w:tc>
          <w:tcPr>
            <w:tcW w:w="3293" w:type="dxa"/>
            <w:noWrap/>
            <w:hideMark/>
          </w:tcPr>
          <w:p w14:paraId="60989E8A"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Employed</w:t>
            </w:r>
          </w:p>
        </w:tc>
        <w:tc>
          <w:tcPr>
            <w:tcW w:w="2867" w:type="dxa"/>
            <w:noWrap/>
            <w:hideMark/>
          </w:tcPr>
          <w:p w14:paraId="5A06F563"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58041</w:t>
            </w:r>
          </w:p>
        </w:tc>
        <w:tc>
          <w:tcPr>
            <w:tcW w:w="2856" w:type="dxa"/>
            <w:noWrap/>
            <w:hideMark/>
          </w:tcPr>
          <w:p w14:paraId="5800CE53"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54</w:t>
            </w:r>
          </w:p>
        </w:tc>
      </w:tr>
      <w:tr w:rsidR="00100CFD" w:rsidRPr="00A0532A" w14:paraId="3F3DE4DB" w14:textId="77777777" w:rsidTr="00100CFD">
        <w:trPr>
          <w:trHeight w:val="300"/>
        </w:trPr>
        <w:tc>
          <w:tcPr>
            <w:tcW w:w="3293" w:type="dxa"/>
            <w:noWrap/>
            <w:hideMark/>
          </w:tcPr>
          <w:p w14:paraId="18F86D8A"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Unemployed</w:t>
            </w:r>
          </w:p>
        </w:tc>
        <w:tc>
          <w:tcPr>
            <w:tcW w:w="2867" w:type="dxa"/>
            <w:noWrap/>
            <w:hideMark/>
          </w:tcPr>
          <w:p w14:paraId="0D8F0F84"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24314</w:t>
            </w:r>
          </w:p>
        </w:tc>
        <w:tc>
          <w:tcPr>
            <w:tcW w:w="2856" w:type="dxa"/>
            <w:noWrap/>
            <w:hideMark/>
          </w:tcPr>
          <w:p w14:paraId="44530043"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23</w:t>
            </w:r>
          </w:p>
        </w:tc>
      </w:tr>
      <w:tr w:rsidR="00100CFD" w:rsidRPr="00A0532A" w14:paraId="5111AC93" w14:textId="77777777" w:rsidTr="00100CFD">
        <w:trPr>
          <w:trHeight w:val="300"/>
        </w:trPr>
        <w:tc>
          <w:tcPr>
            <w:tcW w:w="3293" w:type="dxa"/>
            <w:noWrap/>
            <w:hideMark/>
          </w:tcPr>
          <w:p w14:paraId="44816938"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Discouraged work seeker</w:t>
            </w:r>
          </w:p>
        </w:tc>
        <w:tc>
          <w:tcPr>
            <w:tcW w:w="2867" w:type="dxa"/>
            <w:noWrap/>
            <w:hideMark/>
          </w:tcPr>
          <w:p w14:paraId="33AE6402"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3449</w:t>
            </w:r>
          </w:p>
        </w:tc>
        <w:tc>
          <w:tcPr>
            <w:tcW w:w="2856" w:type="dxa"/>
            <w:noWrap/>
            <w:hideMark/>
          </w:tcPr>
          <w:p w14:paraId="443F7253"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3</w:t>
            </w:r>
          </w:p>
        </w:tc>
      </w:tr>
      <w:tr w:rsidR="00100CFD" w:rsidRPr="00A0532A" w14:paraId="2DC02989" w14:textId="77777777" w:rsidTr="00100CFD">
        <w:trPr>
          <w:trHeight w:val="300"/>
        </w:trPr>
        <w:tc>
          <w:tcPr>
            <w:tcW w:w="3293" w:type="dxa"/>
            <w:noWrap/>
            <w:hideMark/>
          </w:tcPr>
          <w:p w14:paraId="2E1655C0"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lastRenderedPageBreak/>
              <w:t>Not economically active</w:t>
            </w:r>
          </w:p>
        </w:tc>
        <w:tc>
          <w:tcPr>
            <w:tcW w:w="2867" w:type="dxa"/>
            <w:noWrap/>
            <w:hideMark/>
          </w:tcPr>
          <w:p w14:paraId="29E47221"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20379</w:t>
            </w:r>
          </w:p>
        </w:tc>
        <w:tc>
          <w:tcPr>
            <w:tcW w:w="2856" w:type="dxa"/>
            <w:noWrap/>
            <w:hideMark/>
          </w:tcPr>
          <w:p w14:paraId="3BFB2B7D"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19</w:t>
            </w:r>
          </w:p>
        </w:tc>
      </w:tr>
    </w:tbl>
    <w:p w14:paraId="40063F6A" w14:textId="77777777" w:rsidR="00100CFD" w:rsidRPr="00A0532A" w:rsidRDefault="00100CFD" w:rsidP="00100CFD">
      <w:pPr>
        <w:tabs>
          <w:tab w:val="left" w:pos="724"/>
          <w:tab w:val="left" w:pos="3128"/>
          <w:tab w:val="left" w:pos="6009"/>
          <w:tab w:val="left" w:pos="7345"/>
        </w:tabs>
        <w:rPr>
          <w:rFonts w:cs="Arial"/>
          <w:szCs w:val="22"/>
        </w:rPr>
      </w:pPr>
    </w:p>
    <w:p w14:paraId="4ABBACC2" w14:textId="77777777" w:rsidR="00100CFD" w:rsidRPr="00A0532A" w:rsidRDefault="00100CFD" w:rsidP="00100CFD">
      <w:pPr>
        <w:tabs>
          <w:tab w:val="left" w:pos="724"/>
          <w:tab w:val="left" w:pos="3128"/>
          <w:tab w:val="left" w:pos="6009"/>
          <w:tab w:val="left" w:pos="7345"/>
        </w:tabs>
        <w:rPr>
          <w:rFonts w:cs="Arial"/>
          <w:b/>
          <w:szCs w:val="22"/>
        </w:rPr>
      </w:pPr>
      <w:r w:rsidRPr="00A0532A">
        <w:rPr>
          <w:rFonts w:cs="Arial"/>
          <w:szCs w:val="22"/>
        </w:rPr>
        <w:t xml:space="preserve">There are also a number of foreign-born migrants in the settlement with the largest number coming from SADC and the rest of Africa, estimated to be close to 28 000 people. The population is also very young with over 40% constituted of people below the age of 24 and a significant number of young children. The number of foreign-born residents also means that access to private funding may prove difficult depending on their legal status, as well as their intention to stay long-term in South Africa, both of which would affect the ability and willingness of these residents to invest in the area. Especially with competing priorities of sending money “home” or seeing South Africa as a stop-over in longer term travel and life plans. </w:t>
      </w:r>
    </w:p>
    <w:p w14:paraId="2A784802" w14:textId="77777777" w:rsidR="004F7551" w:rsidRDefault="004F7551" w:rsidP="00100CFD">
      <w:pPr>
        <w:rPr>
          <w:rFonts w:cs="Arial"/>
          <w:szCs w:val="22"/>
        </w:rPr>
      </w:pPr>
    </w:p>
    <w:p w14:paraId="1CDF73DB" w14:textId="77777777" w:rsidR="00100CFD" w:rsidRPr="00A0532A" w:rsidRDefault="00100CFD" w:rsidP="00100CFD">
      <w:pPr>
        <w:rPr>
          <w:rFonts w:cs="Arial"/>
          <w:b/>
          <w:szCs w:val="22"/>
        </w:rPr>
      </w:pPr>
      <w:r w:rsidRPr="00A0532A">
        <w:rPr>
          <w:rFonts w:cs="Arial"/>
          <w:szCs w:val="22"/>
        </w:rPr>
        <w:t xml:space="preserve">e. </w:t>
      </w:r>
      <w:r w:rsidRPr="00A0532A">
        <w:rPr>
          <w:rFonts w:cs="Arial"/>
          <w:b/>
          <w:szCs w:val="22"/>
        </w:rPr>
        <w:t>Leadership structures and governance context</w:t>
      </w:r>
    </w:p>
    <w:p w14:paraId="436C692E" w14:textId="77777777" w:rsidR="00100CFD" w:rsidRPr="00A0532A" w:rsidRDefault="00100CFD" w:rsidP="00100CFD">
      <w:pPr>
        <w:autoSpaceDE w:val="0"/>
        <w:autoSpaceDN w:val="0"/>
        <w:adjustRightInd w:val="0"/>
        <w:rPr>
          <w:rFonts w:cs="Arial"/>
          <w:szCs w:val="22"/>
        </w:rPr>
      </w:pPr>
      <w:r w:rsidRPr="00A0532A">
        <w:rPr>
          <w:rFonts w:cs="Arial"/>
          <w:szCs w:val="22"/>
        </w:rPr>
        <w:t xml:space="preserve">The politics and leadership of Diepsloot are highly localised and very complex. There are ward councillors, with whom many of the residents have expressed dissatisfaction as well as local leaders, who are either politically affiliated or are seen to be in cahoots with the ANC. Harber’s (2011) book also describes the multiple identities that many community leaders have as bureaucrats, community liaison officers, and party members, which makes lines of communication as well as conflicts of interest difficult to manage. A situation that has been made worse by the fact that many leaders and politicians are also business owners and entrepreneurs, which adds further layers of complexity and mistrust to an already difficult situation. </w:t>
      </w:r>
    </w:p>
    <w:p w14:paraId="310BF4A3" w14:textId="77777777" w:rsidR="00100CFD" w:rsidRPr="00A0532A" w:rsidRDefault="00100CFD" w:rsidP="00100CFD">
      <w:pPr>
        <w:autoSpaceDE w:val="0"/>
        <w:autoSpaceDN w:val="0"/>
        <w:adjustRightInd w:val="0"/>
        <w:rPr>
          <w:rFonts w:cs="Arial"/>
          <w:szCs w:val="22"/>
        </w:rPr>
      </w:pPr>
    </w:p>
    <w:p w14:paraId="32B4CC69" w14:textId="77777777" w:rsidR="00100CFD" w:rsidRPr="00A0532A" w:rsidRDefault="00100CFD" w:rsidP="00100CFD">
      <w:pPr>
        <w:autoSpaceDE w:val="0"/>
        <w:autoSpaceDN w:val="0"/>
        <w:adjustRightInd w:val="0"/>
        <w:rPr>
          <w:rFonts w:cs="Arial"/>
          <w:b/>
          <w:szCs w:val="22"/>
        </w:rPr>
      </w:pPr>
      <w:r w:rsidRPr="00A0532A">
        <w:rPr>
          <w:rFonts w:cs="Arial"/>
          <w:b/>
          <w:szCs w:val="22"/>
        </w:rPr>
        <w:t>f. In situ upgrading potential</w:t>
      </w:r>
    </w:p>
    <w:p w14:paraId="2E5D4396" w14:textId="77777777" w:rsidR="00100CFD" w:rsidRPr="00A0532A" w:rsidRDefault="00100CFD" w:rsidP="00100CFD">
      <w:pPr>
        <w:autoSpaceDE w:val="0"/>
        <w:autoSpaceDN w:val="0"/>
        <w:adjustRightInd w:val="0"/>
        <w:rPr>
          <w:rFonts w:cs="Arial"/>
          <w:szCs w:val="22"/>
        </w:rPr>
      </w:pPr>
      <w:r w:rsidRPr="00A0532A">
        <w:rPr>
          <w:rFonts w:cs="Arial"/>
          <w:szCs w:val="22"/>
        </w:rPr>
        <w:t>The Greater Diepsloot and Greater Ivory Park areas are classified as Marginalised areas and are among the most prioritised areas in terms of the GMS for the City of Johannesburg, they are also seen as “mayoral priorities” and according to the 2010 MFMA report, “are seen as areas that need to be developed and reintegrated into the social fabric of the City”. There is a strong recognition that the area requires significant investment, and there are plans for improved access to sewerage, water, electricity and road upgrading, which have been included in the Treasury’s MFMA budget, the City of Johannesburg’s IDP and Business Plan. However, the large population and significant level of need make progress in the area difficult to measure. Upgrades are also largely dependent in the precise nature of each of the extensions due to the heterogeneity that characterises Diepsloot. What is apparent and has been taking place organically has been the building of backyard structures for kin and as an income generating option for households. This is a sign of investment and consolidation in the area and should be encouraged and regulated.</w:t>
      </w:r>
    </w:p>
    <w:p w14:paraId="2B4C550B" w14:textId="7647E3B9" w:rsidR="00CC2D09" w:rsidRPr="00CC2D09" w:rsidRDefault="00CC2D09" w:rsidP="002A05AF">
      <w:pPr>
        <w:pStyle w:val="Heading3"/>
        <w:numPr>
          <w:ilvl w:val="0"/>
          <w:numId w:val="0"/>
        </w:numPr>
        <w:ind w:left="624" w:hanging="624"/>
      </w:pPr>
      <w:bookmarkStart w:id="409" w:name="_Toc262067929"/>
      <w:bookmarkStart w:id="410" w:name="_Toc262068255"/>
      <w:r>
        <w:t>C</w:t>
      </w:r>
      <w:r w:rsidRPr="00CC2D09">
        <w:t xml:space="preserve">: </w:t>
      </w:r>
      <w:r>
        <w:t>Legal Status – Layers of Recognition: Difficulties in Governance</w:t>
      </w:r>
      <w:bookmarkEnd w:id="409"/>
      <w:bookmarkEnd w:id="410"/>
      <w:r>
        <w:t xml:space="preserve"> </w:t>
      </w:r>
    </w:p>
    <w:p w14:paraId="304861E1" w14:textId="77777777" w:rsidR="00100CFD" w:rsidRPr="00A0532A" w:rsidRDefault="00100CFD" w:rsidP="00100CFD">
      <w:pPr>
        <w:autoSpaceDE w:val="0"/>
        <w:autoSpaceDN w:val="0"/>
        <w:adjustRightInd w:val="0"/>
        <w:rPr>
          <w:rFonts w:cs="Arial"/>
          <w:b/>
          <w:szCs w:val="22"/>
        </w:rPr>
      </w:pPr>
      <w:r w:rsidRPr="00A0532A">
        <w:rPr>
          <w:rFonts w:cs="Arial"/>
          <w:b/>
          <w:szCs w:val="22"/>
        </w:rPr>
        <w:t>a. Settlement Location and Identification</w:t>
      </w:r>
    </w:p>
    <w:p w14:paraId="17420C46" w14:textId="77777777" w:rsidR="00100CFD" w:rsidRPr="00A0532A" w:rsidRDefault="00100CFD" w:rsidP="00100CFD">
      <w:pPr>
        <w:pStyle w:val="ListParagraph"/>
        <w:autoSpaceDE w:val="0"/>
        <w:autoSpaceDN w:val="0"/>
        <w:adjustRightInd w:val="0"/>
        <w:rPr>
          <w:rFonts w:cs="Arial"/>
        </w:rPr>
      </w:pPr>
      <w:r w:rsidRPr="00A0532A">
        <w:rPr>
          <w:rFonts w:cs="Arial"/>
        </w:rPr>
        <w:t>Settlement Name</w:t>
      </w:r>
      <w:r w:rsidRPr="00A0532A">
        <w:t xml:space="preserve"> </w:t>
      </w:r>
      <w:r w:rsidRPr="00A0532A">
        <w:tab/>
        <w:t xml:space="preserve">    </w:t>
      </w:r>
      <w:r w:rsidRPr="00A0532A">
        <w:rPr>
          <w:rFonts w:cs="Arial"/>
        </w:rPr>
        <w:t>Imizamo Yethu, Hout Bay</w:t>
      </w:r>
      <w:r w:rsidRPr="00A0532A">
        <w:rPr>
          <w:rFonts w:cs="Arial"/>
        </w:rPr>
        <w:tab/>
        <w:t xml:space="preserve">   </w:t>
      </w:r>
    </w:p>
    <w:p w14:paraId="5BDDA16F" w14:textId="77777777" w:rsidR="00100CFD" w:rsidRPr="00A0532A" w:rsidRDefault="00100CFD" w:rsidP="00100CFD">
      <w:pPr>
        <w:pStyle w:val="ListParagraph"/>
        <w:autoSpaceDE w:val="0"/>
        <w:autoSpaceDN w:val="0"/>
        <w:adjustRightInd w:val="0"/>
        <w:rPr>
          <w:rFonts w:cs="Arial"/>
        </w:rPr>
      </w:pPr>
      <w:r w:rsidRPr="00A0532A">
        <w:rPr>
          <w:rFonts w:cs="Arial"/>
        </w:rPr>
        <w:t>Municipality Name</w:t>
      </w:r>
      <w:r w:rsidRPr="00A0532A">
        <w:rPr>
          <w:rFonts w:cs="Arial"/>
        </w:rPr>
        <w:tab/>
        <w:t xml:space="preserve">    City of Cape Town</w:t>
      </w:r>
      <w:r w:rsidRPr="00A0532A">
        <w:rPr>
          <w:rFonts w:cs="Arial"/>
        </w:rPr>
        <w:tab/>
      </w:r>
    </w:p>
    <w:p w14:paraId="60870E84" w14:textId="77777777" w:rsidR="00100CFD" w:rsidRPr="00A0532A" w:rsidRDefault="00100CFD" w:rsidP="00100CFD">
      <w:pPr>
        <w:pStyle w:val="ListParagraph"/>
        <w:autoSpaceDE w:val="0"/>
        <w:autoSpaceDN w:val="0"/>
        <w:adjustRightInd w:val="0"/>
        <w:rPr>
          <w:rFonts w:cs="Arial"/>
        </w:rPr>
      </w:pPr>
      <w:r w:rsidRPr="00A0532A">
        <w:rPr>
          <w:rFonts w:cs="Arial"/>
        </w:rPr>
        <w:t xml:space="preserve">Province </w:t>
      </w:r>
      <w:r w:rsidRPr="00A0532A">
        <w:rPr>
          <w:rFonts w:cs="Arial"/>
        </w:rPr>
        <w:tab/>
      </w:r>
      <w:r w:rsidRPr="00A0532A">
        <w:rPr>
          <w:rFonts w:cs="Arial"/>
        </w:rPr>
        <w:tab/>
        <w:t xml:space="preserve">    Western Cape   </w:t>
      </w:r>
    </w:p>
    <w:p w14:paraId="77AFF538" w14:textId="77777777" w:rsidR="00100CFD" w:rsidRPr="00A0532A" w:rsidRDefault="00100CFD" w:rsidP="00100CFD">
      <w:pPr>
        <w:autoSpaceDE w:val="0"/>
        <w:autoSpaceDN w:val="0"/>
        <w:adjustRightInd w:val="0"/>
        <w:rPr>
          <w:rFonts w:cs="Arial"/>
          <w:b/>
          <w:szCs w:val="22"/>
        </w:rPr>
      </w:pPr>
      <w:r w:rsidRPr="00A0532A">
        <w:rPr>
          <w:rFonts w:cs="Arial"/>
          <w:b/>
          <w:szCs w:val="22"/>
        </w:rPr>
        <w:lastRenderedPageBreak/>
        <w:t>b. Settlement overview</w:t>
      </w:r>
    </w:p>
    <w:p w14:paraId="4B5A1716" w14:textId="77777777" w:rsidR="00100CFD" w:rsidRPr="00A0532A" w:rsidRDefault="00100CFD" w:rsidP="00100CFD">
      <w:pPr>
        <w:autoSpaceDE w:val="0"/>
        <w:autoSpaceDN w:val="0"/>
        <w:adjustRightInd w:val="0"/>
        <w:rPr>
          <w:rFonts w:cs="Arial"/>
          <w:szCs w:val="22"/>
        </w:rPr>
      </w:pPr>
      <w:r w:rsidRPr="00A0532A">
        <w:rPr>
          <w:rFonts w:cs="Arial"/>
          <w:szCs w:val="22"/>
        </w:rPr>
        <w:t>Imizamo Yethu, Hout Bay is a settlement located in the wealthy suburb of Hout Bay, 20 minutes from the City of Cape Town’s city bowl. It has gone through a number of forms of recognition depending on the political context and policies of the time. Imizamo Yethu, traces its roots back to the 1970s, where the community was initially spread throughout a number of small informal settlements scattered across the valley of Hout Bay. By 1990 with a population of over 2000, the community had been consolidated by the City council who relocated the scattered informal dwellers into a single settlement called Imizamo Yethu, on approximately 34ha of forestry land between three upmarket residential areas, Hughenden Estate, Penzance Estate and Riverside Terrace.</w:t>
      </w:r>
    </w:p>
    <w:p w14:paraId="2A846575" w14:textId="78E3C9A8" w:rsidR="00100CFD" w:rsidRPr="00A0532A" w:rsidRDefault="00100CFD" w:rsidP="00100CFD">
      <w:pPr>
        <w:autoSpaceDE w:val="0"/>
        <w:autoSpaceDN w:val="0"/>
        <w:adjustRightInd w:val="0"/>
        <w:rPr>
          <w:rFonts w:cs="Arial"/>
          <w:szCs w:val="22"/>
        </w:rPr>
      </w:pPr>
      <w:r w:rsidRPr="00A0532A">
        <w:rPr>
          <w:rFonts w:cs="Arial"/>
          <w:szCs w:val="22"/>
        </w:rPr>
        <w:t xml:space="preserve">The municipality constructed 429 sites on the forestry land, which were occupied in March and April 1991. These were registered informal settlers, as opposed to illegal squatters. The site was regarded by the municipality as a transit area, which was to be occupied while a township was being developed close by. The planned township had 700 parcels intended for 2,400 people but within a year the settlement had grown in number and the newly burgeoning community needed more land. By June 1997, an estimated 5000 people occupied the settlement and surrounding greenbelt areas and by 2003 an estimated 7874. The municipality thus had three forms of recognition in the area, an older transit area </w:t>
      </w:r>
      <w:r w:rsidR="008B47BF">
        <w:rPr>
          <w:rFonts w:cs="Arial"/>
          <w:szCs w:val="22"/>
        </w:rPr>
        <w:t>recogniz</w:t>
      </w:r>
      <w:r w:rsidRPr="00A0532A">
        <w:rPr>
          <w:rFonts w:cs="Arial"/>
          <w:szCs w:val="22"/>
        </w:rPr>
        <w:t>ed by the municipality, a series of formal units developed by the province and by the Nialls Mellon Foundation and people living in and around the settlement, who had no legal status but who the City Manager has refused to evict despite legal eviction procedures and who have had some form of secure tenure as a result.</w:t>
      </w:r>
    </w:p>
    <w:p w14:paraId="34351238" w14:textId="77777777" w:rsidR="00100CFD" w:rsidRPr="00A0532A" w:rsidRDefault="00100CFD" w:rsidP="00100CFD">
      <w:pPr>
        <w:autoSpaceDE w:val="0"/>
        <w:autoSpaceDN w:val="0"/>
        <w:adjustRightInd w:val="0"/>
        <w:rPr>
          <w:rFonts w:cs="Arial"/>
          <w:szCs w:val="22"/>
        </w:rPr>
      </w:pPr>
    </w:p>
    <w:p w14:paraId="7308CA94" w14:textId="77777777" w:rsidR="00100CFD" w:rsidRPr="00A0532A" w:rsidRDefault="00100CFD" w:rsidP="00100CFD">
      <w:pPr>
        <w:autoSpaceDE w:val="0"/>
        <w:autoSpaceDN w:val="0"/>
        <w:adjustRightInd w:val="0"/>
        <w:rPr>
          <w:rFonts w:cs="Arial"/>
          <w:b/>
          <w:szCs w:val="22"/>
        </w:rPr>
      </w:pPr>
      <w:r w:rsidRPr="00A0532A">
        <w:rPr>
          <w:rFonts w:cs="Arial"/>
          <w:b/>
          <w:szCs w:val="22"/>
        </w:rPr>
        <w:t>c. Physical settlement characteristics</w:t>
      </w:r>
    </w:p>
    <w:p w14:paraId="3262A96E" w14:textId="77777777" w:rsidR="00100CFD" w:rsidRPr="00A0532A" w:rsidRDefault="00100CFD" w:rsidP="00100CFD">
      <w:pPr>
        <w:autoSpaceDE w:val="0"/>
        <w:autoSpaceDN w:val="0"/>
        <w:adjustRightInd w:val="0"/>
        <w:rPr>
          <w:rFonts w:cs="Arial"/>
          <w:szCs w:val="22"/>
        </w:rPr>
      </w:pPr>
      <w:r w:rsidRPr="00A0532A">
        <w:rPr>
          <w:rFonts w:cs="Arial"/>
          <w:szCs w:val="22"/>
        </w:rPr>
        <w:t xml:space="preserve">The settlement is very dense and is currently home to more than 15 500 people located in just over half a square kilometre, according to the 2011 Census. Less than a third (4818) have access to electricity for lighting; although over 3700 households have access to flush toilet, almost 2000 have no access to toilet facilities at all. However, almost all households have access to piped water, most of which is in the form of communal taps. Within the settlement 6135 people classified as living in formal residential units and a further 9401 people living in informal residential units (most in free-standing shacks – 3686 and the rest in backyard rooms – 903). </w:t>
      </w:r>
    </w:p>
    <w:p w14:paraId="0E0AA2C0" w14:textId="77777777" w:rsidR="00100CFD" w:rsidRPr="00A0532A" w:rsidRDefault="00100CFD" w:rsidP="00100CFD">
      <w:pPr>
        <w:autoSpaceDE w:val="0"/>
        <w:autoSpaceDN w:val="0"/>
        <w:adjustRightInd w:val="0"/>
        <w:rPr>
          <w:rFonts w:cs="Arial"/>
          <w:szCs w:val="22"/>
        </w:rPr>
      </w:pPr>
    </w:p>
    <w:p w14:paraId="491265A8" w14:textId="77777777" w:rsidR="00100CFD" w:rsidRPr="00A0532A" w:rsidRDefault="00100CFD" w:rsidP="00100CFD">
      <w:pPr>
        <w:autoSpaceDE w:val="0"/>
        <w:autoSpaceDN w:val="0"/>
        <w:adjustRightInd w:val="0"/>
        <w:rPr>
          <w:rFonts w:cs="Arial"/>
          <w:b/>
          <w:szCs w:val="22"/>
        </w:rPr>
      </w:pPr>
      <w:r w:rsidRPr="00A0532A">
        <w:rPr>
          <w:rFonts w:cs="Arial"/>
          <w:b/>
          <w:szCs w:val="22"/>
        </w:rPr>
        <w:t>d. Population dynamics and socio-economic conditions</w:t>
      </w:r>
    </w:p>
    <w:p w14:paraId="6E997883" w14:textId="77777777" w:rsidR="00100CFD" w:rsidRPr="00A0532A" w:rsidRDefault="00100CFD" w:rsidP="00100CFD">
      <w:pPr>
        <w:autoSpaceDE w:val="0"/>
        <w:autoSpaceDN w:val="0"/>
        <w:adjustRightInd w:val="0"/>
        <w:rPr>
          <w:rFonts w:cs="Arial"/>
          <w:szCs w:val="22"/>
        </w:rPr>
      </w:pPr>
      <w:r w:rsidRPr="00A0532A">
        <w:rPr>
          <w:rFonts w:cs="Arial"/>
          <w:szCs w:val="22"/>
        </w:rPr>
        <w:t>Employment levels are low with only 53% of the economically active population being employed, 18% are not economically active; and 27% are unemployed. Once again prospects do not look good for residents; as the majority of economically active residents have less than a matric. The low levels of education and employment and education may explain the very low income levels where most households (just over 2700) earn less than R1600 a month, with a further 2350 earning between R1601-R3200.</w:t>
      </w:r>
    </w:p>
    <w:p w14:paraId="636F4593" w14:textId="77777777" w:rsidR="004F7551" w:rsidRDefault="004F7551" w:rsidP="00100CFD">
      <w:pPr>
        <w:keepNext/>
        <w:autoSpaceDE w:val="0"/>
        <w:autoSpaceDN w:val="0"/>
        <w:adjustRightInd w:val="0"/>
        <w:rPr>
          <w:szCs w:val="22"/>
        </w:rPr>
      </w:pPr>
    </w:p>
    <w:p w14:paraId="5627A46D" w14:textId="77777777" w:rsidR="00100CFD" w:rsidRPr="00A0532A" w:rsidRDefault="00100CFD" w:rsidP="00100CFD">
      <w:pPr>
        <w:keepNext/>
        <w:autoSpaceDE w:val="0"/>
        <w:autoSpaceDN w:val="0"/>
        <w:adjustRightInd w:val="0"/>
        <w:rPr>
          <w:szCs w:val="22"/>
        </w:rPr>
      </w:pPr>
      <w:r w:rsidRPr="00A0532A">
        <w:rPr>
          <w:noProof/>
          <w:szCs w:val="22"/>
          <w:lang w:val="en-US"/>
        </w:rPr>
        <w:drawing>
          <wp:inline distT="0" distB="0" distL="0" distR="0" wp14:anchorId="34446AFA" wp14:editId="6ADD92C6">
            <wp:extent cx="4572000" cy="21336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9DBC2D6" w14:textId="31385007" w:rsidR="00100CFD" w:rsidRPr="00A0532A" w:rsidRDefault="004A5492" w:rsidP="00CF1919">
      <w:pPr>
        <w:pStyle w:val="Caption"/>
        <w:rPr>
          <w:rFonts w:cs="Arial"/>
        </w:rPr>
      </w:pPr>
      <w:bookmarkStart w:id="411" w:name="_Toc262046875"/>
      <w:bookmarkStart w:id="412" w:name="_Toc270945530"/>
      <w:r w:rsidRPr="00A0532A">
        <w:t xml:space="preserve">Figure </w:t>
      </w:r>
      <w:r w:rsidRPr="00A0532A">
        <w:fldChar w:fldCharType="begin"/>
      </w:r>
      <w:r w:rsidRPr="00A0532A">
        <w:instrText xml:space="preserve"> SEQ Figure \* ARABIC </w:instrText>
      </w:r>
      <w:r w:rsidRPr="00A0532A">
        <w:fldChar w:fldCharType="separate"/>
      </w:r>
      <w:r w:rsidR="00E9048A">
        <w:rPr>
          <w:noProof/>
        </w:rPr>
        <w:t>27</w:t>
      </w:r>
      <w:r w:rsidRPr="00A0532A">
        <w:rPr>
          <w:noProof/>
        </w:rPr>
        <w:fldChar w:fldCharType="end"/>
      </w:r>
      <w:r w:rsidRPr="00A0532A">
        <w:t>: Image</w:t>
      </w:r>
      <w:r w:rsidR="00100CFD" w:rsidRPr="00A0532A">
        <w:t>: Levels of education within the settlement (Source: StatsSA, 2011)</w:t>
      </w:r>
      <w:bookmarkEnd w:id="411"/>
      <w:bookmarkEnd w:id="412"/>
    </w:p>
    <w:p w14:paraId="0ECE7266" w14:textId="77777777" w:rsidR="00100CFD" w:rsidRPr="00A0532A" w:rsidRDefault="00100CFD" w:rsidP="00100CFD">
      <w:pPr>
        <w:autoSpaceDE w:val="0"/>
        <w:autoSpaceDN w:val="0"/>
        <w:adjustRightInd w:val="0"/>
        <w:rPr>
          <w:rFonts w:cs="Arial"/>
          <w:szCs w:val="22"/>
        </w:rPr>
      </w:pPr>
    </w:p>
    <w:p w14:paraId="210760B0" w14:textId="77777777" w:rsidR="00100CFD" w:rsidRPr="00A0532A" w:rsidRDefault="00100CFD" w:rsidP="00100CFD">
      <w:pPr>
        <w:autoSpaceDE w:val="0"/>
        <w:autoSpaceDN w:val="0"/>
        <w:adjustRightInd w:val="0"/>
        <w:rPr>
          <w:rFonts w:cs="Arial"/>
          <w:szCs w:val="22"/>
        </w:rPr>
      </w:pPr>
    </w:p>
    <w:p w14:paraId="33150B2B" w14:textId="77777777" w:rsidR="00100CFD" w:rsidRPr="00A0532A" w:rsidRDefault="00100CFD" w:rsidP="00100CFD">
      <w:pPr>
        <w:keepNext/>
        <w:autoSpaceDE w:val="0"/>
        <w:autoSpaceDN w:val="0"/>
        <w:adjustRightInd w:val="0"/>
        <w:rPr>
          <w:szCs w:val="22"/>
        </w:rPr>
      </w:pPr>
      <w:r w:rsidRPr="00A0532A">
        <w:rPr>
          <w:noProof/>
          <w:szCs w:val="22"/>
          <w:lang w:val="en-US"/>
        </w:rPr>
        <w:drawing>
          <wp:inline distT="0" distB="0" distL="0" distR="0" wp14:anchorId="13F649B6" wp14:editId="5154AD37">
            <wp:extent cx="4572000" cy="26289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95A322F" w14:textId="655F789F" w:rsidR="00100CFD" w:rsidRPr="00A0532A" w:rsidRDefault="004A5492" w:rsidP="00CF1919">
      <w:pPr>
        <w:pStyle w:val="Caption"/>
        <w:rPr>
          <w:rFonts w:cs="Arial"/>
        </w:rPr>
      </w:pPr>
      <w:bookmarkStart w:id="413" w:name="_Toc262046876"/>
      <w:bookmarkStart w:id="414" w:name="_Toc270945531"/>
      <w:r w:rsidRPr="00A0532A">
        <w:t xml:space="preserve">Figure </w:t>
      </w:r>
      <w:r w:rsidRPr="00A0532A">
        <w:fldChar w:fldCharType="begin"/>
      </w:r>
      <w:r w:rsidRPr="00A0532A">
        <w:instrText xml:space="preserve"> SEQ Figure \* ARABIC </w:instrText>
      </w:r>
      <w:r w:rsidRPr="00A0532A">
        <w:fldChar w:fldCharType="separate"/>
      </w:r>
      <w:r w:rsidR="00E9048A">
        <w:rPr>
          <w:noProof/>
        </w:rPr>
        <w:t>28</w:t>
      </w:r>
      <w:r w:rsidRPr="00A0532A">
        <w:rPr>
          <w:noProof/>
        </w:rPr>
        <w:fldChar w:fldCharType="end"/>
      </w:r>
      <w:r w:rsidRPr="00A0532A">
        <w:t>: Image</w:t>
      </w:r>
      <w:r w:rsidR="00100CFD" w:rsidRPr="00A0532A">
        <w:t>: Monthly household income (Source: StatsSA, 2011)</w:t>
      </w:r>
      <w:bookmarkEnd w:id="413"/>
      <w:bookmarkEnd w:id="414"/>
    </w:p>
    <w:p w14:paraId="24440C71" w14:textId="77777777" w:rsidR="00100CFD" w:rsidRPr="00A0532A" w:rsidRDefault="00100CFD" w:rsidP="00100CFD">
      <w:pPr>
        <w:autoSpaceDE w:val="0"/>
        <w:autoSpaceDN w:val="0"/>
        <w:adjustRightInd w:val="0"/>
        <w:rPr>
          <w:rFonts w:cs="Arial"/>
          <w:szCs w:val="22"/>
        </w:rPr>
      </w:pPr>
    </w:p>
    <w:p w14:paraId="619E1CF2" w14:textId="77777777" w:rsidR="00100CFD" w:rsidRPr="00A0532A" w:rsidRDefault="00100CFD" w:rsidP="00100CFD">
      <w:pPr>
        <w:rPr>
          <w:rFonts w:cs="Arial"/>
          <w:b/>
          <w:szCs w:val="22"/>
        </w:rPr>
      </w:pPr>
      <w:r w:rsidRPr="00A0532A">
        <w:rPr>
          <w:rFonts w:cs="Arial"/>
          <w:szCs w:val="22"/>
        </w:rPr>
        <w:t xml:space="preserve">e. </w:t>
      </w:r>
      <w:r w:rsidRPr="00A0532A">
        <w:rPr>
          <w:rFonts w:cs="Arial"/>
          <w:b/>
          <w:szCs w:val="22"/>
        </w:rPr>
        <w:t>Leadership structures and governance context</w:t>
      </w:r>
    </w:p>
    <w:p w14:paraId="09C95E36" w14:textId="77777777" w:rsidR="00100CFD" w:rsidRPr="00A0532A" w:rsidRDefault="00100CFD" w:rsidP="00100CFD">
      <w:pPr>
        <w:autoSpaceDE w:val="0"/>
        <w:autoSpaceDN w:val="0"/>
        <w:adjustRightInd w:val="0"/>
        <w:rPr>
          <w:rFonts w:cs="Arial"/>
          <w:szCs w:val="22"/>
          <w:shd w:val="clear" w:color="auto" w:fill="FFFFFF"/>
        </w:rPr>
      </w:pPr>
      <w:r w:rsidRPr="00A0532A">
        <w:rPr>
          <w:rFonts w:cs="Arial"/>
          <w:noProof/>
          <w:szCs w:val="22"/>
          <w:lang w:eastAsia="en-GB"/>
        </w:rPr>
        <w:t xml:space="preserve">The leadership structures and governance relations in the area are highly complex and there are different sets of coalitions amongst the informal dweller communities and the middle income community. The wealthy and middle income community are represented by the </w:t>
      </w:r>
      <w:r w:rsidRPr="00A0532A">
        <w:rPr>
          <w:rFonts w:cs="Arial"/>
          <w:szCs w:val="22"/>
        </w:rPr>
        <w:t>local property owning associations, H</w:t>
      </w:r>
      <w:r w:rsidRPr="00A0532A">
        <w:rPr>
          <w:rFonts w:cs="Arial"/>
          <w:szCs w:val="22"/>
          <w:shd w:val="clear" w:color="auto" w:fill="FFFFFF"/>
        </w:rPr>
        <w:t xml:space="preserve">out Bay Ratepayers' Association and the Hout Bay Residents' Association, who have largely objected to the existence of the informal settlements within area. Initially, in the early 1990s, there were fears that the informal settlements were motivated by the desire for land grabs and part of larger political plots. Later the informal dwellers were blamed </w:t>
      </w:r>
      <w:r w:rsidRPr="00A0532A">
        <w:rPr>
          <w:rFonts w:cs="Arial"/>
          <w:szCs w:val="22"/>
          <w:shd w:val="clear" w:color="auto" w:fill="FFFFFF"/>
        </w:rPr>
        <w:lastRenderedPageBreak/>
        <w:t xml:space="preserve">for crime, drug dealing and contributing to a lack of hygiene due to the lack of services in most of the settlement. </w:t>
      </w:r>
    </w:p>
    <w:p w14:paraId="0D2FFF7C" w14:textId="77777777" w:rsidR="00100CFD" w:rsidRPr="00A0532A" w:rsidRDefault="00100CFD" w:rsidP="00100CFD">
      <w:pPr>
        <w:autoSpaceDE w:val="0"/>
        <w:autoSpaceDN w:val="0"/>
        <w:adjustRightInd w:val="0"/>
        <w:rPr>
          <w:rFonts w:cs="Arial"/>
          <w:szCs w:val="22"/>
          <w:shd w:val="clear" w:color="auto" w:fill="FFFFFF"/>
        </w:rPr>
      </w:pPr>
    </w:p>
    <w:p w14:paraId="0568DE90" w14:textId="77777777" w:rsidR="00100CFD" w:rsidRPr="00A0532A" w:rsidRDefault="00100CFD" w:rsidP="00100CFD">
      <w:pPr>
        <w:autoSpaceDE w:val="0"/>
        <w:autoSpaceDN w:val="0"/>
        <w:adjustRightInd w:val="0"/>
        <w:rPr>
          <w:szCs w:val="22"/>
          <w:shd w:val="clear" w:color="auto" w:fill="FFFFFF"/>
        </w:rPr>
      </w:pPr>
      <w:r w:rsidRPr="00A0532A">
        <w:rPr>
          <w:rFonts w:cs="Arial"/>
          <w:szCs w:val="22"/>
          <w:shd w:val="clear" w:color="auto" w:fill="FFFFFF"/>
        </w:rPr>
        <w:t xml:space="preserve">As such, the associations fought against the transit area, the establishment of the township and the growing population. The last objection was actually supported by </w:t>
      </w:r>
      <w:r w:rsidRPr="00A0532A">
        <w:rPr>
          <w:szCs w:val="22"/>
          <w:shd w:val="clear" w:color="auto" w:fill="FFFFFF"/>
        </w:rPr>
        <w:t xml:space="preserve">the Sinethemba Civic Association, which represents the 2 000 original residents, who were originally promised formal housing and title deeds but never received them. Together Sinethemba Civic Association and the rates payers associations brought a court interdict against the City of Cape Town, preventing Imizamo Yethu from expanding on to 16ha of additional land “because the land was promised to us and not to the thousands of new people”. The actions brought the Rate payers association and the Sinethemba Civic Association, into direct conflict with both the local ANC and SACP branches who represented the “newcomers”. As well as the local SANGCO branch, as the leader of Civic association’s house was burnt down and he blamed SANGCO for the attack. The end result has been a highly polarised community with whom negotiations for upgrading and service provision have been fraught and consensus extremely difficult to reach. </w:t>
      </w:r>
    </w:p>
    <w:p w14:paraId="232EFBBA" w14:textId="77777777" w:rsidR="00100CFD" w:rsidRPr="00A0532A" w:rsidRDefault="00100CFD" w:rsidP="00100CFD">
      <w:pPr>
        <w:autoSpaceDE w:val="0"/>
        <w:autoSpaceDN w:val="0"/>
        <w:adjustRightInd w:val="0"/>
        <w:rPr>
          <w:szCs w:val="22"/>
          <w:shd w:val="clear" w:color="auto" w:fill="FFFFFF"/>
        </w:rPr>
      </w:pPr>
    </w:p>
    <w:p w14:paraId="5C7BD800" w14:textId="77777777" w:rsidR="00100CFD" w:rsidRPr="00A0532A" w:rsidRDefault="00100CFD" w:rsidP="00100CFD">
      <w:pPr>
        <w:autoSpaceDE w:val="0"/>
        <w:autoSpaceDN w:val="0"/>
        <w:adjustRightInd w:val="0"/>
        <w:rPr>
          <w:rFonts w:cs="Arial"/>
          <w:b/>
          <w:szCs w:val="22"/>
        </w:rPr>
      </w:pPr>
      <w:r w:rsidRPr="00A0532A">
        <w:rPr>
          <w:rFonts w:cs="Arial"/>
          <w:b/>
          <w:szCs w:val="22"/>
        </w:rPr>
        <w:t>f. In situ upgrading potential</w:t>
      </w:r>
    </w:p>
    <w:p w14:paraId="0ACDF643" w14:textId="77777777" w:rsidR="00100CFD" w:rsidRPr="00A0532A" w:rsidRDefault="00100CFD" w:rsidP="00100CFD">
      <w:pPr>
        <w:autoSpaceDE w:val="0"/>
        <w:autoSpaceDN w:val="0"/>
        <w:adjustRightInd w:val="0"/>
        <w:rPr>
          <w:rFonts w:cs="Arial"/>
          <w:szCs w:val="22"/>
        </w:rPr>
      </w:pPr>
      <w:r w:rsidRPr="00A0532A">
        <w:rPr>
          <w:rFonts w:cs="Arial"/>
          <w:szCs w:val="22"/>
        </w:rPr>
        <w:t xml:space="preserve">It would seem that thus far the City of Cape Town has adopted a roll-over and resettlement approach to informal settlements in the area. So far there have been two phases undertaken and the building and relocation of residents from the informal settlement to greenfields units. Phase Two is partially completed due to the steep terrain which requires extensive earthworks in order to create platforms for house construction and Phase 3 is intended for the 2014/2015 to 2016/2017 financial years with an estimated cost of approximately R200 million. The development is located on the old forestry land between Imizamo Yethu and the Hout Bay Main Road. The steepness of the slope and the density seem to have led the council away from considering in situ upgrading options. Furthermore, evidence from the Nialls Mellon Foundation indicate that this community is too poor to take loans even interest-free loans in order to improve their housing conditions. Thus the combination of difficult topography and extreme poverty are major constraining factors when considering incremental upgrades and formalisation within the settlement. </w:t>
      </w:r>
    </w:p>
    <w:p w14:paraId="1A6D313F" w14:textId="77777777" w:rsidR="00100CFD" w:rsidRDefault="00100CFD" w:rsidP="00100CFD">
      <w:pPr>
        <w:autoSpaceDE w:val="0"/>
        <w:autoSpaceDN w:val="0"/>
        <w:adjustRightInd w:val="0"/>
        <w:rPr>
          <w:rFonts w:cs="Arial"/>
          <w:szCs w:val="22"/>
        </w:rPr>
      </w:pPr>
    </w:p>
    <w:p w14:paraId="52B39A79" w14:textId="5BCC4641" w:rsidR="00CC2D09" w:rsidRPr="00CC2D09" w:rsidRDefault="00CC2D09" w:rsidP="002A05AF">
      <w:pPr>
        <w:pStyle w:val="Heading3"/>
        <w:numPr>
          <w:ilvl w:val="0"/>
          <w:numId w:val="0"/>
        </w:numPr>
        <w:ind w:left="624" w:hanging="624"/>
      </w:pPr>
      <w:bookmarkStart w:id="415" w:name="_Toc262067930"/>
      <w:bookmarkStart w:id="416" w:name="_Toc262068256"/>
      <w:r>
        <w:t>D</w:t>
      </w:r>
      <w:r w:rsidRPr="00CC2D09">
        <w:t xml:space="preserve">: </w:t>
      </w:r>
      <w:r>
        <w:t>Government Owned Land – De Facto Recognition and High Rates of Migrancy</w:t>
      </w:r>
      <w:bookmarkEnd w:id="415"/>
      <w:bookmarkEnd w:id="416"/>
      <w:r>
        <w:t xml:space="preserve"> </w:t>
      </w:r>
    </w:p>
    <w:p w14:paraId="008EA8AD" w14:textId="77777777" w:rsidR="00100CFD" w:rsidRPr="00A0532A" w:rsidRDefault="00100CFD" w:rsidP="00100CFD">
      <w:pPr>
        <w:rPr>
          <w:rFonts w:cs="Arial"/>
          <w:b/>
          <w:szCs w:val="22"/>
        </w:rPr>
      </w:pPr>
      <w:r w:rsidRPr="00A0532A">
        <w:rPr>
          <w:rFonts w:cs="Arial"/>
          <w:szCs w:val="22"/>
        </w:rPr>
        <w:t xml:space="preserve">a. </w:t>
      </w:r>
      <w:r w:rsidRPr="00A0532A">
        <w:rPr>
          <w:rFonts w:cs="Arial"/>
          <w:b/>
          <w:szCs w:val="22"/>
        </w:rPr>
        <w:t>Settlement Location &amp; Identification</w:t>
      </w:r>
      <w:r w:rsidRPr="00A0532A">
        <w:rPr>
          <w:rFonts w:cs="Arial"/>
          <w:b/>
          <w:szCs w:val="22"/>
        </w:rPr>
        <w:tab/>
      </w:r>
    </w:p>
    <w:p w14:paraId="5018F0BC" w14:textId="77777777" w:rsidR="00100CFD" w:rsidRPr="00A0532A" w:rsidRDefault="00100CFD" w:rsidP="00100CFD">
      <w:pPr>
        <w:tabs>
          <w:tab w:val="left" w:pos="724"/>
          <w:tab w:val="left" w:pos="3128"/>
          <w:tab w:val="left" w:pos="6009"/>
          <w:tab w:val="left" w:pos="7345"/>
        </w:tabs>
        <w:ind w:left="118"/>
        <w:rPr>
          <w:rFonts w:cs="Arial"/>
          <w:szCs w:val="22"/>
        </w:rPr>
      </w:pPr>
      <w:r w:rsidRPr="00A0532A">
        <w:rPr>
          <w:rFonts w:cs="Arial"/>
          <w:szCs w:val="22"/>
        </w:rPr>
        <w:tab/>
        <w:t>Settlement Name</w:t>
      </w:r>
      <w:r w:rsidRPr="00A0532A">
        <w:rPr>
          <w:rFonts w:cs="Arial"/>
          <w:szCs w:val="22"/>
        </w:rPr>
        <w:tab/>
        <w:t>Langrug, Franschhoek</w:t>
      </w:r>
    </w:p>
    <w:p w14:paraId="67D8475E" w14:textId="77777777" w:rsidR="00100CFD" w:rsidRPr="00A0532A" w:rsidRDefault="00100CFD" w:rsidP="00100CFD">
      <w:pPr>
        <w:tabs>
          <w:tab w:val="left" w:pos="724"/>
          <w:tab w:val="left" w:pos="3128"/>
          <w:tab w:val="left" w:pos="6009"/>
          <w:tab w:val="left" w:pos="7345"/>
        </w:tabs>
        <w:ind w:left="118"/>
        <w:rPr>
          <w:rFonts w:cs="Arial"/>
          <w:szCs w:val="22"/>
        </w:rPr>
      </w:pPr>
      <w:r w:rsidRPr="00A0532A">
        <w:rPr>
          <w:rFonts w:cs="Arial"/>
          <w:szCs w:val="22"/>
        </w:rPr>
        <w:tab/>
        <w:t>Municipality Name</w:t>
      </w:r>
      <w:r w:rsidRPr="00A0532A">
        <w:rPr>
          <w:rFonts w:cs="Arial"/>
          <w:szCs w:val="22"/>
        </w:rPr>
        <w:tab/>
        <w:t>Stellenbosch Municipality</w:t>
      </w:r>
    </w:p>
    <w:p w14:paraId="6F36D0A4" w14:textId="77777777" w:rsidR="00100CFD" w:rsidRPr="00A0532A" w:rsidRDefault="00100CFD" w:rsidP="00100CFD">
      <w:pPr>
        <w:autoSpaceDE w:val="0"/>
        <w:autoSpaceDN w:val="0"/>
        <w:adjustRightInd w:val="0"/>
        <w:rPr>
          <w:rFonts w:cs="Arial"/>
          <w:szCs w:val="22"/>
        </w:rPr>
      </w:pPr>
      <w:r w:rsidRPr="00A0532A">
        <w:rPr>
          <w:rFonts w:cs="Arial"/>
          <w:szCs w:val="22"/>
        </w:rPr>
        <w:tab/>
        <w:t>Province Name</w:t>
      </w:r>
      <w:r w:rsidRPr="00A0532A">
        <w:rPr>
          <w:rFonts w:cs="Arial"/>
          <w:szCs w:val="22"/>
        </w:rPr>
        <w:tab/>
      </w:r>
      <w:r w:rsidRPr="00A0532A">
        <w:rPr>
          <w:rFonts w:cs="Arial"/>
          <w:szCs w:val="22"/>
        </w:rPr>
        <w:tab/>
        <w:t xml:space="preserve">    Western Cape</w:t>
      </w:r>
    </w:p>
    <w:p w14:paraId="24EF0835" w14:textId="77777777" w:rsidR="00100CFD" w:rsidRPr="00A0532A" w:rsidRDefault="00100CFD" w:rsidP="00100CFD">
      <w:pPr>
        <w:autoSpaceDE w:val="0"/>
        <w:autoSpaceDN w:val="0"/>
        <w:adjustRightInd w:val="0"/>
        <w:rPr>
          <w:rFonts w:cs="Arial"/>
          <w:szCs w:val="22"/>
        </w:rPr>
      </w:pPr>
    </w:p>
    <w:p w14:paraId="011AB100" w14:textId="77777777" w:rsidR="00100CFD" w:rsidRPr="00A0532A" w:rsidRDefault="00100CFD" w:rsidP="00100CFD">
      <w:pPr>
        <w:autoSpaceDE w:val="0"/>
        <w:autoSpaceDN w:val="0"/>
        <w:adjustRightInd w:val="0"/>
        <w:rPr>
          <w:rFonts w:cs="Arial"/>
          <w:b/>
          <w:szCs w:val="22"/>
        </w:rPr>
      </w:pPr>
      <w:r w:rsidRPr="00A0532A">
        <w:rPr>
          <w:rFonts w:cs="Arial"/>
          <w:szCs w:val="22"/>
        </w:rPr>
        <w:t xml:space="preserve">b. </w:t>
      </w:r>
      <w:r w:rsidRPr="00A0532A">
        <w:rPr>
          <w:rFonts w:cs="Arial"/>
          <w:b/>
          <w:szCs w:val="22"/>
        </w:rPr>
        <w:t>Settlement Overview</w:t>
      </w:r>
    </w:p>
    <w:p w14:paraId="71384DC7" w14:textId="77777777" w:rsidR="00100CFD" w:rsidRPr="00A0532A" w:rsidRDefault="00100CFD" w:rsidP="00100CFD">
      <w:pPr>
        <w:autoSpaceDE w:val="0"/>
        <w:autoSpaceDN w:val="0"/>
        <w:adjustRightInd w:val="0"/>
        <w:rPr>
          <w:rFonts w:cs="Arial"/>
          <w:szCs w:val="22"/>
        </w:rPr>
      </w:pPr>
      <w:r w:rsidRPr="00A0532A">
        <w:rPr>
          <w:rFonts w:cs="Arial"/>
          <w:szCs w:val="22"/>
        </w:rPr>
        <w:t xml:space="preserve">Langrug is home 1800 households (over 4000 people) outside the small town of Franschhoek. The settlement was established in the mid-1990s mainly by migrants from other parts of South Africa, especially the Eastern Cape, who were seeking work on the farms in the surrounding </w:t>
      </w:r>
      <w:r w:rsidRPr="00A0532A">
        <w:rPr>
          <w:rFonts w:cs="Arial"/>
          <w:szCs w:val="22"/>
        </w:rPr>
        <w:lastRenderedPageBreak/>
        <w:t xml:space="preserve">areas. The settlement is located on government-owned land and is considered to be illegal by the local municipality, however that has not stopped the local government from putting basic services in place. It is located next to a formal residential area and along the R45 highway providing good access to the town centre and surrounding farms. Although the majority of employed residents work on the surrounding farms and rely on their employers for transport. </w:t>
      </w:r>
    </w:p>
    <w:p w14:paraId="180CC102" w14:textId="312C5355" w:rsidR="00100CFD" w:rsidRPr="00A0532A" w:rsidRDefault="004A5492" w:rsidP="00100CFD">
      <w:pPr>
        <w:autoSpaceDE w:val="0"/>
        <w:autoSpaceDN w:val="0"/>
        <w:adjustRightInd w:val="0"/>
        <w:rPr>
          <w:rFonts w:cs="Arial"/>
          <w:szCs w:val="22"/>
        </w:rPr>
      </w:pPr>
      <w:r w:rsidRPr="00A0532A">
        <w:rPr>
          <w:noProof/>
          <w:szCs w:val="22"/>
          <w:lang w:val="en-US"/>
        </w:rPr>
        <mc:AlternateContent>
          <mc:Choice Requires="wps">
            <w:drawing>
              <wp:anchor distT="0" distB="0" distL="114300" distR="114300" simplePos="0" relativeHeight="251668480" behindDoc="1" locked="0" layoutInCell="1" allowOverlap="1" wp14:anchorId="0D4E761D" wp14:editId="3885F76A">
                <wp:simplePos x="0" y="0"/>
                <wp:positionH relativeFrom="column">
                  <wp:posOffset>0</wp:posOffset>
                </wp:positionH>
                <wp:positionV relativeFrom="paragraph">
                  <wp:posOffset>2928620</wp:posOffset>
                </wp:positionV>
                <wp:extent cx="4838700" cy="369570"/>
                <wp:effectExtent l="0" t="0" r="12700" b="11430"/>
                <wp:wrapTight wrapText="bothSides">
                  <wp:wrapPolygon edited="0">
                    <wp:start x="0" y="0"/>
                    <wp:lineTo x="0" y="20784"/>
                    <wp:lineTo x="21543" y="20784"/>
                    <wp:lineTo x="21543"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4838700" cy="369570"/>
                        </a:xfrm>
                        <a:prstGeom prst="rect">
                          <a:avLst/>
                        </a:prstGeom>
                        <a:solidFill>
                          <a:prstClr val="white"/>
                        </a:solidFill>
                        <a:ln>
                          <a:noFill/>
                        </a:ln>
                        <a:effectLst/>
                      </wps:spPr>
                      <wps:txbx>
                        <w:txbxContent>
                          <w:p w14:paraId="7DE1751E" w14:textId="5DBBFDFB" w:rsidR="00DA241A" w:rsidRPr="007017D4" w:rsidRDefault="00DA241A" w:rsidP="00CF1919">
                            <w:pPr>
                              <w:pStyle w:val="Caption"/>
                              <w:rPr>
                                <w:rFonts w:cs="Arial"/>
                                <w:noProof/>
                                <w:sz w:val="20"/>
                                <w:szCs w:val="20"/>
                              </w:rPr>
                            </w:pPr>
                            <w:r w:rsidRPr="00A0532A">
                              <w:t xml:space="preserve">Figure </w:t>
                            </w:r>
                            <w:r w:rsidRPr="00A0532A">
                              <w:fldChar w:fldCharType="begin"/>
                            </w:r>
                            <w:r w:rsidRPr="00A0532A">
                              <w:instrText xml:space="preserve"> SEQ Figure \* ARABIC </w:instrText>
                            </w:r>
                            <w:r w:rsidRPr="00A0532A">
                              <w:fldChar w:fldCharType="separate"/>
                            </w:r>
                            <w:r>
                              <w:rPr>
                                <w:noProof/>
                              </w:rPr>
                              <w:t>29</w:t>
                            </w:r>
                            <w:r w:rsidRPr="00A0532A">
                              <w:rPr>
                                <w:noProof/>
                              </w:rPr>
                              <w:fldChar w:fldCharType="end"/>
                            </w:r>
                            <w:r w:rsidRPr="00A0532A">
                              <w:t>: Image</w:t>
                            </w:r>
                            <w:r>
                              <w:t>: Location maps and internal divisions of Langrug (Source: SDI report,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6" o:spid="_x0000_s1036" type="#_x0000_t202" style="position:absolute;left:0;text-align:left;margin-left:0;margin-top:230.6pt;width:381pt;height:29.1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" stroked="f">
                <v:textbox style="mso-fit-shape-to-text:t" inset="0,0,0,0">
                  <w:txbxContent>
                    <w:p w14:paraId="7DE1751E" w14:textId="5DBBFDFB" w:rsidR="00916B75" w:rsidRPr="007017D4" w:rsidRDefault="00916B75" w:rsidP="00CF1919">
                      <w:pPr>
                        <w:pStyle w:val="Caption"/>
                        <w:rPr>
                          <w:rFonts w:cs="Arial"/>
                          <w:noProof/>
                          <w:sz w:val="20"/>
                          <w:szCs w:val="20"/>
                        </w:rPr>
                      </w:pPr>
                      <w:r w:rsidRPr="00A0532A">
                        <w:t xml:space="preserve">Figure </w:t>
                      </w:r>
                      <w:r w:rsidRPr="00A0532A">
                        <w:fldChar w:fldCharType="begin"/>
                      </w:r>
                      <w:r w:rsidRPr="00A0532A">
                        <w:instrText xml:space="preserve"> SEQ Figure \* ARABIC </w:instrText>
                      </w:r>
                      <w:r w:rsidRPr="00A0532A">
                        <w:fldChar w:fldCharType="separate"/>
                      </w:r>
                      <w:r w:rsidR="00E9048A">
                        <w:rPr>
                          <w:noProof/>
                        </w:rPr>
                        <w:t>29</w:t>
                      </w:r>
                      <w:r w:rsidRPr="00A0532A">
                        <w:rPr>
                          <w:noProof/>
                        </w:rPr>
                        <w:fldChar w:fldCharType="end"/>
                      </w:r>
                      <w:r w:rsidRPr="00A0532A">
                        <w:t>: Image</w:t>
                      </w:r>
                      <w:r>
                        <w:t>: Location maps and internal divisions of Langrug (Source: SDI report, 2009)</w:t>
                      </w:r>
                    </w:p>
                  </w:txbxContent>
                </v:textbox>
                <w10:wrap type="tight"/>
              </v:shape>
            </w:pict>
          </mc:Fallback>
        </mc:AlternateContent>
      </w:r>
      <w:r w:rsidR="00100CFD" w:rsidRPr="00A0532A">
        <w:rPr>
          <w:rFonts w:cs="Arial"/>
          <w:noProof/>
          <w:szCs w:val="22"/>
          <w:lang w:val="en-US"/>
        </w:rPr>
        <w:drawing>
          <wp:anchor distT="0" distB="0" distL="114300" distR="114300" simplePos="0" relativeHeight="251667456" behindDoc="1" locked="0" layoutInCell="1" allowOverlap="1" wp14:anchorId="5F8FD721" wp14:editId="06716E96">
            <wp:simplePos x="0" y="0"/>
            <wp:positionH relativeFrom="column">
              <wp:posOffset>3248025</wp:posOffset>
            </wp:positionH>
            <wp:positionV relativeFrom="paragraph">
              <wp:posOffset>149225</wp:posOffset>
            </wp:positionV>
            <wp:extent cx="2961640" cy="2752090"/>
            <wp:effectExtent l="0" t="0" r="0" b="0"/>
            <wp:wrapTight wrapText="bothSides">
              <wp:wrapPolygon edited="0">
                <wp:start x="0" y="0"/>
                <wp:lineTo x="0" y="21381"/>
                <wp:lineTo x="21396" y="21381"/>
                <wp:lineTo x="2139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961640" cy="275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CFD" w:rsidRPr="00A0532A">
        <w:rPr>
          <w:rFonts w:cs="Arial"/>
          <w:noProof/>
          <w:szCs w:val="22"/>
          <w:lang w:val="en-US"/>
        </w:rPr>
        <w:drawing>
          <wp:anchor distT="0" distB="0" distL="114300" distR="114300" simplePos="0" relativeHeight="251666432" behindDoc="1" locked="0" layoutInCell="1" allowOverlap="1" wp14:anchorId="3A8F40BC" wp14:editId="48AC1223">
            <wp:simplePos x="0" y="0"/>
            <wp:positionH relativeFrom="column">
              <wp:posOffset>-95250</wp:posOffset>
            </wp:positionH>
            <wp:positionV relativeFrom="paragraph">
              <wp:posOffset>149225</wp:posOffset>
            </wp:positionV>
            <wp:extent cx="3343275" cy="2752090"/>
            <wp:effectExtent l="0" t="0" r="9525" b="0"/>
            <wp:wrapTight wrapText="bothSides">
              <wp:wrapPolygon edited="0">
                <wp:start x="0" y="0"/>
                <wp:lineTo x="0" y="21381"/>
                <wp:lineTo x="21538" y="21381"/>
                <wp:lineTo x="2153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343275" cy="2752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F0DC5" w14:textId="61F939D4" w:rsidR="00100CFD" w:rsidRDefault="00100CFD" w:rsidP="00100CFD">
      <w:pPr>
        <w:autoSpaceDE w:val="0"/>
        <w:autoSpaceDN w:val="0"/>
        <w:adjustRightInd w:val="0"/>
        <w:rPr>
          <w:rFonts w:cs="Arial"/>
          <w:szCs w:val="22"/>
        </w:rPr>
      </w:pPr>
    </w:p>
    <w:p w14:paraId="1AA34740" w14:textId="77777777" w:rsidR="004A5492" w:rsidRPr="00A0532A" w:rsidRDefault="004A5492" w:rsidP="00100CFD">
      <w:pPr>
        <w:autoSpaceDE w:val="0"/>
        <w:autoSpaceDN w:val="0"/>
        <w:adjustRightInd w:val="0"/>
        <w:rPr>
          <w:rFonts w:cs="Arial"/>
          <w:szCs w:val="22"/>
        </w:rPr>
      </w:pPr>
    </w:p>
    <w:p w14:paraId="1B9FFA96" w14:textId="77777777" w:rsidR="00100CFD" w:rsidRPr="00A0532A" w:rsidRDefault="00100CFD" w:rsidP="00100CFD">
      <w:pPr>
        <w:autoSpaceDE w:val="0"/>
        <w:autoSpaceDN w:val="0"/>
        <w:adjustRightInd w:val="0"/>
        <w:rPr>
          <w:rFonts w:cs="Arial"/>
          <w:szCs w:val="22"/>
        </w:rPr>
      </w:pPr>
      <w:r w:rsidRPr="00A0532A">
        <w:rPr>
          <w:rFonts w:cs="Arial"/>
          <w:b/>
          <w:szCs w:val="22"/>
        </w:rPr>
        <w:t>c. Physical Settlement Characteristics</w:t>
      </w:r>
      <w:r w:rsidRPr="00A0532A">
        <w:rPr>
          <w:rFonts w:cs="Arial"/>
          <w:b/>
          <w:szCs w:val="22"/>
        </w:rPr>
        <w:tab/>
      </w:r>
    </w:p>
    <w:p w14:paraId="04ABDE0D" w14:textId="77777777" w:rsidR="00100CFD" w:rsidRPr="00A0532A" w:rsidRDefault="00100CFD" w:rsidP="00100CFD">
      <w:pPr>
        <w:autoSpaceDE w:val="0"/>
        <w:autoSpaceDN w:val="0"/>
        <w:adjustRightInd w:val="0"/>
        <w:rPr>
          <w:rFonts w:cs="Arial"/>
          <w:szCs w:val="22"/>
        </w:rPr>
      </w:pPr>
      <w:r w:rsidRPr="00A0532A">
        <w:rPr>
          <w:rFonts w:cs="Arial"/>
          <w:szCs w:val="22"/>
        </w:rPr>
        <w:t xml:space="preserve">The settlement has relatively low densities and despite its “illegal” status, it has de facto recognition by the municipality who have provided basic services in the form of communal toilets and taps and electricity. The provision of services is basically in keeping with the local authority’s ethos of incremental in situ upgrading. Thus far they have provided 91 toilets (of which only 83 work), which provides a functional ration of 49 people per toilet. This means that 85% of the population are serviced by flush toilets and the remaining households utilise the “bush”. The municipality also only provided 57 taps, of which 12 are not working, which means that 91 people use each tap. However, taps and toilets are not equally distributed across the settlement and some households have long walks to obtain fresh water or flush toilets. Interestingly the local authority has also invested in meters for the households and over 57% of households have electricity meters in their shacks. </w:t>
      </w:r>
    </w:p>
    <w:p w14:paraId="507244EE" w14:textId="77777777" w:rsidR="00100CFD" w:rsidRPr="00A0532A" w:rsidRDefault="00100CFD" w:rsidP="00100CFD">
      <w:pPr>
        <w:autoSpaceDE w:val="0"/>
        <w:autoSpaceDN w:val="0"/>
        <w:adjustRightInd w:val="0"/>
        <w:rPr>
          <w:rFonts w:cs="Arial"/>
          <w:szCs w:val="22"/>
        </w:rPr>
      </w:pPr>
    </w:p>
    <w:p w14:paraId="4ACB3EBE" w14:textId="77777777" w:rsidR="00100CFD" w:rsidRPr="00A0532A" w:rsidRDefault="00100CFD" w:rsidP="00100CFD">
      <w:pPr>
        <w:autoSpaceDE w:val="0"/>
        <w:autoSpaceDN w:val="0"/>
        <w:adjustRightInd w:val="0"/>
        <w:rPr>
          <w:rFonts w:cs="Arial"/>
          <w:b/>
          <w:szCs w:val="22"/>
        </w:rPr>
      </w:pPr>
      <w:r w:rsidRPr="00A0532A">
        <w:rPr>
          <w:rFonts w:cs="Arial"/>
          <w:b/>
          <w:szCs w:val="22"/>
        </w:rPr>
        <w:t>d. Population dynamics and socio-economic conditions</w:t>
      </w:r>
    </w:p>
    <w:p w14:paraId="260F2CEE" w14:textId="77777777" w:rsidR="00100CFD" w:rsidRPr="00A0532A" w:rsidRDefault="00100CFD" w:rsidP="00100CFD">
      <w:pPr>
        <w:autoSpaceDE w:val="0"/>
        <w:autoSpaceDN w:val="0"/>
        <w:adjustRightInd w:val="0"/>
        <w:rPr>
          <w:rFonts w:cs="Arial"/>
          <w:szCs w:val="22"/>
        </w:rPr>
      </w:pPr>
      <w:r w:rsidRPr="00A0532A">
        <w:rPr>
          <w:rFonts w:cs="Arial"/>
          <w:szCs w:val="22"/>
        </w:rPr>
        <w:t xml:space="preserve">A key feature of the settlement is that almost three quarters (72%) of the residents are from the Eastern Cape. More than half (53%) have been residing in the settlement for 5 years or less, and 20% for 15 years or more, meaning that the settlement is still seeing high numbers of rural migrants from the Eastern Cape settling in Langrug. The age profile of the settlement also seems to indicate that it is younger people who are living and working in the settlement but </w:t>
      </w:r>
      <w:r w:rsidRPr="00A0532A">
        <w:rPr>
          <w:rFonts w:cs="Arial"/>
          <w:szCs w:val="22"/>
        </w:rPr>
        <w:lastRenderedPageBreak/>
        <w:t xml:space="preserve">there are very few retired people or people over the age of 65. It can be speculated that this is due to traditional migration patterns of people “going home” once their productive years are over. </w:t>
      </w:r>
    </w:p>
    <w:p w14:paraId="160F7A2B" w14:textId="77777777" w:rsidR="00100CFD" w:rsidRPr="00A0532A" w:rsidRDefault="00100CFD" w:rsidP="00100CFD">
      <w:pPr>
        <w:autoSpaceDE w:val="0"/>
        <w:autoSpaceDN w:val="0"/>
        <w:adjustRightInd w:val="0"/>
        <w:rPr>
          <w:rFonts w:cs="Arial"/>
          <w:szCs w:val="22"/>
        </w:rPr>
      </w:pPr>
      <w:r w:rsidRPr="00A0532A">
        <w:rPr>
          <w:rFonts w:cs="Arial"/>
          <w:szCs w:val="22"/>
        </w:rPr>
        <w:t>Of further concern is that the number of employed and unemployed people is nearly equal (50.1%:49.9%). However of the over 1300 residents who are unemployed only 470 receive any kinds of grants (mainly child support grants (413 people). Income data was not available but from the expense data that was gathered, the residents are extremely poor, earning R1600 a month and less on average. Of which households spend more than half of their income on food (50.8%) and 28% on clothing. The income and migration patterns in Langrug have consequences for investment as they effectively mean that migrants will have to choose where to invest their income, at their place of work or home and it would be unlikely that they would have sufficient income to invest in both sites.</w:t>
      </w:r>
    </w:p>
    <w:p w14:paraId="6ACE8422" w14:textId="77777777" w:rsidR="00100CFD" w:rsidRPr="00A0532A" w:rsidRDefault="00100CFD" w:rsidP="00100CFD">
      <w:pPr>
        <w:autoSpaceDE w:val="0"/>
        <w:autoSpaceDN w:val="0"/>
        <w:adjustRightInd w:val="0"/>
        <w:rPr>
          <w:rFonts w:cs="Arial"/>
          <w:szCs w:val="22"/>
        </w:rPr>
      </w:pPr>
    </w:p>
    <w:p w14:paraId="0FAFF541" w14:textId="77777777" w:rsidR="00100CFD" w:rsidRPr="00A0532A" w:rsidRDefault="00100CFD" w:rsidP="00100CFD">
      <w:pPr>
        <w:rPr>
          <w:rFonts w:cs="Arial"/>
          <w:b/>
          <w:szCs w:val="22"/>
        </w:rPr>
      </w:pPr>
      <w:r w:rsidRPr="00A0532A">
        <w:rPr>
          <w:rFonts w:cs="Arial"/>
          <w:szCs w:val="22"/>
        </w:rPr>
        <w:t xml:space="preserve">e. </w:t>
      </w:r>
      <w:r w:rsidRPr="00A0532A">
        <w:rPr>
          <w:rFonts w:cs="Arial"/>
          <w:b/>
          <w:szCs w:val="22"/>
        </w:rPr>
        <w:t>Leadership structures and governance context</w:t>
      </w:r>
    </w:p>
    <w:p w14:paraId="6C607D7A" w14:textId="77777777" w:rsidR="00100CFD" w:rsidRPr="00A0532A" w:rsidRDefault="00100CFD" w:rsidP="00100CFD">
      <w:pPr>
        <w:autoSpaceDE w:val="0"/>
        <w:autoSpaceDN w:val="0"/>
        <w:adjustRightInd w:val="0"/>
        <w:rPr>
          <w:rFonts w:cs="Arial"/>
          <w:szCs w:val="22"/>
        </w:rPr>
      </w:pPr>
      <w:r w:rsidRPr="00A0532A">
        <w:rPr>
          <w:rFonts w:cs="Arial"/>
          <w:szCs w:val="22"/>
        </w:rPr>
        <w:t>Although not explicitly stated in any of the documents it would seem that there were few leadership structures in place in the settlement prior to the CORC project. One of the stated aims of the project was to develop leadership and build trust between the community and the municipality. It was reported that the project also sought to deepen leadership and accountability by creating block structures and block leaders within each of the designated areas. Such a process was easier in a settlement that did not suffer from major internal divisions or strong political party affiliations.</w:t>
      </w:r>
    </w:p>
    <w:p w14:paraId="4CBA9A5F" w14:textId="77777777" w:rsidR="00100CFD" w:rsidRPr="00A0532A" w:rsidRDefault="00100CFD" w:rsidP="00100CFD">
      <w:pPr>
        <w:autoSpaceDE w:val="0"/>
        <w:autoSpaceDN w:val="0"/>
        <w:adjustRightInd w:val="0"/>
        <w:rPr>
          <w:rFonts w:cs="Arial"/>
          <w:szCs w:val="22"/>
        </w:rPr>
      </w:pPr>
    </w:p>
    <w:p w14:paraId="2DC0FB77" w14:textId="77777777" w:rsidR="00100CFD" w:rsidRPr="00A0532A" w:rsidRDefault="00100CFD" w:rsidP="00100CFD">
      <w:pPr>
        <w:autoSpaceDE w:val="0"/>
        <w:autoSpaceDN w:val="0"/>
        <w:adjustRightInd w:val="0"/>
        <w:rPr>
          <w:rFonts w:cs="Arial"/>
          <w:b/>
          <w:szCs w:val="22"/>
        </w:rPr>
      </w:pPr>
      <w:r w:rsidRPr="00A0532A">
        <w:rPr>
          <w:rFonts w:cs="Arial"/>
          <w:b/>
          <w:szCs w:val="22"/>
        </w:rPr>
        <w:t>f. In situ upgrading potential</w:t>
      </w:r>
    </w:p>
    <w:p w14:paraId="2B656858" w14:textId="2DAC92E5" w:rsidR="00100CFD" w:rsidRPr="00A0532A" w:rsidRDefault="00100CFD" w:rsidP="00100CFD">
      <w:pPr>
        <w:autoSpaceDE w:val="0"/>
        <w:autoSpaceDN w:val="0"/>
        <w:adjustRightInd w:val="0"/>
        <w:rPr>
          <w:rFonts w:cs="Arial"/>
          <w:szCs w:val="22"/>
        </w:rPr>
      </w:pPr>
      <w:r w:rsidRPr="00A0532A">
        <w:rPr>
          <w:rFonts w:cs="Arial"/>
          <w:szCs w:val="22"/>
        </w:rPr>
        <w:t xml:space="preserve">The settlement has recently been a part of a pilot project co-ordinated by University of Cape Town (UCT), the Community </w:t>
      </w:r>
      <w:r w:rsidR="008B47BF">
        <w:rPr>
          <w:rFonts w:cs="Arial"/>
          <w:szCs w:val="22"/>
        </w:rPr>
        <w:t>Organization</w:t>
      </w:r>
      <w:r w:rsidRPr="00A0532A">
        <w:rPr>
          <w:rFonts w:cs="Arial"/>
          <w:szCs w:val="22"/>
        </w:rPr>
        <w:t xml:space="preserve"> Resource Centre (CORC), Shack Dwellers International (SDI) and the Stellenbosch Municipality and the local residents. Through long term participatory processes has been undertaken in which the Langrug residents developed their own developmental agenda. In doing so, it was found that the priority was not free standing </w:t>
      </w:r>
      <w:r w:rsidR="00E01C9B">
        <w:rPr>
          <w:rFonts w:cs="Arial"/>
          <w:szCs w:val="22"/>
        </w:rPr>
        <w:t>subsidized</w:t>
      </w:r>
      <w:r w:rsidRPr="00A0532A">
        <w:rPr>
          <w:rFonts w:cs="Arial"/>
          <w:szCs w:val="22"/>
        </w:rPr>
        <w:t xml:space="preserve"> units but rather “community-led settlement upgrading”, which addressed very immediate concerns. These concerns were taken to the local authority and through engagement mutually satisfactory solutions were workshopped. Some of which have already been implemented  i.e. the municipality has opened access streets, relocated several families that block access to the settlement, built grey water channels, provided play parks for children, painted ablution facilities and set up health forums to assist with HIV/AIDS counselling. Thus there does seem potential for state investment in the site but as for households the concern already raised of high migrancy rates and low incomes may deter investment in the area by most households. </w:t>
      </w:r>
    </w:p>
    <w:p w14:paraId="18A36FA3" w14:textId="52FAD4B1" w:rsidR="00CC2D09" w:rsidRPr="00CC2D09" w:rsidRDefault="00CC2D09" w:rsidP="002A05AF">
      <w:pPr>
        <w:pStyle w:val="Heading3"/>
        <w:numPr>
          <w:ilvl w:val="0"/>
          <w:numId w:val="0"/>
        </w:numPr>
        <w:ind w:left="624" w:hanging="624"/>
      </w:pPr>
      <w:bookmarkStart w:id="417" w:name="_Toc262067931"/>
      <w:bookmarkStart w:id="418" w:name="_Toc262068257"/>
      <w:r>
        <w:t>E</w:t>
      </w:r>
      <w:r w:rsidRPr="00CC2D09">
        <w:t xml:space="preserve">: </w:t>
      </w:r>
      <w:r>
        <w:t>Location: Well-Located Informal Settlement</w:t>
      </w:r>
      <w:bookmarkEnd w:id="417"/>
      <w:bookmarkEnd w:id="418"/>
      <w:r>
        <w:t xml:space="preserve"> </w:t>
      </w:r>
    </w:p>
    <w:p w14:paraId="4317DDE8" w14:textId="77777777" w:rsidR="00100CFD" w:rsidRPr="00A0532A" w:rsidRDefault="00100CFD" w:rsidP="00100CFD">
      <w:pPr>
        <w:autoSpaceDE w:val="0"/>
        <w:autoSpaceDN w:val="0"/>
        <w:adjustRightInd w:val="0"/>
        <w:rPr>
          <w:rFonts w:cs="Arial"/>
          <w:b/>
          <w:szCs w:val="22"/>
        </w:rPr>
      </w:pPr>
      <w:r w:rsidRPr="00A0532A">
        <w:rPr>
          <w:rFonts w:cs="Arial"/>
          <w:szCs w:val="22"/>
        </w:rPr>
        <w:t xml:space="preserve">a. </w:t>
      </w:r>
      <w:r w:rsidRPr="00A0532A">
        <w:rPr>
          <w:rFonts w:cs="Arial"/>
          <w:b/>
          <w:szCs w:val="22"/>
        </w:rPr>
        <w:t>Settlement Location &amp; Identification</w:t>
      </w:r>
    </w:p>
    <w:p w14:paraId="3AA64E38" w14:textId="77777777" w:rsidR="00100CFD" w:rsidRPr="00A0532A" w:rsidRDefault="00100CFD" w:rsidP="00100CFD">
      <w:pPr>
        <w:tabs>
          <w:tab w:val="left" w:pos="724"/>
          <w:tab w:val="left" w:pos="3128"/>
          <w:tab w:val="left" w:pos="6009"/>
          <w:tab w:val="left" w:pos="7345"/>
        </w:tabs>
        <w:ind w:left="118"/>
        <w:rPr>
          <w:rFonts w:cs="Arial"/>
          <w:szCs w:val="22"/>
        </w:rPr>
      </w:pPr>
      <w:r w:rsidRPr="00A0532A">
        <w:rPr>
          <w:rFonts w:cs="Arial"/>
          <w:szCs w:val="22"/>
        </w:rPr>
        <w:tab/>
        <w:t xml:space="preserve">Settlement Name              Alberton Station  </w:t>
      </w:r>
    </w:p>
    <w:p w14:paraId="19139B9A" w14:textId="77777777" w:rsidR="00100CFD" w:rsidRPr="00A0532A" w:rsidRDefault="00100CFD" w:rsidP="00100CFD">
      <w:pPr>
        <w:tabs>
          <w:tab w:val="left" w:pos="724"/>
          <w:tab w:val="left" w:pos="3128"/>
          <w:tab w:val="left" w:pos="6009"/>
          <w:tab w:val="left" w:pos="7345"/>
        </w:tabs>
        <w:ind w:left="118"/>
        <w:rPr>
          <w:rFonts w:cs="Arial"/>
          <w:szCs w:val="22"/>
        </w:rPr>
      </w:pPr>
      <w:r w:rsidRPr="00A0532A">
        <w:rPr>
          <w:rFonts w:cs="Arial"/>
          <w:szCs w:val="22"/>
        </w:rPr>
        <w:tab/>
        <w:t>Municipality Name            Ekurhuleni</w:t>
      </w:r>
    </w:p>
    <w:p w14:paraId="204533F2" w14:textId="77777777" w:rsidR="00100CFD" w:rsidRPr="00A0532A" w:rsidRDefault="00100CFD" w:rsidP="00100CFD">
      <w:pPr>
        <w:autoSpaceDE w:val="0"/>
        <w:autoSpaceDN w:val="0"/>
        <w:adjustRightInd w:val="0"/>
        <w:rPr>
          <w:rFonts w:cs="Arial"/>
          <w:szCs w:val="22"/>
        </w:rPr>
      </w:pPr>
      <w:r w:rsidRPr="00A0532A">
        <w:rPr>
          <w:rFonts w:cs="Arial"/>
          <w:szCs w:val="22"/>
        </w:rPr>
        <w:tab/>
        <w:t>Province</w:t>
      </w:r>
      <w:r w:rsidRPr="00A0532A">
        <w:rPr>
          <w:rFonts w:cs="Arial"/>
          <w:szCs w:val="22"/>
        </w:rPr>
        <w:tab/>
        <w:t xml:space="preserve">                Gauteng</w:t>
      </w:r>
    </w:p>
    <w:p w14:paraId="19E68BF4" w14:textId="77777777" w:rsidR="00100CFD" w:rsidRPr="00A0532A" w:rsidRDefault="00100CFD" w:rsidP="00100CFD">
      <w:pPr>
        <w:autoSpaceDE w:val="0"/>
        <w:autoSpaceDN w:val="0"/>
        <w:adjustRightInd w:val="0"/>
        <w:rPr>
          <w:rFonts w:cs="Arial"/>
          <w:szCs w:val="22"/>
        </w:rPr>
      </w:pPr>
    </w:p>
    <w:p w14:paraId="3C93DC98" w14:textId="77777777" w:rsidR="00100CFD" w:rsidRPr="00A0532A" w:rsidRDefault="00100CFD" w:rsidP="00100CFD">
      <w:pPr>
        <w:autoSpaceDE w:val="0"/>
        <w:autoSpaceDN w:val="0"/>
        <w:adjustRightInd w:val="0"/>
        <w:rPr>
          <w:rFonts w:cs="Arial"/>
          <w:b/>
          <w:szCs w:val="22"/>
        </w:rPr>
      </w:pPr>
      <w:r w:rsidRPr="00A0532A">
        <w:rPr>
          <w:rFonts w:cs="Arial"/>
          <w:szCs w:val="22"/>
        </w:rPr>
        <w:t xml:space="preserve">b. </w:t>
      </w:r>
      <w:r w:rsidRPr="00A0532A">
        <w:rPr>
          <w:rFonts w:cs="Arial"/>
          <w:b/>
          <w:szCs w:val="22"/>
        </w:rPr>
        <w:t>Settlement Overview</w:t>
      </w:r>
    </w:p>
    <w:p w14:paraId="1BCC8842" w14:textId="77777777" w:rsidR="00100CFD" w:rsidRPr="00A0532A" w:rsidRDefault="00100CFD" w:rsidP="00100CFD">
      <w:pPr>
        <w:autoSpaceDE w:val="0"/>
        <w:autoSpaceDN w:val="0"/>
        <w:adjustRightInd w:val="0"/>
        <w:rPr>
          <w:rFonts w:cs="Arial"/>
          <w:szCs w:val="22"/>
        </w:rPr>
      </w:pPr>
      <w:r w:rsidRPr="00A0532A">
        <w:rPr>
          <w:rFonts w:cs="Arial"/>
          <w:szCs w:val="22"/>
        </w:rPr>
        <w:t xml:space="preserve">Alberton Station settlement named for its position right at the doors of the Alberton train station in Ekurhuleni was begun in the early 1980s by hawkers who sold their goods on the platform and then slept rough at night, unable to afford the transport home or the housing in the area. By 1995 the few hawkers were joined by migrants into the city who then built homes or lived in disused shipping containers and most of whom were employed as domestic workers and gardeners in the surrounding areas The community was largely met with resistance by rail police as well as the private companies in the area and there are accusations that the informal dwellers were harassed, beaten and their homes set alight by various parties. In 2005 a few households (the number is uncertain) were relocated to Thinasonke 13 kilometers from Alberton. Given the distance, transport costs and lack of employment prospects many households who were relocated to the new settlement have chosen to either return to Alberton Station or to </w:t>
      </w:r>
      <w:r w:rsidRPr="00A0532A">
        <w:rPr>
          <w:rFonts w:cs="Arial"/>
          <w:szCs w:val="22"/>
          <w:shd w:val="clear" w:color="auto" w:fill="FFFFFF"/>
        </w:rPr>
        <w:t>maintain a second residence during the working week in a shack in Alberton station.</w:t>
      </w:r>
      <w:r w:rsidRPr="00A0532A">
        <w:rPr>
          <w:rStyle w:val="apple-converted-space"/>
          <w:rFonts w:cs="Arial"/>
          <w:szCs w:val="22"/>
          <w:shd w:val="clear" w:color="auto" w:fill="FFFFFF"/>
        </w:rPr>
        <w:t xml:space="preserve"> Currently there are some 265 households and 1024 people living part or full time in the settlement. The land is owned by Intersite who apparently have plans to redevelop the station. </w:t>
      </w:r>
    </w:p>
    <w:p w14:paraId="10940021" w14:textId="77777777" w:rsidR="00100CFD" w:rsidRPr="00A0532A" w:rsidRDefault="00100CFD" w:rsidP="00100CFD">
      <w:pPr>
        <w:autoSpaceDE w:val="0"/>
        <w:autoSpaceDN w:val="0"/>
        <w:adjustRightInd w:val="0"/>
        <w:rPr>
          <w:rFonts w:cs="Arial"/>
          <w:szCs w:val="22"/>
        </w:rPr>
      </w:pPr>
    </w:p>
    <w:p w14:paraId="18D5B5A7" w14:textId="77777777" w:rsidR="00100CFD" w:rsidRPr="00A0532A" w:rsidRDefault="00100CFD" w:rsidP="00100CFD">
      <w:pPr>
        <w:autoSpaceDE w:val="0"/>
        <w:autoSpaceDN w:val="0"/>
        <w:adjustRightInd w:val="0"/>
        <w:rPr>
          <w:rFonts w:cs="Arial"/>
          <w:b/>
          <w:szCs w:val="22"/>
        </w:rPr>
      </w:pPr>
      <w:r w:rsidRPr="00A0532A">
        <w:rPr>
          <w:rFonts w:cs="Arial"/>
          <w:b/>
          <w:szCs w:val="22"/>
        </w:rPr>
        <w:t>c. Physical settlement characteristics</w:t>
      </w:r>
    </w:p>
    <w:p w14:paraId="62EEAAB0" w14:textId="77777777" w:rsidR="00100CFD" w:rsidRPr="00A0532A" w:rsidRDefault="00100CFD" w:rsidP="00100CFD">
      <w:pPr>
        <w:keepNext/>
        <w:autoSpaceDE w:val="0"/>
        <w:autoSpaceDN w:val="0"/>
        <w:adjustRightInd w:val="0"/>
        <w:rPr>
          <w:szCs w:val="22"/>
        </w:rPr>
      </w:pPr>
      <w:r w:rsidRPr="00A0532A">
        <w:rPr>
          <w:rFonts w:cs="Arial"/>
          <w:noProof/>
          <w:szCs w:val="22"/>
          <w:lang w:val="en-US"/>
        </w:rPr>
        <w:drawing>
          <wp:inline distT="0" distB="0" distL="0" distR="0" wp14:anchorId="6265FF42" wp14:editId="7DFE7DE2">
            <wp:extent cx="3148330" cy="19411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148330" cy="1941195"/>
                    </a:xfrm>
                    <a:prstGeom prst="rect">
                      <a:avLst/>
                    </a:prstGeom>
                    <a:noFill/>
                    <a:ln>
                      <a:noFill/>
                    </a:ln>
                  </pic:spPr>
                </pic:pic>
              </a:graphicData>
            </a:graphic>
          </wp:inline>
        </w:drawing>
      </w:r>
    </w:p>
    <w:p w14:paraId="79171AB8" w14:textId="22C55172" w:rsidR="00100CFD" w:rsidRPr="00A0532A" w:rsidRDefault="004A5492" w:rsidP="00CF1919">
      <w:pPr>
        <w:pStyle w:val="Caption"/>
        <w:rPr>
          <w:rFonts w:cs="Arial"/>
        </w:rPr>
      </w:pPr>
      <w:bookmarkStart w:id="419" w:name="_Toc262046877"/>
      <w:bookmarkStart w:id="420" w:name="_Toc270945532"/>
      <w:r w:rsidRPr="00A0532A">
        <w:t xml:space="preserve">Figure </w:t>
      </w:r>
      <w:r w:rsidRPr="00A0532A">
        <w:fldChar w:fldCharType="begin"/>
      </w:r>
      <w:r w:rsidRPr="00A0532A">
        <w:instrText xml:space="preserve"> SEQ Figure \* ARABIC </w:instrText>
      </w:r>
      <w:r w:rsidRPr="00A0532A">
        <w:fldChar w:fldCharType="separate"/>
      </w:r>
      <w:r w:rsidR="00E9048A">
        <w:rPr>
          <w:noProof/>
        </w:rPr>
        <w:t>30</w:t>
      </w:r>
      <w:r w:rsidRPr="00A0532A">
        <w:rPr>
          <w:noProof/>
        </w:rPr>
        <w:fldChar w:fldCharType="end"/>
      </w:r>
      <w:r w:rsidRPr="00A0532A">
        <w:t>: Image</w:t>
      </w:r>
      <w:r w:rsidR="00100CFD" w:rsidRPr="00A0532A">
        <w:t>: Image of Alberton Station Informal Settlement (Source: SDI Report, 2009)</w:t>
      </w:r>
      <w:bookmarkEnd w:id="419"/>
      <w:bookmarkEnd w:id="420"/>
    </w:p>
    <w:p w14:paraId="0668FD8F" w14:textId="77777777" w:rsidR="00100CFD" w:rsidRPr="00A0532A" w:rsidRDefault="00100CFD" w:rsidP="00100CFD">
      <w:pPr>
        <w:autoSpaceDE w:val="0"/>
        <w:autoSpaceDN w:val="0"/>
        <w:adjustRightInd w:val="0"/>
        <w:rPr>
          <w:rFonts w:cs="Arial"/>
          <w:szCs w:val="22"/>
        </w:rPr>
      </w:pPr>
    </w:p>
    <w:p w14:paraId="04D3FC0B" w14:textId="77777777" w:rsidR="00100CFD" w:rsidRPr="00A0532A" w:rsidRDefault="00100CFD" w:rsidP="00100CFD">
      <w:pPr>
        <w:autoSpaceDE w:val="0"/>
        <w:autoSpaceDN w:val="0"/>
        <w:adjustRightInd w:val="0"/>
        <w:rPr>
          <w:rFonts w:cs="Arial"/>
          <w:szCs w:val="22"/>
        </w:rPr>
      </w:pPr>
      <w:r w:rsidRPr="00A0532A">
        <w:rPr>
          <w:rFonts w:cs="Arial"/>
          <w:szCs w:val="22"/>
        </w:rPr>
        <w:t xml:space="preserve">The informal settlement of Alberton Station lies on either side of the platform of the old train station in Alberton, people are largely living in shacks, constructed from plastic, cardboard and other temporary materials as well as disused railway buildings. The settlement has always suffered from few services and there is only two taps to service the entire community and no electricity either formal or illegally connected. In 2009, whilst the enumeration process was underway, which is where most of this information is drawn from, the Mayoral Council Speaker of the Ekurhuleni Metropolitan Municipality (EMM) Patricia Kumalo with other EMM Officials visited the site and committed to deliver 24 chemical toilets. To date, these have not been delivered and the residents is the pre-existing 7 pit toilets or the nearby veld (with its attendant dangers of rape and assault) to relieve themselves. </w:t>
      </w:r>
    </w:p>
    <w:p w14:paraId="5378E219" w14:textId="77777777" w:rsidR="00100CFD" w:rsidRPr="00A0532A" w:rsidRDefault="00100CFD" w:rsidP="00100CFD">
      <w:pPr>
        <w:autoSpaceDE w:val="0"/>
        <w:autoSpaceDN w:val="0"/>
        <w:adjustRightInd w:val="0"/>
        <w:rPr>
          <w:rFonts w:cs="Calibri"/>
          <w:szCs w:val="22"/>
        </w:rPr>
      </w:pPr>
    </w:p>
    <w:p w14:paraId="5F86CA72" w14:textId="77777777" w:rsidR="00100CFD" w:rsidRPr="00A0532A" w:rsidRDefault="00100CFD" w:rsidP="00100CFD">
      <w:pPr>
        <w:autoSpaceDE w:val="0"/>
        <w:autoSpaceDN w:val="0"/>
        <w:adjustRightInd w:val="0"/>
        <w:rPr>
          <w:rFonts w:cs="Arial"/>
          <w:b/>
          <w:szCs w:val="22"/>
        </w:rPr>
      </w:pPr>
      <w:r w:rsidRPr="00A0532A">
        <w:rPr>
          <w:rFonts w:cs="Arial"/>
          <w:b/>
          <w:szCs w:val="22"/>
        </w:rPr>
        <w:lastRenderedPageBreak/>
        <w:t>d. Population dynamics and socio-economic conditions</w:t>
      </w:r>
    </w:p>
    <w:p w14:paraId="252125D7" w14:textId="77777777" w:rsidR="00100CFD" w:rsidRPr="00A0532A" w:rsidRDefault="00100CFD" w:rsidP="00100CFD">
      <w:pPr>
        <w:autoSpaceDE w:val="0"/>
        <w:autoSpaceDN w:val="0"/>
        <w:adjustRightInd w:val="0"/>
        <w:rPr>
          <w:rFonts w:cs="Arial"/>
          <w:szCs w:val="22"/>
        </w:rPr>
      </w:pPr>
      <w:r w:rsidRPr="00A0532A">
        <w:rPr>
          <w:rFonts w:cs="Arial"/>
          <w:szCs w:val="22"/>
        </w:rPr>
        <w:t>Of the 577 adults (defined here as between 18-64 year olds) only 268 people are in some kind of employment (46 people in part time employment, 204 people in full time employment and 18  who are self</w:t>
      </w:r>
      <w:r w:rsidRPr="00A0532A">
        <w:rPr>
          <w:rFonts w:ascii="American Typewriter" w:hAnsi="American Typewriter" w:cs="American Typewriter"/>
          <w:szCs w:val="22"/>
        </w:rPr>
        <w:t>‐</w:t>
      </w:r>
      <w:r w:rsidRPr="00A0532A">
        <w:rPr>
          <w:rFonts w:cs="Arial"/>
          <w:szCs w:val="22"/>
        </w:rPr>
        <w:t>employed), constituting 46% of the working age population. Part of the reason for these rates is the low level of skills and education that most residents possess only 24 people indicated having any training or skills, which included construction work, building, welding, panelbeating, brick</w:t>
      </w:r>
      <w:r w:rsidRPr="00A0532A">
        <w:rPr>
          <w:rFonts w:ascii="American Typewriter" w:hAnsi="American Typewriter" w:cs="American Typewriter"/>
          <w:szCs w:val="22"/>
        </w:rPr>
        <w:t>‐</w:t>
      </w:r>
      <w:r w:rsidRPr="00A0532A">
        <w:rPr>
          <w:rFonts w:cs="Arial"/>
          <w:szCs w:val="22"/>
        </w:rPr>
        <w:t>laying and pre</w:t>
      </w:r>
      <w:r w:rsidRPr="00A0532A">
        <w:rPr>
          <w:rFonts w:ascii="American Typewriter" w:hAnsi="American Typewriter" w:cs="American Typewriter"/>
          <w:szCs w:val="22"/>
        </w:rPr>
        <w:t>‐</w:t>
      </w:r>
      <w:r w:rsidRPr="00A0532A">
        <w:rPr>
          <w:rFonts w:cs="Arial"/>
          <w:szCs w:val="22"/>
        </w:rPr>
        <w:t xml:space="preserve">nursing. The low skill level and low employment rate also meant that expenditure levels were unsurpisingly low and on average households reported that they spent R880 a month, with only 11% of households with children reporting that they received state grants. The highest expenses went to food, energy and transport. </w:t>
      </w:r>
    </w:p>
    <w:p w14:paraId="03B579E2" w14:textId="77777777" w:rsidR="00100CFD" w:rsidRPr="00A0532A" w:rsidRDefault="00100CFD" w:rsidP="00100CFD">
      <w:pPr>
        <w:autoSpaceDE w:val="0"/>
        <w:autoSpaceDN w:val="0"/>
        <w:adjustRightInd w:val="0"/>
        <w:rPr>
          <w:rFonts w:cs="Calibri"/>
          <w:szCs w:val="22"/>
        </w:rPr>
      </w:pPr>
    </w:p>
    <w:p w14:paraId="64117F3C" w14:textId="77777777" w:rsidR="00100CFD" w:rsidRPr="00A0532A" w:rsidRDefault="00100CFD" w:rsidP="00100CFD">
      <w:pPr>
        <w:rPr>
          <w:rFonts w:cs="Arial"/>
          <w:b/>
          <w:szCs w:val="22"/>
        </w:rPr>
      </w:pPr>
      <w:r w:rsidRPr="00A0532A">
        <w:rPr>
          <w:rFonts w:cs="Arial"/>
          <w:szCs w:val="22"/>
        </w:rPr>
        <w:t xml:space="preserve">e. </w:t>
      </w:r>
      <w:r w:rsidRPr="00A0532A">
        <w:rPr>
          <w:rFonts w:cs="Arial"/>
          <w:b/>
          <w:szCs w:val="22"/>
        </w:rPr>
        <w:t>Leadership structures and governance context</w:t>
      </w:r>
    </w:p>
    <w:p w14:paraId="0E4AFA1D" w14:textId="77777777" w:rsidR="00100CFD" w:rsidRPr="00A0532A" w:rsidRDefault="00100CFD" w:rsidP="00100CFD">
      <w:pPr>
        <w:shd w:val="clear" w:color="auto" w:fill="FFFFFF"/>
        <w:rPr>
          <w:rFonts w:cs="Arial"/>
          <w:szCs w:val="22"/>
          <w:lang w:eastAsia="en-GB"/>
        </w:rPr>
      </w:pPr>
      <w:r w:rsidRPr="00A0532A">
        <w:rPr>
          <w:rFonts w:cs="Arial"/>
          <w:szCs w:val="22"/>
          <w:lang w:eastAsia="en-GB"/>
        </w:rPr>
        <w:t xml:space="preserve">The informal settlement seems to have its own elected leadership who have attempted to engage with the municipality around service provision and the proposed eviction (which will be discussed in the next section). The community has also received some support from the Informal Settlement Network. However, the relationships between the local leadership, the City and the local political parties is complex. The area has political representation in the form of a DA ward councillor but the EMM is run by an ANC majority. The community has links to the local ANC branch who have apparently been lobbying on their behalf but who are threatened by the community’s relationship with the Informal Sector Network.   However, the community leaders have been criticised by MEC members and the council who argue that they should be obeying their mandate from their community and ensuring the smoothrunning of a development committee rather than getting involved in party politics. The situation is compounded by the fact that the community has become a pawn in a larger power play between the ANC and DA as well as the issue that there are two parallel planning processes going on in the EMM, which will be explored in the next section. Thus the situation within and concerning the settlement is contentious. </w:t>
      </w:r>
    </w:p>
    <w:p w14:paraId="6D69F1CA" w14:textId="77777777" w:rsidR="00100CFD" w:rsidRPr="00A0532A" w:rsidRDefault="00100CFD" w:rsidP="00100CFD">
      <w:pPr>
        <w:shd w:val="clear" w:color="auto" w:fill="FFFFFF"/>
        <w:spacing w:line="270" w:lineRule="atLeast"/>
        <w:rPr>
          <w:rFonts w:cs="Arial"/>
          <w:color w:val="666666"/>
          <w:szCs w:val="22"/>
          <w:lang w:eastAsia="en-GB"/>
        </w:rPr>
      </w:pPr>
    </w:p>
    <w:p w14:paraId="146DC89F" w14:textId="77777777" w:rsidR="00100CFD" w:rsidRPr="00A0532A" w:rsidRDefault="00100CFD" w:rsidP="00100CFD">
      <w:pPr>
        <w:autoSpaceDE w:val="0"/>
        <w:autoSpaceDN w:val="0"/>
        <w:adjustRightInd w:val="0"/>
        <w:rPr>
          <w:rFonts w:cs="Arial"/>
          <w:b/>
          <w:szCs w:val="22"/>
        </w:rPr>
      </w:pPr>
      <w:r w:rsidRPr="00A0532A">
        <w:rPr>
          <w:rFonts w:cs="Arial"/>
          <w:b/>
          <w:szCs w:val="22"/>
        </w:rPr>
        <w:t>f. In situ upgrading potential</w:t>
      </w:r>
    </w:p>
    <w:p w14:paraId="35E25EEE" w14:textId="77777777" w:rsidR="00100CFD" w:rsidRPr="00A0532A" w:rsidRDefault="00100CFD" w:rsidP="00100CFD">
      <w:pPr>
        <w:autoSpaceDE w:val="0"/>
        <w:autoSpaceDN w:val="0"/>
        <w:adjustRightInd w:val="0"/>
        <w:rPr>
          <w:rFonts w:cs="Arial"/>
          <w:szCs w:val="22"/>
        </w:rPr>
      </w:pPr>
      <w:r w:rsidRPr="00A0532A">
        <w:rPr>
          <w:rFonts w:cs="Arial"/>
          <w:szCs w:val="22"/>
        </w:rPr>
        <w:t xml:space="preserve">Upgrading and investment is complicated as there seem to be two development processes taking place within the council: the first is through a coalition between the ward councillor and the land owners who are looking to evict the residents and redevelop the site and have plans to go ahead with the project as soon as alternative accommodation has been identified for the existing residents. The full plan has not been revealed or negotiated with the community and has been a point of conflict between the local ANC branch and the DA councillor. The second, led by the Mayoral Council Speaker is intended to focus on service delivery for existing communities and aside from the commitment to toilets, which has never materialised, she has mentioned that the EMM has made R100 million available for service delivery. In addition, she has met with ISN and CORC and seems open to the idea of in situ development. </w:t>
      </w:r>
    </w:p>
    <w:p w14:paraId="4080517D" w14:textId="77777777" w:rsidR="00100CFD" w:rsidRPr="00A0532A" w:rsidRDefault="00100CFD" w:rsidP="00100CFD">
      <w:pPr>
        <w:autoSpaceDE w:val="0"/>
        <w:autoSpaceDN w:val="0"/>
        <w:adjustRightInd w:val="0"/>
        <w:rPr>
          <w:rFonts w:cs="Arial"/>
          <w:szCs w:val="22"/>
        </w:rPr>
      </w:pPr>
      <w:r w:rsidRPr="00A0532A">
        <w:rPr>
          <w:rFonts w:cs="Arial"/>
          <w:szCs w:val="22"/>
        </w:rPr>
        <w:t xml:space="preserve">There seem to be a number of concerns when it comes to the potential of incremental upgrading of the community, unfortunately the aspect of the settlement that makes it so desirable, its location, is precisely what puts the settlement under threat of eviction. Furthermore, the complex governance situation makes the tenure and future of the settlement even more precarious as the informal settlement becomes a political football. The extreme poverty of the population with few skills and very little income, and not a high likelihood of </w:t>
      </w:r>
      <w:r w:rsidRPr="00A0532A">
        <w:rPr>
          <w:rFonts w:cs="Arial"/>
          <w:szCs w:val="22"/>
        </w:rPr>
        <w:lastRenderedPageBreak/>
        <w:t>improving their employment opportunities. As such, the potential of households to invest in their homes seems low and most households are unlikely to have the disposable income or the ability to borrow money to improve their units.</w:t>
      </w:r>
    </w:p>
    <w:p w14:paraId="15C2FE0E" w14:textId="77777777" w:rsidR="00100CFD" w:rsidRDefault="00100CFD" w:rsidP="00100CFD">
      <w:pPr>
        <w:autoSpaceDE w:val="0"/>
        <w:autoSpaceDN w:val="0"/>
        <w:adjustRightInd w:val="0"/>
        <w:rPr>
          <w:rFonts w:cs="Arial"/>
          <w:szCs w:val="22"/>
        </w:rPr>
      </w:pPr>
    </w:p>
    <w:p w14:paraId="55112859" w14:textId="2CE29F73" w:rsidR="00CC2D09" w:rsidRPr="00CC2D09" w:rsidRDefault="00CC2D09" w:rsidP="002A05AF">
      <w:pPr>
        <w:pStyle w:val="Heading3"/>
        <w:numPr>
          <w:ilvl w:val="0"/>
          <w:numId w:val="0"/>
        </w:numPr>
        <w:ind w:left="624" w:hanging="624"/>
      </w:pPr>
      <w:bookmarkStart w:id="421" w:name="_Toc262067932"/>
      <w:bookmarkStart w:id="422" w:name="_Toc262068258"/>
      <w:r>
        <w:t>F</w:t>
      </w:r>
      <w:r w:rsidRPr="00CC2D09">
        <w:t xml:space="preserve">: </w:t>
      </w:r>
      <w:r>
        <w:t>Size: Extremely Small and Dangerous Location</w:t>
      </w:r>
      <w:bookmarkEnd w:id="421"/>
      <w:bookmarkEnd w:id="422"/>
      <w:r>
        <w:t xml:space="preserve"> </w:t>
      </w:r>
    </w:p>
    <w:p w14:paraId="3ECCBB92" w14:textId="77777777" w:rsidR="00100CFD" w:rsidRPr="00A0532A" w:rsidRDefault="00100CFD" w:rsidP="00100CFD">
      <w:pPr>
        <w:rPr>
          <w:rFonts w:cs="Arial"/>
          <w:b/>
          <w:szCs w:val="22"/>
        </w:rPr>
      </w:pPr>
      <w:r w:rsidRPr="00A0532A">
        <w:rPr>
          <w:rFonts w:cs="Arial"/>
          <w:szCs w:val="22"/>
        </w:rPr>
        <w:t xml:space="preserve">a. </w:t>
      </w:r>
      <w:r w:rsidRPr="00A0532A">
        <w:rPr>
          <w:rFonts w:cs="Arial"/>
          <w:b/>
          <w:szCs w:val="22"/>
        </w:rPr>
        <w:t>Settlement Location &amp; Identification</w:t>
      </w:r>
      <w:r w:rsidRPr="00A0532A">
        <w:rPr>
          <w:rFonts w:cs="Arial"/>
          <w:b/>
          <w:szCs w:val="22"/>
        </w:rPr>
        <w:tab/>
      </w:r>
    </w:p>
    <w:p w14:paraId="17F3D163" w14:textId="77777777" w:rsidR="00100CFD" w:rsidRPr="00A0532A" w:rsidRDefault="00100CFD" w:rsidP="00100CFD">
      <w:pPr>
        <w:tabs>
          <w:tab w:val="left" w:pos="724"/>
          <w:tab w:val="left" w:pos="3128"/>
          <w:tab w:val="left" w:pos="6009"/>
          <w:tab w:val="left" w:pos="7345"/>
        </w:tabs>
        <w:ind w:left="118"/>
        <w:rPr>
          <w:rFonts w:cs="Arial"/>
          <w:szCs w:val="22"/>
        </w:rPr>
      </w:pPr>
      <w:r w:rsidRPr="00A0532A">
        <w:rPr>
          <w:rFonts w:cs="Arial"/>
          <w:szCs w:val="22"/>
        </w:rPr>
        <w:tab/>
        <w:t>Settlement Name</w:t>
      </w:r>
      <w:r w:rsidRPr="00A0532A">
        <w:rPr>
          <w:rFonts w:cs="Arial"/>
          <w:szCs w:val="22"/>
        </w:rPr>
        <w:tab/>
        <w:t xml:space="preserve">Lwazi </w:t>
      </w:r>
    </w:p>
    <w:p w14:paraId="7FB4880C" w14:textId="77777777" w:rsidR="00100CFD" w:rsidRPr="00A0532A" w:rsidRDefault="00100CFD" w:rsidP="00100CFD">
      <w:pPr>
        <w:tabs>
          <w:tab w:val="left" w:pos="724"/>
          <w:tab w:val="left" w:pos="3128"/>
          <w:tab w:val="left" w:pos="6009"/>
          <w:tab w:val="left" w:pos="7345"/>
        </w:tabs>
        <w:ind w:left="118"/>
        <w:rPr>
          <w:rFonts w:cs="Arial"/>
          <w:szCs w:val="22"/>
        </w:rPr>
      </w:pPr>
      <w:r w:rsidRPr="00A0532A">
        <w:rPr>
          <w:rFonts w:cs="Arial"/>
          <w:szCs w:val="22"/>
        </w:rPr>
        <w:tab/>
        <w:t>Municipality Name</w:t>
      </w:r>
      <w:r w:rsidRPr="00A0532A">
        <w:rPr>
          <w:rFonts w:cs="Arial"/>
          <w:szCs w:val="22"/>
        </w:rPr>
        <w:tab/>
        <w:t>Cape Town</w:t>
      </w:r>
    </w:p>
    <w:p w14:paraId="4BD42055" w14:textId="77777777" w:rsidR="00100CFD" w:rsidRPr="00A0532A" w:rsidRDefault="00100CFD" w:rsidP="00100CFD">
      <w:pPr>
        <w:tabs>
          <w:tab w:val="left" w:pos="724"/>
          <w:tab w:val="left" w:pos="3128"/>
          <w:tab w:val="left" w:pos="6009"/>
          <w:tab w:val="left" w:pos="7345"/>
        </w:tabs>
        <w:ind w:left="118"/>
        <w:rPr>
          <w:rFonts w:cs="Arial"/>
          <w:szCs w:val="22"/>
        </w:rPr>
      </w:pPr>
      <w:r w:rsidRPr="00A0532A">
        <w:rPr>
          <w:rFonts w:cs="Arial"/>
          <w:szCs w:val="22"/>
        </w:rPr>
        <w:tab/>
        <w:t>Province</w:t>
      </w:r>
      <w:r w:rsidRPr="00A0532A">
        <w:rPr>
          <w:rFonts w:cs="Arial"/>
          <w:szCs w:val="22"/>
        </w:rPr>
        <w:tab/>
        <w:t>Western Cape</w:t>
      </w:r>
      <w:r w:rsidRPr="00A0532A">
        <w:rPr>
          <w:rFonts w:cs="Arial"/>
          <w:szCs w:val="22"/>
        </w:rPr>
        <w:tab/>
      </w:r>
    </w:p>
    <w:p w14:paraId="23E92CFB" w14:textId="77777777" w:rsidR="00100CFD" w:rsidRPr="00A0532A" w:rsidRDefault="00100CFD" w:rsidP="00100CFD">
      <w:pPr>
        <w:rPr>
          <w:rFonts w:cs="Arial"/>
          <w:szCs w:val="22"/>
        </w:rPr>
      </w:pPr>
      <w:r w:rsidRPr="00A0532A">
        <w:rPr>
          <w:rFonts w:cs="Arial"/>
          <w:szCs w:val="22"/>
        </w:rPr>
        <w:tab/>
      </w:r>
    </w:p>
    <w:p w14:paraId="436F5354" w14:textId="77777777" w:rsidR="00100CFD" w:rsidRPr="00A0532A" w:rsidRDefault="00100CFD" w:rsidP="00100CFD">
      <w:pPr>
        <w:autoSpaceDE w:val="0"/>
        <w:autoSpaceDN w:val="0"/>
        <w:adjustRightInd w:val="0"/>
        <w:rPr>
          <w:rFonts w:cs="Arial"/>
          <w:b/>
          <w:szCs w:val="22"/>
        </w:rPr>
      </w:pPr>
      <w:r w:rsidRPr="00A0532A">
        <w:rPr>
          <w:rFonts w:cs="Arial"/>
          <w:szCs w:val="22"/>
        </w:rPr>
        <w:t xml:space="preserve">b. </w:t>
      </w:r>
      <w:r w:rsidRPr="00A0532A">
        <w:rPr>
          <w:rFonts w:cs="Arial"/>
          <w:b/>
          <w:szCs w:val="22"/>
        </w:rPr>
        <w:t>Settlement Overview</w:t>
      </w:r>
    </w:p>
    <w:p w14:paraId="496252D6" w14:textId="77777777" w:rsidR="00100CFD" w:rsidRPr="00A0532A" w:rsidRDefault="00100CFD" w:rsidP="00100CFD">
      <w:pPr>
        <w:autoSpaceDE w:val="0"/>
        <w:autoSpaceDN w:val="0"/>
        <w:adjustRightInd w:val="0"/>
        <w:rPr>
          <w:rFonts w:cs="Arial"/>
          <w:szCs w:val="22"/>
        </w:rPr>
      </w:pPr>
      <w:r w:rsidRPr="00A0532A">
        <w:rPr>
          <w:rFonts w:cs="Arial"/>
          <w:szCs w:val="22"/>
        </w:rPr>
        <w:t>There are no details about the origins of the settlement other than it began in more 20 years and is adjacent to the larger and much denser Barcelona Informal Settlement but has its own identity and leadership. The settlement is very small and consisted of 99 people living in 37 units. Due to the twin issues of flooding and pollution of the nearby canal of the Lotus River along which the settlement is located, the City of Cape Town decided to relocate the residents and widen the canal. After negotiations between the residents, CORC, ISN and the City, a participatory plan was eventually developed and accepted by the City council.</w:t>
      </w:r>
    </w:p>
    <w:p w14:paraId="5C10A4F2" w14:textId="77777777" w:rsidR="00100CFD" w:rsidRPr="00A0532A" w:rsidRDefault="00100CFD" w:rsidP="00100CFD">
      <w:pPr>
        <w:autoSpaceDE w:val="0"/>
        <w:autoSpaceDN w:val="0"/>
        <w:adjustRightInd w:val="0"/>
        <w:rPr>
          <w:rFonts w:cs="Arial"/>
          <w:szCs w:val="22"/>
        </w:rPr>
      </w:pPr>
    </w:p>
    <w:p w14:paraId="0594C384" w14:textId="77777777" w:rsidR="00100CFD" w:rsidRPr="00A0532A" w:rsidRDefault="00100CFD" w:rsidP="00100CFD">
      <w:pPr>
        <w:autoSpaceDE w:val="0"/>
        <w:autoSpaceDN w:val="0"/>
        <w:adjustRightInd w:val="0"/>
        <w:rPr>
          <w:rFonts w:cs="Arial"/>
          <w:b/>
          <w:szCs w:val="22"/>
        </w:rPr>
      </w:pPr>
      <w:r w:rsidRPr="00A0532A">
        <w:rPr>
          <w:rFonts w:cs="Arial"/>
          <w:b/>
          <w:szCs w:val="22"/>
        </w:rPr>
        <w:t>c. Physical settlement characteristics</w:t>
      </w:r>
    </w:p>
    <w:p w14:paraId="79FEA27E" w14:textId="77777777" w:rsidR="00100CFD" w:rsidRPr="00A0532A" w:rsidRDefault="00100CFD" w:rsidP="00100CFD">
      <w:pPr>
        <w:keepNext/>
        <w:autoSpaceDE w:val="0"/>
        <w:autoSpaceDN w:val="0"/>
        <w:adjustRightInd w:val="0"/>
        <w:rPr>
          <w:szCs w:val="22"/>
        </w:rPr>
      </w:pPr>
      <w:r w:rsidRPr="00A0532A">
        <w:rPr>
          <w:rFonts w:cs="Arial"/>
          <w:b/>
          <w:noProof/>
          <w:szCs w:val="22"/>
          <w:lang w:val="en-US"/>
        </w:rPr>
        <w:drawing>
          <wp:inline distT="0" distB="0" distL="0" distR="0" wp14:anchorId="2730516C" wp14:editId="03B05BB4">
            <wp:extent cx="3876675" cy="2647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876675" cy="2647950"/>
                    </a:xfrm>
                    <a:prstGeom prst="rect">
                      <a:avLst/>
                    </a:prstGeom>
                    <a:noFill/>
                    <a:ln>
                      <a:noFill/>
                    </a:ln>
                  </pic:spPr>
                </pic:pic>
              </a:graphicData>
            </a:graphic>
          </wp:inline>
        </w:drawing>
      </w:r>
    </w:p>
    <w:p w14:paraId="38ACBC6D" w14:textId="49E5D7F0" w:rsidR="00100CFD" w:rsidRPr="00A0532A" w:rsidRDefault="004A5492" w:rsidP="00CF1919">
      <w:pPr>
        <w:pStyle w:val="Caption"/>
        <w:rPr>
          <w:rFonts w:cs="Arial"/>
        </w:rPr>
      </w:pPr>
      <w:bookmarkStart w:id="423" w:name="_Toc262046878"/>
      <w:bookmarkStart w:id="424" w:name="_Toc270945533"/>
      <w:r w:rsidRPr="00A0532A">
        <w:t xml:space="preserve">Figure </w:t>
      </w:r>
      <w:r w:rsidRPr="00A0532A">
        <w:fldChar w:fldCharType="begin"/>
      </w:r>
      <w:r w:rsidRPr="00A0532A">
        <w:instrText xml:space="preserve"> SEQ Figure \* ARABIC </w:instrText>
      </w:r>
      <w:r w:rsidRPr="00A0532A">
        <w:fldChar w:fldCharType="separate"/>
      </w:r>
      <w:r w:rsidR="00E9048A">
        <w:rPr>
          <w:noProof/>
        </w:rPr>
        <w:t>31</w:t>
      </w:r>
      <w:r w:rsidRPr="00A0532A">
        <w:rPr>
          <w:noProof/>
        </w:rPr>
        <w:fldChar w:fldCharType="end"/>
      </w:r>
      <w:r w:rsidRPr="00A0532A">
        <w:t>: Image</w:t>
      </w:r>
      <w:r w:rsidR="00100CFD" w:rsidRPr="00A0532A">
        <w:t>: Lwazi settlement (Source: SDI website, 2011)</w:t>
      </w:r>
      <w:bookmarkEnd w:id="423"/>
      <w:bookmarkEnd w:id="424"/>
    </w:p>
    <w:p w14:paraId="55C576CA" w14:textId="77777777" w:rsidR="00100CFD" w:rsidRPr="00A0532A" w:rsidRDefault="00100CFD" w:rsidP="00100CFD">
      <w:pPr>
        <w:autoSpaceDE w:val="0"/>
        <w:autoSpaceDN w:val="0"/>
        <w:adjustRightInd w:val="0"/>
        <w:rPr>
          <w:rFonts w:cs="Arial"/>
          <w:b/>
          <w:szCs w:val="22"/>
        </w:rPr>
      </w:pPr>
    </w:p>
    <w:p w14:paraId="136B1161" w14:textId="77777777" w:rsidR="00100CFD" w:rsidRPr="00A0532A" w:rsidRDefault="00100CFD" w:rsidP="00100CFD">
      <w:pPr>
        <w:autoSpaceDE w:val="0"/>
        <w:autoSpaceDN w:val="0"/>
        <w:adjustRightInd w:val="0"/>
        <w:rPr>
          <w:rFonts w:cs="Arial"/>
          <w:szCs w:val="22"/>
        </w:rPr>
      </w:pPr>
      <w:r w:rsidRPr="00A0532A">
        <w:rPr>
          <w:rFonts w:cs="Arial"/>
          <w:szCs w:val="22"/>
        </w:rPr>
        <w:t xml:space="preserve">The settlement is very small and is constructed only out of temporary materials, located next to a canal of the Lotus River close to the N2 Highway. The settlement has consistently </w:t>
      </w:r>
      <w:r w:rsidRPr="00A0532A">
        <w:rPr>
          <w:rFonts w:cs="Arial"/>
          <w:szCs w:val="22"/>
        </w:rPr>
        <w:lastRenderedPageBreak/>
        <w:t xml:space="preserve">experienced high rates of flooding due to its proximity to the canal and poor water drainage and runoff. Households reported that they experienced flooding during heavy rains from both the banks of the river over-flowing as well as the rise of ground water. The settlement has no services at all, and more than three-quarters use chamber pots that are emptied into the surrounding areas, whilst the rest of the residents use pit-latrines and the surrounding bush. There were no indications of how residents accessed water or electricity. </w:t>
      </w:r>
    </w:p>
    <w:p w14:paraId="0D868298" w14:textId="77777777" w:rsidR="00100CFD" w:rsidRPr="00A0532A" w:rsidRDefault="00100CFD" w:rsidP="00100CFD">
      <w:pPr>
        <w:autoSpaceDE w:val="0"/>
        <w:autoSpaceDN w:val="0"/>
        <w:adjustRightInd w:val="0"/>
        <w:rPr>
          <w:rFonts w:cs="Arial"/>
          <w:szCs w:val="22"/>
        </w:rPr>
      </w:pPr>
    </w:p>
    <w:p w14:paraId="7C4CB836" w14:textId="77777777" w:rsidR="00100CFD" w:rsidRPr="00A0532A" w:rsidRDefault="00100CFD" w:rsidP="00100CFD">
      <w:pPr>
        <w:autoSpaceDE w:val="0"/>
        <w:autoSpaceDN w:val="0"/>
        <w:adjustRightInd w:val="0"/>
        <w:rPr>
          <w:rFonts w:cs="Arial"/>
          <w:b/>
          <w:szCs w:val="22"/>
        </w:rPr>
      </w:pPr>
      <w:r w:rsidRPr="00A0532A">
        <w:rPr>
          <w:rFonts w:cs="Arial"/>
          <w:b/>
          <w:szCs w:val="22"/>
        </w:rPr>
        <w:t>d. Population dynamics and socio-economic conditions</w:t>
      </w:r>
    </w:p>
    <w:p w14:paraId="19314792" w14:textId="77777777" w:rsidR="00100CFD" w:rsidRPr="00A0532A" w:rsidRDefault="00100CFD" w:rsidP="00100CFD">
      <w:pPr>
        <w:autoSpaceDE w:val="0"/>
        <w:autoSpaceDN w:val="0"/>
        <w:adjustRightInd w:val="0"/>
        <w:rPr>
          <w:rFonts w:cs="Arial"/>
          <w:szCs w:val="22"/>
        </w:rPr>
      </w:pPr>
      <w:r w:rsidRPr="00A0532A">
        <w:rPr>
          <w:rFonts w:cs="Arial"/>
          <w:szCs w:val="22"/>
        </w:rPr>
        <w:t xml:space="preserve">The population of Lwazi is very poor with monthly household expenditure reported as just R1 135/household. Over a third of households receive some form of social grant, mostly in the form of Child Support Grants (see </w:t>
      </w:r>
      <w:r w:rsidRPr="00A0532A">
        <w:rPr>
          <w:rFonts w:cs="Arial"/>
          <w:szCs w:val="22"/>
        </w:rPr>
        <w:fldChar w:fldCharType="begin"/>
      </w:r>
      <w:r w:rsidRPr="00A0532A">
        <w:rPr>
          <w:rFonts w:cs="Arial"/>
          <w:szCs w:val="22"/>
        </w:rPr>
        <w:instrText xml:space="preserve"> REF _Ref386697150 \h </w:instrText>
      </w:r>
      <w:r w:rsidRPr="00A0532A">
        <w:rPr>
          <w:rFonts w:cs="Arial"/>
          <w:szCs w:val="22"/>
        </w:rPr>
      </w:r>
      <w:r w:rsidRPr="00A0532A">
        <w:rPr>
          <w:rFonts w:cs="Arial"/>
          <w:szCs w:val="22"/>
        </w:rPr>
        <w:fldChar w:fldCharType="separate"/>
      </w:r>
      <w:r w:rsidR="00E9048A" w:rsidRPr="00A0532A">
        <w:t xml:space="preserve">Table </w:t>
      </w:r>
      <w:r w:rsidR="00E9048A">
        <w:rPr>
          <w:noProof/>
        </w:rPr>
        <w:t>9</w:t>
      </w:r>
      <w:r w:rsidRPr="00A0532A">
        <w:rPr>
          <w:rFonts w:cs="Arial"/>
          <w:szCs w:val="22"/>
        </w:rPr>
        <w:fldChar w:fldCharType="end"/>
      </w:r>
      <w:r w:rsidRPr="00A0532A">
        <w:rPr>
          <w:rFonts w:cs="Arial"/>
          <w:szCs w:val="22"/>
        </w:rPr>
        <w:t xml:space="preserve">). Of the 55 potentially economically active adults (i.e. people between the ages of 18-64) 44 had some form of employment: self employed (2), employed full time (16) or employed part-time (26). </w:t>
      </w:r>
    </w:p>
    <w:p w14:paraId="12936C7B" w14:textId="77777777" w:rsidR="00100CFD" w:rsidRPr="00A0532A" w:rsidRDefault="00100CFD" w:rsidP="00100CFD">
      <w:pPr>
        <w:autoSpaceDE w:val="0"/>
        <w:autoSpaceDN w:val="0"/>
        <w:adjustRightInd w:val="0"/>
        <w:rPr>
          <w:rFonts w:cs="Arial"/>
          <w:szCs w:val="22"/>
        </w:rPr>
      </w:pPr>
    </w:p>
    <w:p w14:paraId="3CB56641" w14:textId="77777777" w:rsidR="00100CFD" w:rsidRPr="00A0532A" w:rsidRDefault="00100CFD" w:rsidP="00CF1919">
      <w:pPr>
        <w:pStyle w:val="Caption"/>
      </w:pPr>
      <w:bookmarkStart w:id="425" w:name="_Ref386697150"/>
      <w:bookmarkStart w:id="426" w:name="_Toc270945500"/>
      <w:r w:rsidRPr="00A0532A">
        <w:t xml:space="preserve">Table </w:t>
      </w:r>
      <w:r w:rsidRPr="00A0532A">
        <w:fldChar w:fldCharType="begin"/>
      </w:r>
      <w:r w:rsidRPr="00A0532A">
        <w:instrText xml:space="preserve"> SEQ Table \* ARABIC </w:instrText>
      </w:r>
      <w:r w:rsidRPr="00A0532A">
        <w:fldChar w:fldCharType="separate"/>
      </w:r>
      <w:r w:rsidR="00E9048A">
        <w:rPr>
          <w:noProof/>
        </w:rPr>
        <w:t>9</w:t>
      </w:r>
      <w:r w:rsidRPr="00A0532A">
        <w:rPr>
          <w:noProof/>
        </w:rPr>
        <w:fldChar w:fldCharType="end"/>
      </w:r>
      <w:bookmarkEnd w:id="425"/>
      <w:r w:rsidRPr="00A0532A">
        <w:t>: Percentages of residents receiving social grants (Source: SDI Report, 2011)</w:t>
      </w:r>
      <w:bookmarkEnd w:id="426"/>
    </w:p>
    <w:tbl>
      <w:tblPr>
        <w:tblW w:w="6178" w:type="dxa"/>
        <w:jc w:val="center"/>
        <w:tblLook w:val="04A0" w:firstRow="1" w:lastRow="0" w:firstColumn="1" w:lastColumn="0" w:noHBand="0" w:noVBand="1"/>
      </w:tblPr>
      <w:tblGrid>
        <w:gridCol w:w="3580"/>
        <w:gridCol w:w="1360"/>
        <w:gridCol w:w="1341"/>
      </w:tblGrid>
      <w:tr w:rsidR="00100CFD" w:rsidRPr="00A0532A" w14:paraId="26C38906" w14:textId="77777777" w:rsidTr="00100CFD">
        <w:trPr>
          <w:trHeight w:val="1056"/>
          <w:jc w:val="center"/>
        </w:trPr>
        <w:tc>
          <w:tcPr>
            <w:tcW w:w="3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208E9A" w14:textId="77777777" w:rsidR="00100CFD" w:rsidRPr="00A0532A" w:rsidRDefault="00100CFD" w:rsidP="00100CFD">
            <w:pPr>
              <w:rPr>
                <w:rFonts w:cs="Arial"/>
                <w:b/>
                <w:szCs w:val="22"/>
              </w:rPr>
            </w:pPr>
            <w:r w:rsidRPr="00A0532A">
              <w:rPr>
                <w:rFonts w:cs="Arial"/>
                <w:b/>
                <w:szCs w:val="22"/>
              </w:rPr>
              <w:t>Grant type</w:t>
            </w:r>
          </w:p>
        </w:tc>
        <w:tc>
          <w:tcPr>
            <w:tcW w:w="1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A0B6C41" w14:textId="77777777" w:rsidR="00100CFD" w:rsidRPr="00A0532A" w:rsidRDefault="00100CFD" w:rsidP="00100CFD">
            <w:pPr>
              <w:jc w:val="center"/>
              <w:rPr>
                <w:rFonts w:cs="Arial"/>
                <w:b/>
                <w:szCs w:val="22"/>
              </w:rPr>
            </w:pPr>
            <w:r w:rsidRPr="00A0532A">
              <w:rPr>
                <w:rFonts w:cs="Arial"/>
                <w:b/>
                <w:szCs w:val="22"/>
              </w:rPr>
              <w:t>Numbers of People Receiving</w:t>
            </w:r>
          </w:p>
        </w:tc>
        <w:tc>
          <w:tcPr>
            <w:tcW w:w="123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44F04D" w14:textId="77777777" w:rsidR="00100CFD" w:rsidRPr="00A0532A" w:rsidRDefault="00100CFD" w:rsidP="00100CFD">
            <w:pPr>
              <w:jc w:val="center"/>
              <w:rPr>
                <w:rFonts w:cs="Arial"/>
                <w:b/>
                <w:szCs w:val="22"/>
              </w:rPr>
            </w:pPr>
            <w:r w:rsidRPr="00A0532A">
              <w:rPr>
                <w:rFonts w:cs="Arial"/>
                <w:b/>
                <w:szCs w:val="22"/>
              </w:rPr>
              <w:t>% out of total population</w:t>
            </w:r>
          </w:p>
        </w:tc>
      </w:tr>
      <w:tr w:rsidR="00100CFD" w:rsidRPr="00A0532A" w14:paraId="1DFF8661" w14:textId="77777777" w:rsidTr="00100CFD">
        <w:trPr>
          <w:trHeight w:val="344"/>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366C76DC" w14:textId="77777777" w:rsidR="00100CFD" w:rsidRPr="00A0532A" w:rsidRDefault="00100CFD" w:rsidP="00100CFD">
            <w:pPr>
              <w:rPr>
                <w:rFonts w:cs="Arial"/>
                <w:szCs w:val="22"/>
              </w:rPr>
            </w:pPr>
            <w:r w:rsidRPr="00A0532A">
              <w:rPr>
                <w:rFonts w:cs="Arial"/>
                <w:szCs w:val="22"/>
              </w:rPr>
              <w:t>Disability</w:t>
            </w:r>
          </w:p>
        </w:tc>
        <w:tc>
          <w:tcPr>
            <w:tcW w:w="1360" w:type="dxa"/>
            <w:tcBorders>
              <w:top w:val="nil"/>
              <w:left w:val="nil"/>
              <w:bottom w:val="single" w:sz="4" w:space="0" w:color="auto"/>
              <w:right w:val="single" w:sz="4" w:space="0" w:color="auto"/>
            </w:tcBorders>
            <w:shd w:val="clear" w:color="auto" w:fill="auto"/>
            <w:noWrap/>
            <w:vAlign w:val="center"/>
            <w:hideMark/>
          </w:tcPr>
          <w:p w14:paraId="7A189AED" w14:textId="77777777" w:rsidR="00100CFD" w:rsidRPr="00A0532A" w:rsidRDefault="00100CFD" w:rsidP="00100CFD">
            <w:pPr>
              <w:jc w:val="right"/>
              <w:rPr>
                <w:rFonts w:cs="Arial"/>
                <w:szCs w:val="22"/>
              </w:rPr>
            </w:pPr>
            <w:r w:rsidRPr="00A0532A">
              <w:rPr>
                <w:rFonts w:cs="Arial"/>
                <w:szCs w:val="22"/>
              </w:rPr>
              <w:t>2</w:t>
            </w:r>
          </w:p>
        </w:tc>
        <w:tc>
          <w:tcPr>
            <w:tcW w:w="1238" w:type="dxa"/>
            <w:tcBorders>
              <w:top w:val="nil"/>
              <w:left w:val="nil"/>
              <w:bottom w:val="single" w:sz="4" w:space="0" w:color="auto"/>
              <w:right w:val="single" w:sz="4" w:space="0" w:color="auto"/>
            </w:tcBorders>
            <w:shd w:val="clear" w:color="auto" w:fill="auto"/>
            <w:noWrap/>
            <w:vAlign w:val="center"/>
            <w:hideMark/>
          </w:tcPr>
          <w:p w14:paraId="1CFC8177" w14:textId="77777777" w:rsidR="00100CFD" w:rsidRPr="00A0532A" w:rsidRDefault="00100CFD" w:rsidP="00100CFD">
            <w:pPr>
              <w:jc w:val="right"/>
              <w:rPr>
                <w:rFonts w:cs="Arial"/>
                <w:szCs w:val="22"/>
              </w:rPr>
            </w:pPr>
            <w:r w:rsidRPr="00A0532A">
              <w:rPr>
                <w:rFonts w:cs="Arial"/>
                <w:szCs w:val="22"/>
              </w:rPr>
              <w:t>2.02</w:t>
            </w:r>
          </w:p>
        </w:tc>
      </w:tr>
      <w:tr w:rsidR="00100CFD" w:rsidRPr="00A0532A" w14:paraId="32D3D739" w14:textId="77777777" w:rsidTr="00100CFD">
        <w:trPr>
          <w:trHeight w:val="344"/>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6ED2EA0A" w14:textId="77777777" w:rsidR="00100CFD" w:rsidRPr="00A0532A" w:rsidRDefault="00100CFD" w:rsidP="00100CFD">
            <w:pPr>
              <w:rPr>
                <w:rFonts w:cs="Arial"/>
                <w:szCs w:val="22"/>
              </w:rPr>
            </w:pPr>
            <w:r w:rsidRPr="00A0532A">
              <w:rPr>
                <w:rFonts w:cs="Arial"/>
                <w:szCs w:val="22"/>
              </w:rPr>
              <w:t>Child Support</w:t>
            </w:r>
          </w:p>
        </w:tc>
        <w:tc>
          <w:tcPr>
            <w:tcW w:w="1360" w:type="dxa"/>
            <w:tcBorders>
              <w:top w:val="nil"/>
              <w:left w:val="nil"/>
              <w:bottom w:val="single" w:sz="4" w:space="0" w:color="auto"/>
              <w:right w:val="single" w:sz="4" w:space="0" w:color="auto"/>
            </w:tcBorders>
            <w:shd w:val="clear" w:color="auto" w:fill="auto"/>
            <w:noWrap/>
            <w:vAlign w:val="center"/>
            <w:hideMark/>
          </w:tcPr>
          <w:p w14:paraId="2C696151" w14:textId="77777777" w:rsidR="00100CFD" w:rsidRPr="00A0532A" w:rsidRDefault="00100CFD" w:rsidP="00100CFD">
            <w:pPr>
              <w:jc w:val="right"/>
              <w:rPr>
                <w:rFonts w:cs="Arial"/>
                <w:szCs w:val="22"/>
              </w:rPr>
            </w:pPr>
            <w:r w:rsidRPr="00A0532A">
              <w:rPr>
                <w:rFonts w:cs="Arial"/>
                <w:szCs w:val="22"/>
              </w:rPr>
              <w:t>28</w:t>
            </w:r>
          </w:p>
        </w:tc>
        <w:tc>
          <w:tcPr>
            <w:tcW w:w="1238" w:type="dxa"/>
            <w:tcBorders>
              <w:top w:val="nil"/>
              <w:left w:val="nil"/>
              <w:bottom w:val="single" w:sz="4" w:space="0" w:color="auto"/>
              <w:right w:val="single" w:sz="4" w:space="0" w:color="auto"/>
            </w:tcBorders>
            <w:shd w:val="clear" w:color="auto" w:fill="auto"/>
            <w:noWrap/>
            <w:vAlign w:val="center"/>
            <w:hideMark/>
          </w:tcPr>
          <w:p w14:paraId="61C7389D" w14:textId="77777777" w:rsidR="00100CFD" w:rsidRPr="00A0532A" w:rsidRDefault="00100CFD" w:rsidP="00100CFD">
            <w:pPr>
              <w:jc w:val="right"/>
              <w:rPr>
                <w:rFonts w:cs="Arial"/>
                <w:szCs w:val="22"/>
              </w:rPr>
            </w:pPr>
            <w:r w:rsidRPr="00A0532A">
              <w:rPr>
                <w:rFonts w:cs="Arial"/>
                <w:szCs w:val="22"/>
              </w:rPr>
              <w:t>28.28</w:t>
            </w:r>
          </w:p>
        </w:tc>
      </w:tr>
      <w:tr w:rsidR="00100CFD" w:rsidRPr="00A0532A" w14:paraId="57051604" w14:textId="77777777" w:rsidTr="00100CFD">
        <w:trPr>
          <w:trHeight w:val="344"/>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03F466AD" w14:textId="77777777" w:rsidR="00100CFD" w:rsidRPr="00A0532A" w:rsidRDefault="00100CFD" w:rsidP="00100CFD">
            <w:pPr>
              <w:rPr>
                <w:rFonts w:cs="Arial"/>
                <w:szCs w:val="22"/>
              </w:rPr>
            </w:pPr>
            <w:r w:rsidRPr="00A0532A">
              <w:rPr>
                <w:rFonts w:cs="Arial"/>
                <w:szCs w:val="22"/>
              </w:rPr>
              <w:t>Pension</w:t>
            </w:r>
          </w:p>
        </w:tc>
        <w:tc>
          <w:tcPr>
            <w:tcW w:w="1360" w:type="dxa"/>
            <w:tcBorders>
              <w:top w:val="nil"/>
              <w:left w:val="nil"/>
              <w:bottom w:val="single" w:sz="4" w:space="0" w:color="auto"/>
              <w:right w:val="single" w:sz="4" w:space="0" w:color="auto"/>
            </w:tcBorders>
            <w:shd w:val="clear" w:color="auto" w:fill="auto"/>
            <w:noWrap/>
            <w:vAlign w:val="center"/>
            <w:hideMark/>
          </w:tcPr>
          <w:p w14:paraId="52139A77" w14:textId="77777777" w:rsidR="00100CFD" w:rsidRPr="00A0532A" w:rsidRDefault="00100CFD" w:rsidP="00100CFD">
            <w:pPr>
              <w:jc w:val="right"/>
              <w:rPr>
                <w:rFonts w:cs="Arial"/>
                <w:szCs w:val="22"/>
              </w:rPr>
            </w:pPr>
            <w:r w:rsidRPr="00A0532A">
              <w:rPr>
                <w:rFonts w:cs="Arial"/>
                <w:szCs w:val="22"/>
              </w:rPr>
              <w:t>5</w:t>
            </w:r>
          </w:p>
        </w:tc>
        <w:tc>
          <w:tcPr>
            <w:tcW w:w="1238" w:type="dxa"/>
            <w:tcBorders>
              <w:top w:val="nil"/>
              <w:left w:val="nil"/>
              <w:bottom w:val="single" w:sz="4" w:space="0" w:color="auto"/>
              <w:right w:val="single" w:sz="4" w:space="0" w:color="auto"/>
            </w:tcBorders>
            <w:shd w:val="clear" w:color="auto" w:fill="auto"/>
            <w:noWrap/>
            <w:vAlign w:val="center"/>
            <w:hideMark/>
          </w:tcPr>
          <w:p w14:paraId="5519BA18" w14:textId="77777777" w:rsidR="00100CFD" w:rsidRPr="00A0532A" w:rsidRDefault="00100CFD" w:rsidP="00100CFD">
            <w:pPr>
              <w:jc w:val="right"/>
              <w:rPr>
                <w:rFonts w:cs="Arial"/>
                <w:szCs w:val="22"/>
              </w:rPr>
            </w:pPr>
            <w:r w:rsidRPr="00A0532A">
              <w:rPr>
                <w:rFonts w:cs="Arial"/>
                <w:szCs w:val="22"/>
              </w:rPr>
              <w:t>5.05</w:t>
            </w:r>
          </w:p>
        </w:tc>
      </w:tr>
      <w:tr w:rsidR="00100CFD" w:rsidRPr="00A0532A" w14:paraId="7A0C553C" w14:textId="77777777" w:rsidTr="00100CFD">
        <w:trPr>
          <w:trHeight w:val="344"/>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792A757C" w14:textId="77777777" w:rsidR="00100CFD" w:rsidRPr="00A0532A" w:rsidRDefault="00100CFD" w:rsidP="00100CFD">
            <w:pPr>
              <w:rPr>
                <w:rFonts w:cs="Arial"/>
                <w:szCs w:val="22"/>
              </w:rPr>
            </w:pPr>
            <w:r w:rsidRPr="00A0532A">
              <w:rPr>
                <w:rFonts w:cs="Arial"/>
                <w:szCs w:val="22"/>
              </w:rPr>
              <w:t>Refugee</w:t>
            </w:r>
          </w:p>
        </w:tc>
        <w:tc>
          <w:tcPr>
            <w:tcW w:w="1360" w:type="dxa"/>
            <w:tcBorders>
              <w:top w:val="nil"/>
              <w:left w:val="nil"/>
              <w:bottom w:val="single" w:sz="4" w:space="0" w:color="auto"/>
              <w:right w:val="single" w:sz="4" w:space="0" w:color="auto"/>
            </w:tcBorders>
            <w:shd w:val="clear" w:color="auto" w:fill="auto"/>
            <w:noWrap/>
            <w:vAlign w:val="center"/>
            <w:hideMark/>
          </w:tcPr>
          <w:p w14:paraId="6CEA14AC" w14:textId="77777777" w:rsidR="00100CFD" w:rsidRPr="00A0532A" w:rsidRDefault="00100CFD" w:rsidP="00100CFD">
            <w:pPr>
              <w:jc w:val="right"/>
              <w:rPr>
                <w:rFonts w:cs="Arial"/>
                <w:szCs w:val="22"/>
              </w:rPr>
            </w:pPr>
            <w:r w:rsidRPr="00A0532A">
              <w:rPr>
                <w:rFonts w:cs="Arial"/>
                <w:szCs w:val="22"/>
              </w:rPr>
              <w:t>0</w:t>
            </w:r>
          </w:p>
        </w:tc>
        <w:tc>
          <w:tcPr>
            <w:tcW w:w="1238" w:type="dxa"/>
            <w:tcBorders>
              <w:top w:val="nil"/>
              <w:left w:val="nil"/>
              <w:bottom w:val="single" w:sz="4" w:space="0" w:color="auto"/>
              <w:right w:val="single" w:sz="4" w:space="0" w:color="auto"/>
            </w:tcBorders>
            <w:shd w:val="clear" w:color="auto" w:fill="auto"/>
            <w:noWrap/>
            <w:vAlign w:val="center"/>
            <w:hideMark/>
          </w:tcPr>
          <w:p w14:paraId="6B2809C9" w14:textId="77777777" w:rsidR="00100CFD" w:rsidRPr="00A0532A" w:rsidRDefault="00100CFD" w:rsidP="00100CFD">
            <w:pPr>
              <w:jc w:val="right"/>
              <w:rPr>
                <w:rFonts w:cs="Arial"/>
                <w:szCs w:val="22"/>
              </w:rPr>
            </w:pPr>
            <w:r w:rsidRPr="00A0532A">
              <w:rPr>
                <w:rFonts w:cs="Arial"/>
                <w:szCs w:val="22"/>
              </w:rPr>
              <w:t>0</w:t>
            </w:r>
          </w:p>
        </w:tc>
      </w:tr>
      <w:tr w:rsidR="00100CFD" w:rsidRPr="00A0532A" w14:paraId="004F8888" w14:textId="77777777" w:rsidTr="00100CFD">
        <w:trPr>
          <w:trHeight w:val="344"/>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462ECA52" w14:textId="77777777" w:rsidR="00100CFD" w:rsidRPr="00A0532A" w:rsidRDefault="00100CFD" w:rsidP="00100CFD">
            <w:pPr>
              <w:rPr>
                <w:rFonts w:cs="Arial"/>
                <w:szCs w:val="22"/>
              </w:rPr>
            </w:pPr>
            <w:r w:rsidRPr="00A0532A">
              <w:rPr>
                <w:rFonts w:cs="Arial"/>
                <w:szCs w:val="22"/>
              </w:rPr>
              <w:t>Other</w:t>
            </w:r>
          </w:p>
        </w:tc>
        <w:tc>
          <w:tcPr>
            <w:tcW w:w="1360" w:type="dxa"/>
            <w:tcBorders>
              <w:top w:val="nil"/>
              <w:left w:val="nil"/>
              <w:bottom w:val="single" w:sz="4" w:space="0" w:color="auto"/>
              <w:right w:val="single" w:sz="4" w:space="0" w:color="auto"/>
            </w:tcBorders>
            <w:shd w:val="clear" w:color="auto" w:fill="auto"/>
            <w:noWrap/>
            <w:vAlign w:val="center"/>
            <w:hideMark/>
          </w:tcPr>
          <w:p w14:paraId="0C147872" w14:textId="77777777" w:rsidR="00100CFD" w:rsidRPr="00A0532A" w:rsidRDefault="00100CFD" w:rsidP="00100CFD">
            <w:pPr>
              <w:jc w:val="right"/>
              <w:rPr>
                <w:rFonts w:cs="Arial"/>
                <w:szCs w:val="22"/>
              </w:rPr>
            </w:pPr>
            <w:r w:rsidRPr="00A0532A">
              <w:rPr>
                <w:rFonts w:cs="Arial"/>
                <w:szCs w:val="22"/>
              </w:rPr>
              <w:t>1</w:t>
            </w:r>
          </w:p>
        </w:tc>
        <w:tc>
          <w:tcPr>
            <w:tcW w:w="1238" w:type="dxa"/>
            <w:tcBorders>
              <w:top w:val="nil"/>
              <w:left w:val="nil"/>
              <w:bottom w:val="single" w:sz="4" w:space="0" w:color="auto"/>
              <w:right w:val="single" w:sz="4" w:space="0" w:color="auto"/>
            </w:tcBorders>
            <w:shd w:val="clear" w:color="auto" w:fill="auto"/>
            <w:noWrap/>
            <w:vAlign w:val="center"/>
            <w:hideMark/>
          </w:tcPr>
          <w:p w14:paraId="085D59ED" w14:textId="77777777" w:rsidR="00100CFD" w:rsidRPr="00A0532A" w:rsidRDefault="00100CFD" w:rsidP="00100CFD">
            <w:pPr>
              <w:jc w:val="right"/>
              <w:rPr>
                <w:rFonts w:cs="Arial"/>
                <w:szCs w:val="22"/>
              </w:rPr>
            </w:pPr>
            <w:r w:rsidRPr="00A0532A">
              <w:rPr>
                <w:rFonts w:cs="Arial"/>
                <w:szCs w:val="22"/>
              </w:rPr>
              <w:t>1.01</w:t>
            </w:r>
          </w:p>
        </w:tc>
      </w:tr>
      <w:tr w:rsidR="00100CFD" w:rsidRPr="00A0532A" w14:paraId="22EF2703" w14:textId="77777777" w:rsidTr="00100CFD">
        <w:trPr>
          <w:trHeight w:val="344"/>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06357C10" w14:textId="77777777" w:rsidR="00100CFD" w:rsidRPr="00A0532A" w:rsidRDefault="00100CFD" w:rsidP="00100CFD">
            <w:pPr>
              <w:rPr>
                <w:rFonts w:cs="Arial"/>
                <w:b/>
                <w:szCs w:val="22"/>
              </w:rPr>
            </w:pPr>
            <w:r w:rsidRPr="00A0532A">
              <w:rPr>
                <w:rFonts w:cs="Arial"/>
                <w:b/>
                <w:szCs w:val="22"/>
              </w:rPr>
              <w:t>Total</w:t>
            </w:r>
          </w:p>
        </w:tc>
        <w:tc>
          <w:tcPr>
            <w:tcW w:w="1360" w:type="dxa"/>
            <w:tcBorders>
              <w:top w:val="nil"/>
              <w:left w:val="nil"/>
              <w:bottom w:val="single" w:sz="4" w:space="0" w:color="auto"/>
              <w:right w:val="single" w:sz="4" w:space="0" w:color="auto"/>
            </w:tcBorders>
            <w:shd w:val="clear" w:color="auto" w:fill="auto"/>
            <w:noWrap/>
            <w:vAlign w:val="center"/>
            <w:hideMark/>
          </w:tcPr>
          <w:p w14:paraId="4CE51D32" w14:textId="77777777" w:rsidR="00100CFD" w:rsidRPr="00A0532A" w:rsidRDefault="00100CFD" w:rsidP="00100CFD">
            <w:pPr>
              <w:jc w:val="right"/>
              <w:rPr>
                <w:rFonts w:cs="Arial"/>
                <w:b/>
                <w:szCs w:val="22"/>
              </w:rPr>
            </w:pPr>
            <w:r w:rsidRPr="00A0532A">
              <w:rPr>
                <w:rFonts w:cs="Arial"/>
                <w:b/>
                <w:szCs w:val="22"/>
              </w:rPr>
              <w:t>36</w:t>
            </w:r>
          </w:p>
        </w:tc>
        <w:tc>
          <w:tcPr>
            <w:tcW w:w="1238" w:type="dxa"/>
            <w:tcBorders>
              <w:top w:val="nil"/>
              <w:left w:val="nil"/>
              <w:bottom w:val="single" w:sz="4" w:space="0" w:color="auto"/>
              <w:right w:val="single" w:sz="4" w:space="0" w:color="auto"/>
            </w:tcBorders>
            <w:shd w:val="clear" w:color="auto" w:fill="auto"/>
            <w:noWrap/>
            <w:vAlign w:val="center"/>
            <w:hideMark/>
          </w:tcPr>
          <w:p w14:paraId="0C9DF5E6" w14:textId="77777777" w:rsidR="00100CFD" w:rsidRPr="00A0532A" w:rsidRDefault="00100CFD" w:rsidP="00100CFD">
            <w:pPr>
              <w:jc w:val="right"/>
              <w:rPr>
                <w:rFonts w:cs="Arial"/>
                <w:b/>
                <w:szCs w:val="22"/>
              </w:rPr>
            </w:pPr>
            <w:r w:rsidRPr="00A0532A">
              <w:rPr>
                <w:rFonts w:cs="Arial"/>
                <w:b/>
                <w:szCs w:val="22"/>
              </w:rPr>
              <w:t>36.36</w:t>
            </w:r>
          </w:p>
        </w:tc>
      </w:tr>
      <w:tr w:rsidR="00100CFD" w:rsidRPr="00A0532A" w14:paraId="69361B94" w14:textId="77777777" w:rsidTr="00100CF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4BB8693E" w14:textId="77777777" w:rsidR="00100CFD" w:rsidRPr="00A0532A" w:rsidRDefault="00100CFD" w:rsidP="00100CFD">
            <w:pPr>
              <w:rPr>
                <w:rFonts w:cs="Arial"/>
                <w:szCs w:val="22"/>
              </w:rPr>
            </w:pPr>
            <w:r w:rsidRPr="00A0532A">
              <w:rPr>
                <w:rFonts w:cs="Arial"/>
                <w:szCs w:val="22"/>
              </w:rPr>
              <w:t>Total population</w:t>
            </w:r>
          </w:p>
        </w:tc>
        <w:tc>
          <w:tcPr>
            <w:tcW w:w="1360" w:type="dxa"/>
            <w:tcBorders>
              <w:top w:val="nil"/>
              <w:left w:val="nil"/>
              <w:bottom w:val="single" w:sz="4" w:space="0" w:color="auto"/>
              <w:right w:val="single" w:sz="4" w:space="0" w:color="auto"/>
            </w:tcBorders>
            <w:shd w:val="clear" w:color="auto" w:fill="auto"/>
            <w:noWrap/>
            <w:vAlign w:val="center"/>
            <w:hideMark/>
          </w:tcPr>
          <w:p w14:paraId="7CAA507A" w14:textId="77777777" w:rsidR="00100CFD" w:rsidRPr="00A0532A" w:rsidRDefault="00100CFD" w:rsidP="00100CFD">
            <w:pPr>
              <w:jc w:val="right"/>
              <w:rPr>
                <w:rFonts w:cs="Arial"/>
                <w:szCs w:val="22"/>
              </w:rPr>
            </w:pPr>
            <w:r w:rsidRPr="00A0532A">
              <w:rPr>
                <w:rFonts w:cs="Arial"/>
                <w:szCs w:val="22"/>
              </w:rPr>
              <w:t>99</w:t>
            </w:r>
          </w:p>
        </w:tc>
        <w:tc>
          <w:tcPr>
            <w:tcW w:w="1238" w:type="dxa"/>
            <w:tcBorders>
              <w:top w:val="nil"/>
              <w:left w:val="nil"/>
              <w:bottom w:val="single" w:sz="4" w:space="0" w:color="auto"/>
              <w:right w:val="single" w:sz="4" w:space="0" w:color="auto"/>
            </w:tcBorders>
            <w:shd w:val="clear" w:color="auto" w:fill="auto"/>
            <w:noWrap/>
            <w:vAlign w:val="center"/>
            <w:hideMark/>
          </w:tcPr>
          <w:p w14:paraId="2CDE5A2C" w14:textId="77777777" w:rsidR="00100CFD" w:rsidRPr="00A0532A" w:rsidRDefault="00100CFD" w:rsidP="00100CFD">
            <w:pPr>
              <w:jc w:val="right"/>
              <w:rPr>
                <w:rFonts w:cs="Arial"/>
                <w:szCs w:val="22"/>
              </w:rPr>
            </w:pPr>
            <w:r w:rsidRPr="00A0532A">
              <w:rPr>
                <w:rFonts w:cs="Arial"/>
                <w:szCs w:val="22"/>
              </w:rPr>
              <w:t> </w:t>
            </w:r>
          </w:p>
        </w:tc>
      </w:tr>
    </w:tbl>
    <w:p w14:paraId="5BCCF58C" w14:textId="77777777" w:rsidR="00100CFD" w:rsidRPr="00A0532A" w:rsidRDefault="00100CFD" w:rsidP="00100CFD">
      <w:pPr>
        <w:autoSpaceDE w:val="0"/>
        <w:autoSpaceDN w:val="0"/>
        <w:adjustRightInd w:val="0"/>
        <w:rPr>
          <w:rFonts w:cs="Arial"/>
          <w:szCs w:val="22"/>
        </w:rPr>
      </w:pPr>
    </w:p>
    <w:p w14:paraId="60F4F491" w14:textId="77777777" w:rsidR="00100CFD" w:rsidRPr="00A0532A" w:rsidRDefault="00100CFD" w:rsidP="00100CFD">
      <w:pPr>
        <w:rPr>
          <w:rFonts w:cs="Arial"/>
          <w:b/>
          <w:szCs w:val="22"/>
        </w:rPr>
      </w:pPr>
      <w:r w:rsidRPr="00A0532A">
        <w:rPr>
          <w:rFonts w:cs="Arial"/>
          <w:szCs w:val="22"/>
        </w:rPr>
        <w:t xml:space="preserve">e. </w:t>
      </w:r>
      <w:r w:rsidRPr="00A0532A">
        <w:rPr>
          <w:rFonts w:cs="Arial"/>
          <w:b/>
          <w:szCs w:val="22"/>
        </w:rPr>
        <w:t>Leadership structures and governance context</w:t>
      </w:r>
    </w:p>
    <w:p w14:paraId="3057506B" w14:textId="77777777" w:rsidR="00100CFD" w:rsidRPr="00A0532A" w:rsidRDefault="00100CFD" w:rsidP="00100CFD">
      <w:pPr>
        <w:autoSpaceDE w:val="0"/>
        <w:autoSpaceDN w:val="0"/>
        <w:adjustRightInd w:val="0"/>
        <w:rPr>
          <w:rFonts w:cs="Arial"/>
          <w:szCs w:val="22"/>
        </w:rPr>
      </w:pPr>
      <w:r w:rsidRPr="00A0532A">
        <w:rPr>
          <w:rFonts w:cs="Arial"/>
          <w:szCs w:val="22"/>
        </w:rPr>
        <w:t>There are no details about the leadership structures within the informal settlement.</w:t>
      </w:r>
    </w:p>
    <w:p w14:paraId="20B4E85F" w14:textId="77777777" w:rsidR="00100CFD" w:rsidRPr="00A0532A" w:rsidRDefault="00100CFD" w:rsidP="00100CFD">
      <w:pPr>
        <w:autoSpaceDE w:val="0"/>
        <w:autoSpaceDN w:val="0"/>
        <w:adjustRightInd w:val="0"/>
        <w:rPr>
          <w:rFonts w:cs="Calibri"/>
          <w:szCs w:val="22"/>
        </w:rPr>
      </w:pPr>
    </w:p>
    <w:p w14:paraId="574353A3" w14:textId="77777777" w:rsidR="00100CFD" w:rsidRPr="00A0532A" w:rsidRDefault="00100CFD" w:rsidP="00100CFD">
      <w:pPr>
        <w:autoSpaceDE w:val="0"/>
        <w:autoSpaceDN w:val="0"/>
        <w:adjustRightInd w:val="0"/>
        <w:rPr>
          <w:rFonts w:cs="Arial"/>
          <w:b/>
          <w:szCs w:val="22"/>
        </w:rPr>
      </w:pPr>
      <w:r w:rsidRPr="00A0532A">
        <w:rPr>
          <w:rFonts w:cs="Arial"/>
          <w:b/>
          <w:szCs w:val="22"/>
        </w:rPr>
        <w:t>f. In situ upgrading potential</w:t>
      </w:r>
    </w:p>
    <w:p w14:paraId="2432ED2D" w14:textId="77777777" w:rsidR="00100CFD" w:rsidRPr="00A0532A" w:rsidRDefault="00100CFD" w:rsidP="00100CFD">
      <w:pPr>
        <w:autoSpaceDE w:val="0"/>
        <w:autoSpaceDN w:val="0"/>
        <w:adjustRightInd w:val="0"/>
        <w:rPr>
          <w:rFonts w:cs="Arial"/>
          <w:szCs w:val="22"/>
        </w:rPr>
      </w:pPr>
      <w:r w:rsidRPr="00A0532A">
        <w:rPr>
          <w:rFonts w:cs="Arial"/>
          <w:szCs w:val="22"/>
        </w:rPr>
        <w:t xml:space="preserve">Given the location of the settlement on the banks of the Lotus River Canal, below the flood line and on land with a high water table, in situ upgrading was not a possibility. The City of Cape Town in partnership with a team of private sector consultants initially identified an alternative site for relocation and redevelopment for Lwazi’s residents. However the initial layout plan used conventional layouts and would only have accommodated 26 households leaving 11 with nowhere to go. The community objected to the plan but was originally unable to get any leverage with the City council, which is often the case with very small communities without strong political links. As a consequences they requested the support of the ISN/CORC with whom a participatory planning and layout exercise was undertaken. The end result </w:t>
      </w:r>
      <w:r w:rsidRPr="00A0532A">
        <w:rPr>
          <w:rFonts w:cs="Arial"/>
          <w:szCs w:val="22"/>
        </w:rPr>
        <w:lastRenderedPageBreak/>
        <w:t xml:space="preserve">accommodated all of the residents, offered different sized plots, and used a non-grid layout that was far more organic and responded to residents’ daily needs. Open spaces were planned and community facilities were situated in a central area to protect both the facilities and the residents from vandalism and assault. The plan seems to have been accepted by the City and there was some commitment to build on these lines. </w:t>
      </w:r>
    </w:p>
    <w:p w14:paraId="50C1965D" w14:textId="77777777" w:rsidR="00100CFD" w:rsidRPr="00A0532A" w:rsidRDefault="00100CFD" w:rsidP="00100CFD">
      <w:pPr>
        <w:autoSpaceDE w:val="0"/>
        <w:autoSpaceDN w:val="0"/>
        <w:adjustRightInd w:val="0"/>
        <w:rPr>
          <w:rFonts w:cs="Arial"/>
          <w:szCs w:val="22"/>
        </w:rPr>
      </w:pPr>
    </w:p>
    <w:p w14:paraId="2DB23E69" w14:textId="77777777" w:rsidR="00100CFD" w:rsidRPr="00A0532A" w:rsidRDefault="00100CFD" w:rsidP="00100CFD">
      <w:pPr>
        <w:autoSpaceDE w:val="0"/>
        <w:autoSpaceDN w:val="0"/>
        <w:adjustRightInd w:val="0"/>
        <w:rPr>
          <w:rFonts w:cs="Arial"/>
          <w:szCs w:val="22"/>
        </w:rPr>
      </w:pPr>
      <w:r w:rsidRPr="00A0532A">
        <w:rPr>
          <w:rFonts w:cs="Arial"/>
          <w:szCs w:val="22"/>
        </w:rPr>
        <w:t xml:space="preserve">The case offers three useful insights on the issue of informal settlement upgrading: the first is that it is more difficult for smaller informal settlements to negotiate than larger ones; these issues can be mitigated with the assistance of NGOs and support networks and that there is a stronger likelihood of investment into the newly relocated area given the fact that it responds to residents needs and they had a hand in designing and developing the site. </w:t>
      </w:r>
    </w:p>
    <w:p w14:paraId="15BF2DE8" w14:textId="146CB6F3" w:rsidR="00CC2D09" w:rsidRPr="00CC2D09" w:rsidRDefault="00CC2D09" w:rsidP="002A05AF">
      <w:pPr>
        <w:pStyle w:val="Heading3"/>
        <w:numPr>
          <w:ilvl w:val="0"/>
          <w:numId w:val="0"/>
        </w:numPr>
        <w:ind w:left="624" w:hanging="624"/>
      </w:pPr>
      <w:bookmarkStart w:id="427" w:name="_Toc262067933"/>
      <w:bookmarkStart w:id="428" w:name="_Toc262068259"/>
      <w:r>
        <w:t>G</w:t>
      </w:r>
      <w:r w:rsidRPr="00CC2D09">
        <w:t xml:space="preserve">: </w:t>
      </w:r>
      <w:r>
        <w:t>Access to Services: No Access to Any Formal Services, Use of Illgal Connections</w:t>
      </w:r>
      <w:bookmarkEnd w:id="427"/>
      <w:bookmarkEnd w:id="428"/>
      <w:r>
        <w:t xml:space="preserve"> </w:t>
      </w:r>
    </w:p>
    <w:p w14:paraId="0D0BB8DA" w14:textId="77777777" w:rsidR="00CC2D09" w:rsidRPr="00A0532A" w:rsidRDefault="00CC2D09" w:rsidP="00100CFD">
      <w:pPr>
        <w:autoSpaceDE w:val="0"/>
        <w:autoSpaceDN w:val="0"/>
        <w:adjustRightInd w:val="0"/>
        <w:rPr>
          <w:rFonts w:cs="Calibri"/>
          <w:szCs w:val="22"/>
        </w:rPr>
      </w:pPr>
    </w:p>
    <w:p w14:paraId="75D318C8" w14:textId="77777777" w:rsidR="00100CFD" w:rsidRPr="00A0532A" w:rsidRDefault="00100CFD" w:rsidP="00100CFD">
      <w:pPr>
        <w:rPr>
          <w:rFonts w:cs="Arial"/>
          <w:b/>
          <w:szCs w:val="22"/>
        </w:rPr>
      </w:pPr>
      <w:r w:rsidRPr="00A0532A">
        <w:rPr>
          <w:rFonts w:cs="Arial"/>
          <w:szCs w:val="22"/>
        </w:rPr>
        <w:t xml:space="preserve">a. </w:t>
      </w:r>
      <w:r w:rsidRPr="00A0532A">
        <w:rPr>
          <w:rFonts w:cs="Arial"/>
          <w:b/>
          <w:szCs w:val="22"/>
        </w:rPr>
        <w:t>Settlement Location &amp; Identification</w:t>
      </w:r>
      <w:r w:rsidRPr="00A0532A">
        <w:rPr>
          <w:rFonts w:cs="Arial"/>
          <w:b/>
          <w:szCs w:val="22"/>
        </w:rPr>
        <w:tab/>
      </w:r>
    </w:p>
    <w:p w14:paraId="1D9F9EA4" w14:textId="77777777" w:rsidR="00100CFD" w:rsidRPr="00A0532A" w:rsidRDefault="00100CFD" w:rsidP="00100CFD">
      <w:pPr>
        <w:tabs>
          <w:tab w:val="left" w:pos="724"/>
          <w:tab w:val="left" w:pos="3128"/>
          <w:tab w:val="left" w:pos="6009"/>
          <w:tab w:val="left" w:pos="7345"/>
        </w:tabs>
        <w:ind w:left="118"/>
        <w:rPr>
          <w:rFonts w:cs="Arial"/>
          <w:szCs w:val="22"/>
        </w:rPr>
      </w:pPr>
      <w:r w:rsidRPr="00A0532A">
        <w:rPr>
          <w:rFonts w:cs="Arial"/>
          <w:szCs w:val="22"/>
        </w:rPr>
        <w:tab/>
        <w:t>Settlement Name</w:t>
      </w:r>
      <w:r w:rsidRPr="00A0532A">
        <w:rPr>
          <w:rFonts w:cs="Arial"/>
          <w:szCs w:val="22"/>
        </w:rPr>
        <w:tab/>
        <w:t xml:space="preserve">Los Angeles </w:t>
      </w:r>
    </w:p>
    <w:p w14:paraId="0F95B3E0" w14:textId="77777777" w:rsidR="00100CFD" w:rsidRPr="00A0532A" w:rsidRDefault="00100CFD" w:rsidP="00100CFD">
      <w:pPr>
        <w:tabs>
          <w:tab w:val="left" w:pos="724"/>
          <w:tab w:val="left" w:pos="3128"/>
          <w:tab w:val="left" w:pos="6009"/>
          <w:tab w:val="left" w:pos="7345"/>
        </w:tabs>
        <w:ind w:left="118"/>
        <w:rPr>
          <w:rFonts w:cs="Arial"/>
          <w:szCs w:val="22"/>
        </w:rPr>
      </w:pPr>
      <w:r w:rsidRPr="00A0532A">
        <w:rPr>
          <w:rFonts w:cs="Arial"/>
          <w:szCs w:val="22"/>
        </w:rPr>
        <w:tab/>
        <w:t>Municipality Name</w:t>
      </w:r>
      <w:r w:rsidRPr="00A0532A">
        <w:rPr>
          <w:rFonts w:cs="Arial"/>
          <w:szCs w:val="22"/>
        </w:rPr>
        <w:tab/>
        <w:t>Cape Town</w:t>
      </w:r>
    </w:p>
    <w:p w14:paraId="7D2257FC" w14:textId="77777777" w:rsidR="00100CFD" w:rsidRPr="00A0532A" w:rsidRDefault="00100CFD" w:rsidP="00100CFD">
      <w:pPr>
        <w:tabs>
          <w:tab w:val="left" w:pos="724"/>
          <w:tab w:val="left" w:pos="3128"/>
          <w:tab w:val="left" w:pos="6009"/>
          <w:tab w:val="left" w:pos="7345"/>
        </w:tabs>
        <w:ind w:left="118"/>
        <w:rPr>
          <w:rFonts w:cs="Arial"/>
          <w:szCs w:val="22"/>
        </w:rPr>
      </w:pPr>
      <w:r w:rsidRPr="00A0532A">
        <w:rPr>
          <w:rFonts w:cs="Arial"/>
          <w:szCs w:val="22"/>
        </w:rPr>
        <w:tab/>
        <w:t>Province</w:t>
      </w:r>
      <w:r w:rsidRPr="00A0532A">
        <w:rPr>
          <w:rFonts w:cs="Arial"/>
          <w:szCs w:val="22"/>
        </w:rPr>
        <w:tab/>
        <w:t>Western Cape</w:t>
      </w:r>
      <w:r w:rsidRPr="00A0532A">
        <w:rPr>
          <w:rFonts w:cs="Arial"/>
          <w:szCs w:val="22"/>
        </w:rPr>
        <w:tab/>
      </w:r>
    </w:p>
    <w:p w14:paraId="299666EB" w14:textId="77777777" w:rsidR="00100CFD" w:rsidRPr="00A0532A" w:rsidRDefault="00100CFD" w:rsidP="00100CFD">
      <w:pPr>
        <w:rPr>
          <w:rFonts w:cs="Arial"/>
          <w:szCs w:val="22"/>
        </w:rPr>
      </w:pPr>
      <w:r w:rsidRPr="00A0532A">
        <w:rPr>
          <w:rFonts w:cs="Arial"/>
          <w:szCs w:val="22"/>
        </w:rPr>
        <w:tab/>
      </w:r>
    </w:p>
    <w:p w14:paraId="09F70F54" w14:textId="77777777" w:rsidR="00100CFD" w:rsidRPr="00A0532A" w:rsidRDefault="00100CFD" w:rsidP="00100CFD">
      <w:pPr>
        <w:tabs>
          <w:tab w:val="left" w:pos="724"/>
          <w:tab w:val="left" w:pos="3128"/>
        </w:tabs>
        <w:rPr>
          <w:rFonts w:cs="Arial"/>
          <w:b/>
          <w:szCs w:val="22"/>
        </w:rPr>
      </w:pPr>
      <w:r w:rsidRPr="00A0532A">
        <w:rPr>
          <w:rFonts w:cs="Arial"/>
          <w:szCs w:val="22"/>
        </w:rPr>
        <w:t xml:space="preserve">b. </w:t>
      </w:r>
      <w:r w:rsidRPr="00A0532A">
        <w:rPr>
          <w:rFonts w:cs="Arial"/>
          <w:b/>
          <w:szCs w:val="22"/>
        </w:rPr>
        <w:t>Settlement Overview</w:t>
      </w:r>
      <w:r w:rsidRPr="00A0532A">
        <w:rPr>
          <w:rFonts w:cs="Arial"/>
          <w:b/>
          <w:szCs w:val="22"/>
        </w:rPr>
        <w:tab/>
      </w:r>
    </w:p>
    <w:p w14:paraId="6613C7B4" w14:textId="77777777" w:rsidR="00100CFD" w:rsidRPr="00A0532A" w:rsidRDefault="00100CFD" w:rsidP="00100CFD">
      <w:pPr>
        <w:rPr>
          <w:rFonts w:cs="Arial"/>
          <w:szCs w:val="22"/>
        </w:rPr>
      </w:pPr>
      <w:r w:rsidRPr="00A0532A">
        <w:rPr>
          <w:rFonts w:cs="Arial"/>
          <w:szCs w:val="22"/>
        </w:rPr>
        <w:t>The site is located adjacent to the N2 highway between Cape Town and Somerset West and is approximately 12 hectares in size. The settlement has 375 households of about 930 residents. The area is well-served by taxis and the majority of residents use taxis to access work, social and other amenities. The settlement is considered attractive for a number of reasons and the table below demonstrates the range of reasons for people settling into Los Angeles:</w:t>
      </w:r>
    </w:p>
    <w:p w14:paraId="1FE13B74" w14:textId="77777777" w:rsidR="00100CFD" w:rsidRPr="00A0532A" w:rsidRDefault="00100CFD" w:rsidP="00CF1919">
      <w:pPr>
        <w:pStyle w:val="Caption"/>
      </w:pPr>
      <w:bookmarkStart w:id="429" w:name="_Toc270945501"/>
      <w:r w:rsidRPr="00A0532A">
        <w:t xml:space="preserve">Table </w:t>
      </w:r>
      <w:r w:rsidRPr="00A0532A">
        <w:fldChar w:fldCharType="begin"/>
      </w:r>
      <w:r w:rsidRPr="00A0532A">
        <w:instrText xml:space="preserve"> SEQ Table \* ARABIC </w:instrText>
      </w:r>
      <w:r w:rsidRPr="00A0532A">
        <w:fldChar w:fldCharType="separate"/>
      </w:r>
      <w:r w:rsidR="00E9048A">
        <w:rPr>
          <w:noProof/>
        </w:rPr>
        <w:t>10</w:t>
      </w:r>
      <w:r w:rsidRPr="00A0532A">
        <w:rPr>
          <w:noProof/>
        </w:rPr>
        <w:fldChar w:fldCharType="end"/>
      </w:r>
      <w:r w:rsidRPr="00A0532A">
        <w:t>: Reasons for living in Los Angeles (Source: SDI Report, 2010)</w:t>
      </w:r>
      <w:bookmarkEnd w:id="429"/>
    </w:p>
    <w:tbl>
      <w:tblPr>
        <w:tblW w:w="6120" w:type="dxa"/>
        <w:tblInd w:w="745" w:type="dxa"/>
        <w:tblLook w:val="04A0" w:firstRow="1" w:lastRow="0" w:firstColumn="1" w:lastColumn="0" w:noHBand="0" w:noVBand="1"/>
      </w:tblPr>
      <w:tblGrid>
        <w:gridCol w:w="3580"/>
        <w:gridCol w:w="1540"/>
        <w:gridCol w:w="1024"/>
      </w:tblGrid>
      <w:tr w:rsidR="00100CFD" w:rsidRPr="00A0532A" w14:paraId="402FD3C6" w14:textId="77777777" w:rsidTr="00100CFD">
        <w:trPr>
          <w:trHeight w:val="495"/>
        </w:trPr>
        <w:tc>
          <w:tcPr>
            <w:tcW w:w="3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B29CAC" w14:textId="77777777" w:rsidR="00100CFD" w:rsidRPr="00A0532A" w:rsidRDefault="00100CFD" w:rsidP="00100CFD">
            <w:pPr>
              <w:rPr>
                <w:b/>
                <w:color w:val="000000"/>
                <w:szCs w:val="22"/>
              </w:rPr>
            </w:pPr>
            <w:r w:rsidRPr="00A0532A">
              <w:rPr>
                <w:b/>
                <w:color w:val="000000"/>
                <w:szCs w:val="22"/>
              </w:rPr>
              <w:t>Reason for living in this area</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531298F" w14:textId="77777777" w:rsidR="00100CFD" w:rsidRPr="00A0532A" w:rsidRDefault="00100CFD" w:rsidP="00100CFD">
            <w:pPr>
              <w:jc w:val="center"/>
              <w:rPr>
                <w:b/>
                <w:color w:val="000000"/>
                <w:szCs w:val="22"/>
              </w:rPr>
            </w:pPr>
            <w:r w:rsidRPr="00A0532A">
              <w:rPr>
                <w:b/>
                <w:color w:val="000000"/>
                <w:szCs w:val="22"/>
              </w:rPr>
              <w:t>Freq.</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1419D6" w14:textId="77777777" w:rsidR="00100CFD" w:rsidRPr="00A0532A" w:rsidRDefault="00100CFD" w:rsidP="00100CFD">
            <w:pPr>
              <w:jc w:val="center"/>
              <w:rPr>
                <w:b/>
                <w:color w:val="000000"/>
                <w:szCs w:val="22"/>
              </w:rPr>
            </w:pPr>
            <w:r w:rsidRPr="00A0532A">
              <w:rPr>
                <w:b/>
                <w:color w:val="000000"/>
                <w:szCs w:val="22"/>
              </w:rPr>
              <w:t>Percent</w:t>
            </w:r>
          </w:p>
        </w:tc>
      </w:tr>
      <w:tr w:rsidR="00100CFD" w:rsidRPr="00A0532A" w14:paraId="3129A4D6" w14:textId="77777777" w:rsidTr="00100CFD">
        <w:trPr>
          <w:trHeight w:val="300"/>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05DC3324" w14:textId="77777777" w:rsidR="00100CFD" w:rsidRPr="00A0532A" w:rsidRDefault="00100CFD" w:rsidP="00100CFD">
            <w:pPr>
              <w:rPr>
                <w:color w:val="000000"/>
                <w:szCs w:val="22"/>
              </w:rPr>
            </w:pPr>
            <w:r w:rsidRPr="00A0532A">
              <w:rPr>
                <w:color w:val="000000"/>
                <w:szCs w:val="22"/>
              </w:rPr>
              <w:t>Close to family</w:t>
            </w:r>
          </w:p>
        </w:tc>
        <w:tc>
          <w:tcPr>
            <w:tcW w:w="1540" w:type="dxa"/>
            <w:tcBorders>
              <w:top w:val="nil"/>
              <w:left w:val="nil"/>
              <w:bottom w:val="single" w:sz="4" w:space="0" w:color="auto"/>
              <w:right w:val="single" w:sz="4" w:space="0" w:color="auto"/>
            </w:tcBorders>
            <w:shd w:val="clear" w:color="auto" w:fill="auto"/>
            <w:noWrap/>
            <w:vAlign w:val="center"/>
          </w:tcPr>
          <w:p w14:paraId="6BA2A83E" w14:textId="77777777" w:rsidR="00100CFD" w:rsidRPr="00A0532A" w:rsidRDefault="00100CFD" w:rsidP="00100CFD">
            <w:pPr>
              <w:jc w:val="right"/>
              <w:rPr>
                <w:color w:val="000000"/>
                <w:szCs w:val="22"/>
              </w:rPr>
            </w:pPr>
            <w:r w:rsidRPr="00A0532A">
              <w:rPr>
                <w:color w:val="000000"/>
                <w:szCs w:val="22"/>
              </w:rPr>
              <w:t>156</w:t>
            </w:r>
          </w:p>
        </w:tc>
        <w:tc>
          <w:tcPr>
            <w:tcW w:w="1000" w:type="dxa"/>
            <w:tcBorders>
              <w:top w:val="nil"/>
              <w:left w:val="nil"/>
              <w:bottom w:val="single" w:sz="4" w:space="0" w:color="auto"/>
              <w:right w:val="single" w:sz="4" w:space="0" w:color="auto"/>
            </w:tcBorders>
            <w:shd w:val="clear" w:color="auto" w:fill="auto"/>
            <w:noWrap/>
            <w:vAlign w:val="center"/>
          </w:tcPr>
          <w:p w14:paraId="5A1D4D41" w14:textId="77777777" w:rsidR="00100CFD" w:rsidRPr="00A0532A" w:rsidRDefault="00100CFD" w:rsidP="00100CFD">
            <w:pPr>
              <w:jc w:val="right"/>
              <w:rPr>
                <w:color w:val="000000"/>
                <w:szCs w:val="22"/>
              </w:rPr>
            </w:pPr>
            <w:r w:rsidRPr="00A0532A">
              <w:rPr>
                <w:color w:val="000000"/>
                <w:szCs w:val="22"/>
              </w:rPr>
              <w:t>49.21</w:t>
            </w:r>
          </w:p>
        </w:tc>
      </w:tr>
      <w:tr w:rsidR="00100CFD" w:rsidRPr="00A0532A" w14:paraId="2FC6BDC5" w14:textId="77777777" w:rsidTr="00100CFD">
        <w:trPr>
          <w:trHeight w:val="300"/>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25A560A3" w14:textId="77777777" w:rsidR="00100CFD" w:rsidRPr="00A0532A" w:rsidRDefault="00100CFD" w:rsidP="00100CFD">
            <w:pPr>
              <w:rPr>
                <w:color w:val="000000"/>
                <w:szCs w:val="22"/>
              </w:rPr>
            </w:pPr>
            <w:r w:rsidRPr="00A0532A">
              <w:rPr>
                <w:color w:val="000000"/>
                <w:szCs w:val="22"/>
              </w:rPr>
              <w:t>Close to friends</w:t>
            </w:r>
          </w:p>
        </w:tc>
        <w:tc>
          <w:tcPr>
            <w:tcW w:w="1540" w:type="dxa"/>
            <w:tcBorders>
              <w:top w:val="nil"/>
              <w:left w:val="nil"/>
              <w:bottom w:val="single" w:sz="4" w:space="0" w:color="auto"/>
              <w:right w:val="single" w:sz="4" w:space="0" w:color="auto"/>
            </w:tcBorders>
            <w:shd w:val="clear" w:color="auto" w:fill="auto"/>
            <w:noWrap/>
            <w:vAlign w:val="center"/>
          </w:tcPr>
          <w:p w14:paraId="54791E36" w14:textId="77777777" w:rsidR="00100CFD" w:rsidRPr="00A0532A" w:rsidRDefault="00100CFD" w:rsidP="00100CFD">
            <w:pPr>
              <w:jc w:val="right"/>
              <w:rPr>
                <w:color w:val="000000"/>
                <w:szCs w:val="22"/>
              </w:rPr>
            </w:pPr>
            <w:r w:rsidRPr="00A0532A">
              <w:rPr>
                <w:color w:val="000000"/>
                <w:szCs w:val="22"/>
              </w:rPr>
              <w:t>9</w:t>
            </w:r>
          </w:p>
        </w:tc>
        <w:tc>
          <w:tcPr>
            <w:tcW w:w="1000" w:type="dxa"/>
            <w:tcBorders>
              <w:top w:val="nil"/>
              <w:left w:val="nil"/>
              <w:bottom w:val="single" w:sz="4" w:space="0" w:color="auto"/>
              <w:right w:val="single" w:sz="4" w:space="0" w:color="auto"/>
            </w:tcBorders>
            <w:shd w:val="clear" w:color="auto" w:fill="auto"/>
            <w:noWrap/>
            <w:vAlign w:val="center"/>
          </w:tcPr>
          <w:p w14:paraId="4588E505" w14:textId="77777777" w:rsidR="00100CFD" w:rsidRPr="00A0532A" w:rsidRDefault="00100CFD" w:rsidP="00100CFD">
            <w:pPr>
              <w:jc w:val="right"/>
              <w:rPr>
                <w:color w:val="000000"/>
                <w:szCs w:val="22"/>
              </w:rPr>
            </w:pPr>
            <w:r w:rsidRPr="00A0532A">
              <w:rPr>
                <w:color w:val="000000"/>
                <w:szCs w:val="22"/>
              </w:rPr>
              <w:t>2.84</w:t>
            </w:r>
          </w:p>
        </w:tc>
      </w:tr>
      <w:tr w:rsidR="00100CFD" w:rsidRPr="00A0532A" w14:paraId="121B8643" w14:textId="77777777" w:rsidTr="00100CFD">
        <w:trPr>
          <w:trHeight w:val="300"/>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766AF6F2" w14:textId="77777777" w:rsidR="00100CFD" w:rsidRPr="00A0532A" w:rsidRDefault="00100CFD" w:rsidP="00100CFD">
            <w:pPr>
              <w:rPr>
                <w:color w:val="000000"/>
                <w:szCs w:val="22"/>
              </w:rPr>
            </w:pPr>
            <w:r w:rsidRPr="00A0532A">
              <w:rPr>
                <w:color w:val="000000"/>
                <w:szCs w:val="22"/>
              </w:rPr>
              <w:t>Close to work</w:t>
            </w:r>
          </w:p>
        </w:tc>
        <w:tc>
          <w:tcPr>
            <w:tcW w:w="1540" w:type="dxa"/>
            <w:tcBorders>
              <w:top w:val="nil"/>
              <w:left w:val="nil"/>
              <w:bottom w:val="single" w:sz="4" w:space="0" w:color="auto"/>
              <w:right w:val="single" w:sz="4" w:space="0" w:color="auto"/>
            </w:tcBorders>
            <w:shd w:val="clear" w:color="auto" w:fill="auto"/>
            <w:noWrap/>
            <w:vAlign w:val="center"/>
          </w:tcPr>
          <w:p w14:paraId="00908D97" w14:textId="77777777" w:rsidR="00100CFD" w:rsidRPr="00A0532A" w:rsidRDefault="00100CFD" w:rsidP="00100CFD">
            <w:pPr>
              <w:jc w:val="right"/>
              <w:rPr>
                <w:color w:val="000000"/>
                <w:szCs w:val="22"/>
              </w:rPr>
            </w:pPr>
            <w:r w:rsidRPr="00A0532A">
              <w:rPr>
                <w:color w:val="000000"/>
                <w:szCs w:val="22"/>
              </w:rPr>
              <w:t>75</w:t>
            </w:r>
          </w:p>
        </w:tc>
        <w:tc>
          <w:tcPr>
            <w:tcW w:w="1000" w:type="dxa"/>
            <w:tcBorders>
              <w:top w:val="nil"/>
              <w:left w:val="nil"/>
              <w:bottom w:val="single" w:sz="4" w:space="0" w:color="auto"/>
              <w:right w:val="single" w:sz="4" w:space="0" w:color="auto"/>
            </w:tcBorders>
            <w:shd w:val="clear" w:color="auto" w:fill="auto"/>
            <w:noWrap/>
            <w:vAlign w:val="center"/>
          </w:tcPr>
          <w:p w14:paraId="44948E15" w14:textId="77777777" w:rsidR="00100CFD" w:rsidRPr="00A0532A" w:rsidRDefault="00100CFD" w:rsidP="00100CFD">
            <w:pPr>
              <w:jc w:val="right"/>
              <w:rPr>
                <w:color w:val="000000"/>
                <w:szCs w:val="22"/>
              </w:rPr>
            </w:pPr>
            <w:r w:rsidRPr="00A0532A">
              <w:rPr>
                <w:color w:val="000000"/>
                <w:szCs w:val="22"/>
              </w:rPr>
              <w:t>23.66</w:t>
            </w:r>
          </w:p>
        </w:tc>
      </w:tr>
      <w:tr w:rsidR="00100CFD" w:rsidRPr="00A0532A" w14:paraId="640DC4C8" w14:textId="77777777" w:rsidTr="00100CFD">
        <w:trPr>
          <w:trHeight w:val="300"/>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44FA73FC" w14:textId="77777777" w:rsidR="00100CFD" w:rsidRPr="00A0532A" w:rsidRDefault="00100CFD" w:rsidP="00100CFD">
            <w:pPr>
              <w:rPr>
                <w:color w:val="000000"/>
                <w:szCs w:val="22"/>
              </w:rPr>
            </w:pPr>
            <w:r w:rsidRPr="00A0532A">
              <w:rPr>
                <w:color w:val="000000"/>
                <w:szCs w:val="22"/>
              </w:rPr>
              <w:t>Close to family &amp; friends</w:t>
            </w:r>
          </w:p>
        </w:tc>
        <w:tc>
          <w:tcPr>
            <w:tcW w:w="1540" w:type="dxa"/>
            <w:tcBorders>
              <w:top w:val="nil"/>
              <w:left w:val="nil"/>
              <w:bottom w:val="single" w:sz="4" w:space="0" w:color="auto"/>
              <w:right w:val="single" w:sz="4" w:space="0" w:color="auto"/>
            </w:tcBorders>
            <w:shd w:val="clear" w:color="auto" w:fill="auto"/>
            <w:noWrap/>
            <w:vAlign w:val="center"/>
          </w:tcPr>
          <w:p w14:paraId="57405480" w14:textId="77777777" w:rsidR="00100CFD" w:rsidRPr="00A0532A" w:rsidRDefault="00100CFD" w:rsidP="00100CFD">
            <w:pPr>
              <w:jc w:val="right"/>
              <w:rPr>
                <w:color w:val="000000"/>
                <w:szCs w:val="22"/>
              </w:rPr>
            </w:pPr>
            <w:r w:rsidRPr="00A0532A">
              <w:rPr>
                <w:color w:val="000000"/>
                <w:szCs w:val="22"/>
              </w:rPr>
              <w:t>3</w:t>
            </w:r>
          </w:p>
        </w:tc>
        <w:tc>
          <w:tcPr>
            <w:tcW w:w="1000" w:type="dxa"/>
            <w:tcBorders>
              <w:top w:val="nil"/>
              <w:left w:val="nil"/>
              <w:bottom w:val="single" w:sz="4" w:space="0" w:color="auto"/>
              <w:right w:val="single" w:sz="4" w:space="0" w:color="auto"/>
            </w:tcBorders>
            <w:shd w:val="clear" w:color="auto" w:fill="auto"/>
            <w:noWrap/>
            <w:vAlign w:val="center"/>
          </w:tcPr>
          <w:p w14:paraId="59F6970D" w14:textId="77777777" w:rsidR="00100CFD" w:rsidRPr="00A0532A" w:rsidRDefault="00100CFD" w:rsidP="00100CFD">
            <w:pPr>
              <w:jc w:val="right"/>
              <w:rPr>
                <w:color w:val="000000"/>
                <w:szCs w:val="22"/>
              </w:rPr>
            </w:pPr>
            <w:r w:rsidRPr="00A0532A">
              <w:rPr>
                <w:color w:val="000000"/>
                <w:szCs w:val="22"/>
              </w:rPr>
              <w:t>0.95</w:t>
            </w:r>
          </w:p>
        </w:tc>
      </w:tr>
      <w:tr w:rsidR="00100CFD" w:rsidRPr="00A0532A" w14:paraId="20F0050B" w14:textId="77777777" w:rsidTr="00100CFD">
        <w:trPr>
          <w:trHeight w:val="300"/>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7F431E8B" w14:textId="77777777" w:rsidR="00100CFD" w:rsidRPr="00A0532A" w:rsidRDefault="00100CFD" w:rsidP="00100CFD">
            <w:pPr>
              <w:rPr>
                <w:color w:val="000000"/>
                <w:szCs w:val="22"/>
              </w:rPr>
            </w:pPr>
            <w:r w:rsidRPr="00A0532A">
              <w:rPr>
                <w:color w:val="000000"/>
                <w:szCs w:val="22"/>
              </w:rPr>
              <w:t>Close to family &amp; work</w:t>
            </w:r>
          </w:p>
        </w:tc>
        <w:tc>
          <w:tcPr>
            <w:tcW w:w="1540" w:type="dxa"/>
            <w:tcBorders>
              <w:top w:val="nil"/>
              <w:left w:val="nil"/>
              <w:bottom w:val="single" w:sz="4" w:space="0" w:color="auto"/>
              <w:right w:val="single" w:sz="4" w:space="0" w:color="auto"/>
            </w:tcBorders>
            <w:shd w:val="clear" w:color="auto" w:fill="auto"/>
            <w:noWrap/>
            <w:vAlign w:val="center"/>
          </w:tcPr>
          <w:p w14:paraId="4CF7BE4B" w14:textId="77777777" w:rsidR="00100CFD" w:rsidRPr="00A0532A" w:rsidRDefault="00100CFD" w:rsidP="00100CFD">
            <w:pPr>
              <w:jc w:val="right"/>
              <w:rPr>
                <w:color w:val="000000"/>
                <w:szCs w:val="22"/>
              </w:rPr>
            </w:pPr>
            <w:r w:rsidRPr="00A0532A">
              <w:rPr>
                <w:color w:val="000000"/>
                <w:szCs w:val="22"/>
              </w:rPr>
              <w:t>3</w:t>
            </w:r>
          </w:p>
        </w:tc>
        <w:tc>
          <w:tcPr>
            <w:tcW w:w="1000" w:type="dxa"/>
            <w:tcBorders>
              <w:top w:val="nil"/>
              <w:left w:val="nil"/>
              <w:bottom w:val="single" w:sz="4" w:space="0" w:color="auto"/>
              <w:right w:val="single" w:sz="4" w:space="0" w:color="auto"/>
            </w:tcBorders>
            <w:shd w:val="clear" w:color="auto" w:fill="auto"/>
            <w:noWrap/>
            <w:vAlign w:val="center"/>
          </w:tcPr>
          <w:p w14:paraId="574C3091" w14:textId="77777777" w:rsidR="00100CFD" w:rsidRPr="00A0532A" w:rsidRDefault="00100CFD" w:rsidP="00100CFD">
            <w:pPr>
              <w:jc w:val="right"/>
              <w:rPr>
                <w:color w:val="000000"/>
                <w:szCs w:val="22"/>
              </w:rPr>
            </w:pPr>
            <w:r w:rsidRPr="00A0532A">
              <w:rPr>
                <w:color w:val="000000"/>
                <w:szCs w:val="22"/>
              </w:rPr>
              <w:t>0.95</w:t>
            </w:r>
          </w:p>
        </w:tc>
      </w:tr>
      <w:tr w:rsidR="00100CFD" w:rsidRPr="00A0532A" w14:paraId="76FEFE0B" w14:textId="77777777" w:rsidTr="00100CFD">
        <w:trPr>
          <w:trHeight w:val="300"/>
        </w:trPr>
        <w:tc>
          <w:tcPr>
            <w:tcW w:w="3580" w:type="dxa"/>
            <w:tcBorders>
              <w:top w:val="nil"/>
              <w:left w:val="single" w:sz="4" w:space="0" w:color="auto"/>
              <w:bottom w:val="single" w:sz="4" w:space="0" w:color="auto"/>
              <w:right w:val="single" w:sz="4" w:space="0" w:color="auto"/>
            </w:tcBorders>
            <w:shd w:val="clear" w:color="auto" w:fill="auto"/>
            <w:noWrap/>
            <w:vAlign w:val="center"/>
          </w:tcPr>
          <w:p w14:paraId="32FE2CB9" w14:textId="77777777" w:rsidR="00100CFD" w:rsidRPr="00A0532A" w:rsidRDefault="00100CFD" w:rsidP="00100CFD">
            <w:pPr>
              <w:rPr>
                <w:color w:val="000000"/>
                <w:szCs w:val="22"/>
              </w:rPr>
            </w:pPr>
            <w:r w:rsidRPr="00A0532A">
              <w:rPr>
                <w:color w:val="000000"/>
                <w:szCs w:val="22"/>
              </w:rPr>
              <w:t>Close to family, friends &amp; work</w:t>
            </w:r>
          </w:p>
        </w:tc>
        <w:tc>
          <w:tcPr>
            <w:tcW w:w="1540" w:type="dxa"/>
            <w:tcBorders>
              <w:top w:val="nil"/>
              <w:left w:val="nil"/>
              <w:bottom w:val="single" w:sz="4" w:space="0" w:color="auto"/>
              <w:right w:val="single" w:sz="4" w:space="0" w:color="auto"/>
            </w:tcBorders>
            <w:shd w:val="clear" w:color="auto" w:fill="auto"/>
            <w:noWrap/>
            <w:vAlign w:val="center"/>
          </w:tcPr>
          <w:p w14:paraId="5C0671BF" w14:textId="77777777" w:rsidR="00100CFD" w:rsidRPr="00A0532A" w:rsidRDefault="00100CFD" w:rsidP="00100CFD">
            <w:pPr>
              <w:jc w:val="right"/>
              <w:rPr>
                <w:color w:val="000000"/>
                <w:szCs w:val="22"/>
              </w:rPr>
            </w:pPr>
            <w:r w:rsidRPr="00A0532A">
              <w:rPr>
                <w:color w:val="000000"/>
                <w:szCs w:val="22"/>
              </w:rPr>
              <w:t>2</w:t>
            </w:r>
          </w:p>
        </w:tc>
        <w:tc>
          <w:tcPr>
            <w:tcW w:w="1000" w:type="dxa"/>
            <w:tcBorders>
              <w:top w:val="nil"/>
              <w:left w:val="nil"/>
              <w:bottom w:val="single" w:sz="4" w:space="0" w:color="auto"/>
              <w:right w:val="single" w:sz="4" w:space="0" w:color="auto"/>
            </w:tcBorders>
            <w:shd w:val="clear" w:color="auto" w:fill="auto"/>
            <w:noWrap/>
            <w:vAlign w:val="center"/>
          </w:tcPr>
          <w:p w14:paraId="7E46A398" w14:textId="77777777" w:rsidR="00100CFD" w:rsidRPr="00A0532A" w:rsidRDefault="00100CFD" w:rsidP="00100CFD">
            <w:pPr>
              <w:jc w:val="right"/>
              <w:rPr>
                <w:color w:val="000000"/>
                <w:szCs w:val="22"/>
              </w:rPr>
            </w:pPr>
            <w:r w:rsidRPr="00A0532A">
              <w:rPr>
                <w:color w:val="000000"/>
                <w:szCs w:val="22"/>
              </w:rPr>
              <w:t>0.63</w:t>
            </w:r>
          </w:p>
        </w:tc>
      </w:tr>
      <w:tr w:rsidR="00100CFD" w:rsidRPr="00A0532A" w14:paraId="561A4E52" w14:textId="77777777" w:rsidTr="00100CFD">
        <w:trPr>
          <w:trHeight w:val="300"/>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2F64E7B4" w14:textId="77777777" w:rsidR="00100CFD" w:rsidRPr="00A0532A" w:rsidRDefault="00100CFD" w:rsidP="00100CFD">
            <w:pPr>
              <w:rPr>
                <w:color w:val="000000"/>
                <w:szCs w:val="22"/>
              </w:rPr>
            </w:pPr>
            <w:r w:rsidRPr="00A0532A">
              <w:rPr>
                <w:color w:val="000000"/>
                <w:szCs w:val="22"/>
              </w:rPr>
              <w:t>Other reason</w:t>
            </w:r>
          </w:p>
        </w:tc>
        <w:tc>
          <w:tcPr>
            <w:tcW w:w="1540" w:type="dxa"/>
            <w:tcBorders>
              <w:top w:val="nil"/>
              <w:left w:val="nil"/>
              <w:bottom w:val="single" w:sz="4" w:space="0" w:color="auto"/>
              <w:right w:val="single" w:sz="4" w:space="0" w:color="auto"/>
            </w:tcBorders>
            <w:shd w:val="clear" w:color="auto" w:fill="auto"/>
            <w:noWrap/>
            <w:vAlign w:val="center"/>
          </w:tcPr>
          <w:p w14:paraId="4D19BA08" w14:textId="77777777" w:rsidR="00100CFD" w:rsidRPr="00A0532A" w:rsidRDefault="00100CFD" w:rsidP="00100CFD">
            <w:pPr>
              <w:jc w:val="right"/>
              <w:rPr>
                <w:color w:val="000000"/>
                <w:szCs w:val="22"/>
              </w:rPr>
            </w:pPr>
            <w:r w:rsidRPr="00A0532A">
              <w:rPr>
                <w:color w:val="000000"/>
                <w:szCs w:val="22"/>
              </w:rPr>
              <w:t>69</w:t>
            </w:r>
          </w:p>
        </w:tc>
        <w:tc>
          <w:tcPr>
            <w:tcW w:w="1000" w:type="dxa"/>
            <w:tcBorders>
              <w:top w:val="nil"/>
              <w:left w:val="nil"/>
              <w:bottom w:val="single" w:sz="4" w:space="0" w:color="auto"/>
              <w:right w:val="single" w:sz="4" w:space="0" w:color="auto"/>
            </w:tcBorders>
            <w:shd w:val="clear" w:color="auto" w:fill="auto"/>
            <w:noWrap/>
            <w:vAlign w:val="center"/>
          </w:tcPr>
          <w:p w14:paraId="6F02B658" w14:textId="77777777" w:rsidR="00100CFD" w:rsidRPr="00A0532A" w:rsidRDefault="00100CFD" w:rsidP="00100CFD">
            <w:pPr>
              <w:jc w:val="right"/>
              <w:rPr>
                <w:color w:val="000000"/>
                <w:szCs w:val="22"/>
              </w:rPr>
            </w:pPr>
            <w:r w:rsidRPr="00A0532A">
              <w:rPr>
                <w:color w:val="000000"/>
                <w:szCs w:val="22"/>
              </w:rPr>
              <w:t>21.77</w:t>
            </w:r>
          </w:p>
        </w:tc>
      </w:tr>
      <w:tr w:rsidR="00100CFD" w:rsidRPr="00A0532A" w14:paraId="0D4FD390" w14:textId="77777777" w:rsidTr="00100CFD">
        <w:trPr>
          <w:trHeight w:val="401"/>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4A3B7F79" w14:textId="77777777" w:rsidR="00100CFD" w:rsidRPr="00A0532A" w:rsidRDefault="00100CFD" w:rsidP="00100CFD">
            <w:pPr>
              <w:rPr>
                <w:b/>
                <w:color w:val="000000"/>
                <w:szCs w:val="22"/>
              </w:rPr>
            </w:pPr>
            <w:r w:rsidRPr="00A0532A">
              <w:rPr>
                <w:b/>
                <w:color w:val="000000"/>
                <w:szCs w:val="22"/>
              </w:rPr>
              <w:t>Total</w:t>
            </w:r>
          </w:p>
        </w:tc>
        <w:tc>
          <w:tcPr>
            <w:tcW w:w="1540" w:type="dxa"/>
            <w:tcBorders>
              <w:top w:val="nil"/>
              <w:left w:val="nil"/>
              <w:bottom w:val="single" w:sz="4" w:space="0" w:color="auto"/>
              <w:right w:val="single" w:sz="4" w:space="0" w:color="auto"/>
            </w:tcBorders>
            <w:shd w:val="clear" w:color="auto" w:fill="auto"/>
            <w:noWrap/>
            <w:vAlign w:val="center"/>
          </w:tcPr>
          <w:p w14:paraId="67961D12" w14:textId="77777777" w:rsidR="00100CFD" w:rsidRPr="00A0532A" w:rsidRDefault="00100CFD" w:rsidP="00100CFD">
            <w:pPr>
              <w:jc w:val="right"/>
              <w:rPr>
                <w:b/>
                <w:color w:val="000000"/>
                <w:szCs w:val="22"/>
              </w:rPr>
            </w:pPr>
            <w:r w:rsidRPr="00A0532A">
              <w:rPr>
                <w:b/>
                <w:color w:val="000000"/>
                <w:szCs w:val="22"/>
              </w:rPr>
              <w:t>317</w:t>
            </w:r>
          </w:p>
        </w:tc>
        <w:tc>
          <w:tcPr>
            <w:tcW w:w="1000" w:type="dxa"/>
            <w:tcBorders>
              <w:top w:val="nil"/>
              <w:left w:val="nil"/>
              <w:bottom w:val="single" w:sz="4" w:space="0" w:color="auto"/>
              <w:right w:val="single" w:sz="4" w:space="0" w:color="auto"/>
            </w:tcBorders>
            <w:shd w:val="clear" w:color="auto" w:fill="auto"/>
            <w:noWrap/>
            <w:vAlign w:val="center"/>
          </w:tcPr>
          <w:p w14:paraId="04E62CC2" w14:textId="77777777" w:rsidR="00100CFD" w:rsidRPr="00A0532A" w:rsidRDefault="00100CFD" w:rsidP="00100CFD">
            <w:pPr>
              <w:jc w:val="right"/>
              <w:rPr>
                <w:b/>
                <w:color w:val="000000"/>
                <w:szCs w:val="22"/>
              </w:rPr>
            </w:pPr>
            <w:r w:rsidRPr="00A0532A">
              <w:rPr>
                <w:b/>
                <w:color w:val="000000"/>
                <w:szCs w:val="22"/>
              </w:rPr>
              <w:t>100</w:t>
            </w:r>
          </w:p>
        </w:tc>
      </w:tr>
      <w:tr w:rsidR="00100CFD" w:rsidRPr="00A0532A" w14:paraId="43A0869D" w14:textId="77777777" w:rsidTr="00100CFD">
        <w:trPr>
          <w:trHeight w:val="300"/>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4A7400EC" w14:textId="77777777" w:rsidR="00100CFD" w:rsidRPr="00A0532A" w:rsidRDefault="00100CFD" w:rsidP="00100CFD">
            <w:pPr>
              <w:rPr>
                <w:color w:val="000000"/>
                <w:szCs w:val="22"/>
              </w:rPr>
            </w:pPr>
            <w:r w:rsidRPr="00A0532A">
              <w:rPr>
                <w:color w:val="000000"/>
                <w:szCs w:val="22"/>
              </w:rPr>
              <w:t>Missing data: 1 household</w:t>
            </w:r>
          </w:p>
        </w:tc>
        <w:tc>
          <w:tcPr>
            <w:tcW w:w="1540" w:type="dxa"/>
            <w:tcBorders>
              <w:top w:val="nil"/>
              <w:left w:val="nil"/>
              <w:bottom w:val="single" w:sz="4" w:space="0" w:color="auto"/>
              <w:right w:val="single" w:sz="4" w:space="0" w:color="auto"/>
            </w:tcBorders>
            <w:shd w:val="clear" w:color="auto" w:fill="auto"/>
            <w:noWrap/>
            <w:vAlign w:val="center"/>
            <w:hideMark/>
          </w:tcPr>
          <w:p w14:paraId="5F542DC2" w14:textId="77777777" w:rsidR="00100CFD" w:rsidRPr="00A0532A" w:rsidRDefault="00100CFD" w:rsidP="00100CFD">
            <w:pPr>
              <w:jc w:val="right"/>
              <w:rPr>
                <w:color w:val="000000"/>
                <w:szCs w:val="22"/>
              </w:rPr>
            </w:pPr>
            <w:r w:rsidRPr="00A0532A">
              <w:rPr>
                <w:color w:val="000000"/>
                <w:szCs w:val="22"/>
              </w:rPr>
              <w:t> </w:t>
            </w:r>
          </w:p>
        </w:tc>
        <w:tc>
          <w:tcPr>
            <w:tcW w:w="1000" w:type="dxa"/>
            <w:tcBorders>
              <w:top w:val="nil"/>
              <w:left w:val="nil"/>
              <w:bottom w:val="single" w:sz="4" w:space="0" w:color="auto"/>
              <w:right w:val="single" w:sz="4" w:space="0" w:color="auto"/>
            </w:tcBorders>
            <w:shd w:val="clear" w:color="auto" w:fill="auto"/>
            <w:noWrap/>
            <w:vAlign w:val="center"/>
            <w:hideMark/>
          </w:tcPr>
          <w:p w14:paraId="3B6C4504" w14:textId="77777777" w:rsidR="00100CFD" w:rsidRPr="00A0532A" w:rsidRDefault="00100CFD" w:rsidP="00100CFD">
            <w:pPr>
              <w:jc w:val="right"/>
              <w:rPr>
                <w:color w:val="000000"/>
                <w:szCs w:val="22"/>
              </w:rPr>
            </w:pPr>
            <w:r w:rsidRPr="00A0532A">
              <w:rPr>
                <w:color w:val="000000"/>
                <w:szCs w:val="22"/>
              </w:rPr>
              <w:t> </w:t>
            </w:r>
          </w:p>
        </w:tc>
      </w:tr>
    </w:tbl>
    <w:p w14:paraId="00591EEA" w14:textId="77777777" w:rsidR="00100CFD" w:rsidRPr="00A0532A" w:rsidRDefault="00100CFD" w:rsidP="00100CFD">
      <w:pPr>
        <w:tabs>
          <w:tab w:val="left" w:pos="724"/>
          <w:tab w:val="left" w:pos="3128"/>
          <w:tab w:val="left" w:pos="6009"/>
          <w:tab w:val="left" w:pos="7345"/>
        </w:tabs>
        <w:rPr>
          <w:rFonts w:cs="Arial"/>
          <w:szCs w:val="22"/>
        </w:rPr>
      </w:pPr>
    </w:p>
    <w:p w14:paraId="76039D5E" w14:textId="77777777" w:rsidR="00100CFD" w:rsidRPr="00A0532A" w:rsidRDefault="00100CFD" w:rsidP="0055634E">
      <w:pPr>
        <w:pStyle w:val="ListParagraph"/>
        <w:numPr>
          <w:ilvl w:val="0"/>
          <w:numId w:val="25"/>
        </w:numPr>
        <w:tabs>
          <w:tab w:val="left" w:pos="724"/>
          <w:tab w:val="left" w:pos="3128"/>
        </w:tabs>
        <w:spacing w:after="160" w:line="259" w:lineRule="auto"/>
        <w:rPr>
          <w:rFonts w:cs="Arial"/>
          <w:b/>
        </w:rPr>
      </w:pPr>
      <w:r w:rsidRPr="00A0532A">
        <w:rPr>
          <w:rFonts w:cs="Arial"/>
          <w:b/>
        </w:rPr>
        <w:t>Physical Settlement Characteristics</w:t>
      </w:r>
      <w:r w:rsidRPr="00A0532A">
        <w:rPr>
          <w:rFonts w:cs="Arial"/>
          <w:b/>
        </w:rPr>
        <w:tab/>
      </w:r>
    </w:p>
    <w:p w14:paraId="6FF49FD3" w14:textId="77777777" w:rsidR="00100CFD" w:rsidRPr="00A0532A" w:rsidRDefault="00100CFD" w:rsidP="00100CFD">
      <w:pPr>
        <w:pStyle w:val="ListParagraph"/>
        <w:keepNext/>
        <w:tabs>
          <w:tab w:val="left" w:pos="724"/>
          <w:tab w:val="left" w:pos="3128"/>
        </w:tabs>
      </w:pPr>
      <w:r w:rsidRPr="00A0532A">
        <w:rPr>
          <w:b/>
          <w:noProof/>
          <w:bdr w:val="single" w:sz="12" w:space="0" w:color="auto"/>
        </w:rPr>
        <w:drawing>
          <wp:inline distT="0" distB="0" distL="0" distR="0" wp14:anchorId="1FBAB619" wp14:editId="58E8AF47">
            <wp:extent cx="3135325" cy="2425252"/>
            <wp:effectExtent l="0" t="0" r="825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137753" cy="2427130"/>
                    </a:xfrm>
                    <a:prstGeom prst="rect">
                      <a:avLst/>
                    </a:prstGeom>
                    <a:noFill/>
                    <a:ln w="9525">
                      <a:noFill/>
                      <a:miter lim="800000"/>
                      <a:headEnd/>
                      <a:tailEnd/>
                    </a:ln>
                  </pic:spPr>
                </pic:pic>
              </a:graphicData>
            </a:graphic>
          </wp:inline>
        </w:drawing>
      </w:r>
    </w:p>
    <w:p w14:paraId="16A46395" w14:textId="5B1FE1C5" w:rsidR="00100CFD" w:rsidRPr="00A0532A" w:rsidRDefault="004A5492" w:rsidP="00CF1919">
      <w:pPr>
        <w:pStyle w:val="Caption"/>
        <w:rPr>
          <w:rFonts w:cs="Arial"/>
        </w:rPr>
      </w:pPr>
      <w:bookmarkStart w:id="430" w:name="_Toc262046879"/>
      <w:bookmarkStart w:id="431" w:name="_Toc270945534"/>
      <w:r w:rsidRPr="00A0532A">
        <w:t xml:space="preserve">Figure </w:t>
      </w:r>
      <w:r w:rsidRPr="00A0532A">
        <w:fldChar w:fldCharType="begin"/>
      </w:r>
      <w:r w:rsidRPr="00A0532A">
        <w:instrText xml:space="preserve"> SEQ Figure \* ARABIC </w:instrText>
      </w:r>
      <w:r w:rsidRPr="00A0532A">
        <w:fldChar w:fldCharType="separate"/>
      </w:r>
      <w:r w:rsidR="00E9048A">
        <w:rPr>
          <w:noProof/>
        </w:rPr>
        <w:t>32</w:t>
      </w:r>
      <w:r w:rsidRPr="00A0532A">
        <w:rPr>
          <w:noProof/>
        </w:rPr>
        <w:fldChar w:fldCharType="end"/>
      </w:r>
      <w:r w:rsidRPr="00A0532A">
        <w:t>: Image</w:t>
      </w:r>
      <w:r w:rsidR="00100CFD" w:rsidRPr="00A0532A">
        <w:t>: Aerial photograph of Los Angeles Informal Settlement (Source: SDI Report, 2010)</w:t>
      </w:r>
      <w:bookmarkEnd w:id="430"/>
      <w:bookmarkEnd w:id="431"/>
    </w:p>
    <w:p w14:paraId="2E0AD5CC" w14:textId="77777777" w:rsidR="004F7551" w:rsidRDefault="004F7551" w:rsidP="00100CFD">
      <w:pPr>
        <w:tabs>
          <w:tab w:val="left" w:pos="724"/>
          <w:tab w:val="left" w:pos="3128"/>
          <w:tab w:val="left" w:pos="6009"/>
          <w:tab w:val="left" w:pos="7345"/>
        </w:tabs>
        <w:ind w:left="118"/>
        <w:rPr>
          <w:rFonts w:cs="Arial"/>
          <w:szCs w:val="22"/>
        </w:rPr>
      </w:pPr>
    </w:p>
    <w:p w14:paraId="3B8CFD68" w14:textId="3E78741A" w:rsidR="00100CFD" w:rsidRPr="00A0532A" w:rsidRDefault="004F7551" w:rsidP="00100CFD">
      <w:pPr>
        <w:tabs>
          <w:tab w:val="left" w:pos="724"/>
          <w:tab w:val="left" w:pos="3128"/>
          <w:tab w:val="left" w:pos="6009"/>
          <w:tab w:val="left" w:pos="7345"/>
        </w:tabs>
        <w:ind w:left="118"/>
        <w:rPr>
          <w:rFonts w:cs="Arial"/>
          <w:szCs w:val="22"/>
        </w:rPr>
      </w:pPr>
      <w:r>
        <w:rPr>
          <w:rFonts w:cs="Arial"/>
          <w:szCs w:val="22"/>
        </w:rPr>
        <w:t>T</w:t>
      </w:r>
      <w:r w:rsidR="00100CFD" w:rsidRPr="00A0532A">
        <w:rPr>
          <w:rFonts w:cs="Arial"/>
          <w:szCs w:val="22"/>
        </w:rPr>
        <w:t>he settlement is located on land that was originally owned by the Cape Nature Reserves but has subsequently been transferred to the City of Cape Town. The settlements is very poorly serviced: No residents reported using water flush toilets and the overwhelming majority use the bush as their toilet (65%).  The remaining 34% uses the bucket system. There are no legal electricity connections</w:t>
      </w:r>
      <w:r w:rsidR="00100CFD" w:rsidRPr="00A0532A">
        <w:rPr>
          <w:rFonts w:cs="Arial"/>
          <w:color w:val="FF0000"/>
          <w:szCs w:val="22"/>
        </w:rPr>
        <w:t xml:space="preserve"> </w:t>
      </w:r>
      <w:r w:rsidR="00100CFD" w:rsidRPr="00A0532A">
        <w:rPr>
          <w:rFonts w:cs="Arial"/>
          <w:szCs w:val="22"/>
        </w:rPr>
        <w:t xml:space="preserve">and residents have come to an arrangement with residents of the adjacent settlement of Drift Sands, whereby they have illegal connections, which they pay for on a monthly basis.  The costs are much higher than what they would pay to the State utility. There are no formal streets in Los Angeles and shacks are arranged haphazardly. Children in the area attend the nearest school which is in Drift Sands but in winter time this school is not easily accessible because of flooding. The site is also located on unstable beach sand making stable construction difficult. All of the structures have been built using unconventional and temporary materials. </w:t>
      </w:r>
    </w:p>
    <w:p w14:paraId="2AE2540D" w14:textId="77777777" w:rsidR="00100CFD" w:rsidRPr="00A0532A" w:rsidRDefault="00100CFD" w:rsidP="00100CFD">
      <w:pPr>
        <w:tabs>
          <w:tab w:val="left" w:pos="724"/>
          <w:tab w:val="left" w:pos="3128"/>
          <w:tab w:val="left" w:pos="6009"/>
          <w:tab w:val="left" w:pos="7345"/>
        </w:tabs>
        <w:ind w:left="118"/>
        <w:rPr>
          <w:rFonts w:cs="Arial"/>
          <w:b/>
          <w:szCs w:val="22"/>
        </w:rPr>
      </w:pPr>
      <w:r w:rsidRPr="00A0532A">
        <w:rPr>
          <w:rFonts w:cs="Arial"/>
          <w:szCs w:val="22"/>
        </w:rPr>
        <w:t>d.</w:t>
      </w:r>
      <w:r w:rsidRPr="00A0532A">
        <w:rPr>
          <w:rFonts w:cs="Arial"/>
          <w:szCs w:val="22"/>
        </w:rPr>
        <w:tab/>
      </w:r>
      <w:r w:rsidRPr="00A0532A">
        <w:rPr>
          <w:rFonts w:cs="Arial"/>
          <w:b/>
          <w:szCs w:val="22"/>
        </w:rPr>
        <w:t>Population dynamics and socio-economic conditions</w:t>
      </w:r>
      <w:r w:rsidRPr="00A0532A">
        <w:rPr>
          <w:rFonts w:cs="Arial"/>
          <w:b/>
          <w:szCs w:val="22"/>
        </w:rPr>
        <w:tab/>
      </w:r>
    </w:p>
    <w:p w14:paraId="47BF4553" w14:textId="77777777" w:rsidR="00100CFD" w:rsidRPr="00A0532A" w:rsidRDefault="00100CFD" w:rsidP="00100CFD">
      <w:pPr>
        <w:tabs>
          <w:tab w:val="left" w:pos="724"/>
          <w:tab w:val="left" w:pos="3128"/>
          <w:tab w:val="left" w:pos="6009"/>
          <w:tab w:val="left" w:pos="7345"/>
        </w:tabs>
        <w:ind w:left="118"/>
        <w:rPr>
          <w:rFonts w:cs="Arial"/>
          <w:szCs w:val="22"/>
        </w:rPr>
      </w:pPr>
      <w:r w:rsidRPr="00A0532A">
        <w:rPr>
          <w:rFonts w:cs="Arial"/>
          <w:szCs w:val="22"/>
        </w:rPr>
        <w:t xml:space="preserve">The average household size is quite low with each shack in the Los Angeles informal settlement being home to 2.7 persons and just under a third of the shacks are occupied by single-person households, and 28% of shacks in the settlement house 4 or more residents. Three hundred residents constituting just over a third of the entire population are employed with, 55% in full time employment and 37% on a part time basis. However, when looking at the economically active population then it can be seen that 48% of potentially employable residents are unemployed. What is also concerning is that 13% of all households did not have any member of the household that was employed. Income has been difficult to determine as most households have refused to divulge their income. However, what is apparent is that 16% of households rely on state grants, most (13%) in the form of child care grants. </w:t>
      </w:r>
    </w:p>
    <w:p w14:paraId="0FD34963" w14:textId="77777777" w:rsidR="00100CFD" w:rsidRPr="00A0532A" w:rsidRDefault="00100CFD" w:rsidP="00100CFD">
      <w:pPr>
        <w:tabs>
          <w:tab w:val="left" w:pos="724"/>
          <w:tab w:val="left" w:pos="3128"/>
          <w:tab w:val="left" w:pos="6009"/>
          <w:tab w:val="left" w:pos="7345"/>
        </w:tabs>
        <w:ind w:left="118"/>
        <w:rPr>
          <w:rFonts w:cs="Arial"/>
          <w:szCs w:val="22"/>
        </w:rPr>
      </w:pPr>
      <w:r w:rsidRPr="00A0532A">
        <w:rPr>
          <w:rFonts w:cs="Arial"/>
          <w:szCs w:val="22"/>
        </w:rPr>
        <w:lastRenderedPageBreak/>
        <w:t xml:space="preserve">The population is quite stable and just less than a third of the population have been living in the settlement for between 11-15 years, whilst 35% have been there for between 6-10 years and another 30% have been there for 1-5 years. </w:t>
      </w:r>
    </w:p>
    <w:p w14:paraId="37B31256" w14:textId="77777777" w:rsidR="00100CFD" w:rsidRPr="00A0532A" w:rsidRDefault="00100CFD" w:rsidP="00100CFD">
      <w:pPr>
        <w:rPr>
          <w:rFonts w:cs="Arial"/>
          <w:b/>
          <w:szCs w:val="22"/>
        </w:rPr>
      </w:pPr>
      <w:r w:rsidRPr="00A0532A">
        <w:rPr>
          <w:rFonts w:cs="Arial"/>
          <w:szCs w:val="22"/>
        </w:rPr>
        <w:t xml:space="preserve">e. </w:t>
      </w:r>
      <w:r w:rsidRPr="00A0532A">
        <w:rPr>
          <w:rFonts w:cs="Arial"/>
          <w:b/>
          <w:szCs w:val="22"/>
        </w:rPr>
        <w:t>Leadership structures and governance context</w:t>
      </w:r>
    </w:p>
    <w:p w14:paraId="6BD34FFF" w14:textId="77777777" w:rsidR="00100CFD" w:rsidRPr="00A0532A" w:rsidRDefault="00100CFD" w:rsidP="00100CFD">
      <w:pPr>
        <w:autoSpaceDE w:val="0"/>
        <w:autoSpaceDN w:val="0"/>
        <w:adjustRightInd w:val="0"/>
        <w:rPr>
          <w:rFonts w:cs="Arial"/>
          <w:szCs w:val="22"/>
        </w:rPr>
      </w:pPr>
      <w:r w:rsidRPr="00A0532A">
        <w:rPr>
          <w:rFonts w:cs="Arial"/>
          <w:szCs w:val="22"/>
        </w:rPr>
        <w:t xml:space="preserve">The community is led by a committee which oversees all issues concerning their settlement, in particular trying to create a better life for the residents of Los Angeles. </w:t>
      </w:r>
      <w:r w:rsidRPr="00A0532A">
        <w:rPr>
          <w:rFonts w:cs="Arial"/>
          <w:szCs w:val="22"/>
        </w:rPr>
        <w:cr/>
      </w:r>
    </w:p>
    <w:p w14:paraId="24B0D2EA" w14:textId="77777777" w:rsidR="00100CFD" w:rsidRPr="00A0532A" w:rsidRDefault="00100CFD" w:rsidP="00100CFD">
      <w:pPr>
        <w:tabs>
          <w:tab w:val="left" w:pos="724"/>
          <w:tab w:val="left" w:pos="3128"/>
        </w:tabs>
        <w:ind w:left="118"/>
        <w:rPr>
          <w:rFonts w:cs="Arial"/>
          <w:b/>
          <w:szCs w:val="22"/>
        </w:rPr>
      </w:pPr>
      <w:r w:rsidRPr="00A0532A">
        <w:rPr>
          <w:rFonts w:cs="Arial"/>
          <w:szCs w:val="22"/>
        </w:rPr>
        <w:t>f..</w:t>
      </w:r>
      <w:r w:rsidRPr="00A0532A">
        <w:rPr>
          <w:rFonts w:cs="Arial"/>
          <w:szCs w:val="22"/>
        </w:rPr>
        <w:tab/>
      </w:r>
      <w:r w:rsidRPr="00A0532A">
        <w:rPr>
          <w:rFonts w:cs="Arial"/>
          <w:b/>
          <w:szCs w:val="22"/>
        </w:rPr>
        <w:t>In Situ Upgrading Potential</w:t>
      </w:r>
      <w:r w:rsidRPr="00A0532A">
        <w:rPr>
          <w:rFonts w:cs="Arial"/>
          <w:b/>
          <w:szCs w:val="22"/>
        </w:rPr>
        <w:tab/>
      </w:r>
    </w:p>
    <w:p w14:paraId="2E98166D" w14:textId="77777777" w:rsidR="00100CFD" w:rsidRDefault="00100CFD" w:rsidP="00100CFD">
      <w:pPr>
        <w:tabs>
          <w:tab w:val="left" w:pos="724"/>
          <w:tab w:val="left" w:pos="3128"/>
          <w:tab w:val="left" w:pos="6009"/>
          <w:tab w:val="left" w:pos="7345"/>
        </w:tabs>
        <w:ind w:left="118"/>
        <w:rPr>
          <w:rFonts w:cs="Arial"/>
          <w:szCs w:val="22"/>
        </w:rPr>
      </w:pPr>
      <w:r w:rsidRPr="00A0532A">
        <w:rPr>
          <w:rFonts w:cs="Arial"/>
          <w:szCs w:val="22"/>
        </w:rPr>
        <w:t>In 2006 the City of Cape Town announced that it was “considering the development of a Human Settlement Project on a small portion of the Driftsands Nature Reserve to facilitate the consolidation of the Los Angeles and Green Park Informal Settlements. The project when completed should provide approximately 2 000 housing units and other associated infrastructure”. It was stated that construction should have been underway by 2007, however by 2010 when the enumeration report was completed, the upgrading had not begun. Part of the issue may be the fact that the informal settlement is located within a wetland area. Given the difficult topography and environmental concerns the likelihood of in situ upgrading and incremental development seems low.</w:t>
      </w:r>
    </w:p>
    <w:p w14:paraId="17E1B30A" w14:textId="7C165416" w:rsidR="00B25ECA" w:rsidRPr="0088259A" w:rsidRDefault="00B25ECA" w:rsidP="00540DD7">
      <w:pPr>
        <w:pStyle w:val="Heading2"/>
        <w:numPr>
          <w:ilvl w:val="0"/>
          <w:numId w:val="0"/>
        </w:numPr>
        <w:ind w:left="510"/>
        <w:rPr>
          <w:highlight w:val="yellow"/>
        </w:rPr>
      </w:pPr>
      <w:bookmarkStart w:id="432" w:name="_Toc262067934"/>
      <w:bookmarkStart w:id="433" w:name="_Toc262068260"/>
      <w:bookmarkStart w:id="434" w:name="_Toc270946062"/>
      <w:r w:rsidRPr="0088259A">
        <w:rPr>
          <w:highlight w:val="yellow"/>
        </w:rPr>
        <w:t>Patterns in the Diversity</w:t>
      </w:r>
      <w:bookmarkEnd w:id="432"/>
      <w:bookmarkEnd w:id="433"/>
      <w:bookmarkEnd w:id="434"/>
    </w:p>
    <w:p w14:paraId="119550A6" w14:textId="508C1749" w:rsidR="00100CFD" w:rsidRPr="00A0532A" w:rsidRDefault="00100CFD" w:rsidP="00100CFD">
      <w:pPr>
        <w:tabs>
          <w:tab w:val="left" w:pos="724"/>
          <w:tab w:val="left" w:pos="3128"/>
          <w:tab w:val="left" w:pos="6009"/>
          <w:tab w:val="left" w:pos="7345"/>
        </w:tabs>
        <w:ind w:left="118"/>
        <w:rPr>
          <w:rFonts w:cs="Arial"/>
          <w:szCs w:val="22"/>
        </w:rPr>
      </w:pPr>
      <w:r w:rsidRPr="0088259A">
        <w:rPr>
          <w:rFonts w:cs="Arial"/>
          <w:szCs w:val="22"/>
          <w:highlight w:val="yellow"/>
        </w:rPr>
        <w:t>The cases in the previous section clearly demonstrate the diversity that exists within informal settlement in South Africa: varying in size from less than a hundred residents (Lwazi) to a few hundred thousand (Diepsloot). Densities and location also vary significantly with informal settlements appearing on the peripheries of major cities, the outskirts of small towns as well as within the hearts of central areas.Thus there is no question about the range and diversity of informality and with it the need for flexible tools and support that is able to respond to the specificity of each location and settlement.</w:t>
      </w:r>
    </w:p>
    <w:p w14:paraId="28439984" w14:textId="77777777" w:rsidR="00100CFD" w:rsidRPr="0088259A" w:rsidRDefault="00100CFD" w:rsidP="00100CFD">
      <w:pPr>
        <w:tabs>
          <w:tab w:val="left" w:pos="724"/>
          <w:tab w:val="left" w:pos="3128"/>
          <w:tab w:val="left" w:pos="6009"/>
          <w:tab w:val="left" w:pos="7345"/>
        </w:tabs>
        <w:ind w:left="118"/>
        <w:rPr>
          <w:rFonts w:cs="Arial"/>
          <w:szCs w:val="22"/>
          <w:highlight w:val="yellow"/>
        </w:rPr>
      </w:pPr>
      <w:r w:rsidRPr="00A0532A">
        <w:rPr>
          <w:rFonts w:cs="Arial"/>
          <w:szCs w:val="22"/>
        </w:rPr>
        <w:t xml:space="preserve">However, </w:t>
      </w:r>
      <w:r w:rsidRPr="0088259A">
        <w:rPr>
          <w:rFonts w:cs="Arial"/>
          <w:szCs w:val="22"/>
          <w:highlight w:val="yellow"/>
        </w:rPr>
        <w:t>there are some commonalities that also need to be thought through and addressed:</w:t>
      </w:r>
    </w:p>
    <w:p w14:paraId="4465330C" w14:textId="77777777" w:rsidR="00100CFD" w:rsidRPr="0088259A" w:rsidRDefault="00100CFD" w:rsidP="0055634E">
      <w:pPr>
        <w:pStyle w:val="ListParagraph"/>
        <w:numPr>
          <w:ilvl w:val="0"/>
          <w:numId w:val="27"/>
        </w:numPr>
        <w:tabs>
          <w:tab w:val="left" w:pos="270"/>
          <w:tab w:val="left" w:pos="3128"/>
          <w:tab w:val="left" w:pos="6009"/>
          <w:tab w:val="left" w:pos="7345"/>
        </w:tabs>
        <w:spacing w:after="160" w:line="259" w:lineRule="auto"/>
        <w:ind w:left="270" w:hanging="270"/>
        <w:rPr>
          <w:rFonts w:cs="Arial"/>
          <w:highlight w:val="yellow"/>
          <w:u w:val="single"/>
        </w:rPr>
      </w:pPr>
      <w:r w:rsidRPr="0088259A">
        <w:rPr>
          <w:rFonts w:cs="Arial"/>
          <w:highlight w:val="yellow"/>
          <w:u w:val="single"/>
        </w:rPr>
        <w:t xml:space="preserve">Age, social cohesion and networks: </w:t>
      </w:r>
      <w:r w:rsidRPr="0088259A">
        <w:rPr>
          <w:rFonts w:cs="Arial"/>
          <w:highlight w:val="yellow"/>
        </w:rPr>
        <w:t xml:space="preserve"> one of the most striking features when looking across the seven cases is the age of the settlements, most of which are 20 years or more and households have developed strong ties to each other and the surrounding areas. These ties and links have embedded them socially and economically in the surrounding areas and often support their livelihood strategies. Removal or relocation from such sites unless handled carefully could see people just returning to situations of informality (as seen in Alberton Station) or falling further into poverty and dependence as their income opportunities and support networks are disassembled, which would put pressure on the state.</w:t>
      </w:r>
    </w:p>
    <w:p w14:paraId="796421E2" w14:textId="77777777" w:rsidR="00100CFD" w:rsidRPr="00A0532A" w:rsidRDefault="00100CFD" w:rsidP="004F7551">
      <w:pPr>
        <w:pStyle w:val="ListParagraph"/>
        <w:tabs>
          <w:tab w:val="left" w:pos="270"/>
          <w:tab w:val="left" w:pos="3128"/>
          <w:tab w:val="left" w:pos="6009"/>
          <w:tab w:val="left" w:pos="7345"/>
        </w:tabs>
        <w:ind w:left="270" w:hanging="270"/>
        <w:rPr>
          <w:rFonts w:cs="Arial"/>
          <w:u w:val="single"/>
        </w:rPr>
      </w:pPr>
    </w:p>
    <w:p w14:paraId="1174C2BB" w14:textId="77777777" w:rsidR="00100CFD" w:rsidRPr="00A0532A" w:rsidRDefault="00100CFD" w:rsidP="0055634E">
      <w:pPr>
        <w:pStyle w:val="ListParagraph"/>
        <w:numPr>
          <w:ilvl w:val="0"/>
          <w:numId w:val="27"/>
        </w:numPr>
        <w:tabs>
          <w:tab w:val="left" w:pos="270"/>
          <w:tab w:val="left" w:pos="3128"/>
          <w:tab w:val="left" w:pos="6009"/>
          <w:tab w:val="left" w:pos="7345"/>
        </w:tabs>
        <w:spacing w:after="160" w:line="259" w:lineRule="auto"/>
        <w:ind w:left="270" w:hanging="270"/>
        <w:rPr>
          <w:rFonts w:cs="Arial"/>
          <w:u w:val="single"/>
        </w:rPr>
      </w:pPr>
      <w:r w:rsidRPr="00A0532A">
        <w:rPr>
          <w:rFonts w:cs="Arial"/>
          <w:u w:val="single"/>
        </w:rPr>
        <w:t xml:space="preserve"> </w:t>
      </w:r>
      <w:r w:rsidRPr="0088259A">
        <w:rPr>
          <w:rFonts w:cs="Arial"/>
          <w:highlight w:val="yellow"/>
          <w:u w:val="single"/>
        </w:rPr>
        <w:t xml:space="preserve">Situation: topography and site: </w:t>
      </w:r>
      <w:r w:rsidRPr="0088259A">
        <w:rPr>
          <w:rFonts w:cs="Arial"/>
          <w:highlight w:val="yellow"/>
        </w:rPr>
        <w:t>many of the settlements are not suitable for in situ upgrading and for long term investment, either due to the insecurity of the tenure and plans for the site (as in Alberton Station) or because their location is in some way compromised i.e. located in a wetland as is the case of Los Angeles or below the floodline in the case of Lwazi.</w:t>
      </w:r>
      <w:r w:rsidRPr="00A0532A">
        <w:rPr>
          <w:rFonts w:cs="Arial"/>
        </w:rPr>
        <w:t xml:space="preserve"> That is not to say that all topographc and situations require relocation i.e. Imizamo Yethu and Gum Tree that are situated on steep slopes but that in these circumstances formalisation requires </w:t>
      </w:r>
      <w:r w:rsidRPr="00A0532A">
        <w:rPr>
          <w:rFonts w:cs="Arial"/>
        </w:rPr>
        <w:lastRenderedPageBreak/>
        <w:t>higher investments due to the difficulty of the terrain and the need for specialised building services. Such terrain may put incremental investment out of reach for very poor households.</w:t>
      </w:r>
    </w:p>
    <w:p w14:paraId="475F3B80" w14:textId="77777777" w:rsidR="00100CFD" w:rsidRPr="00A0532A" w:rsidRDefault="00100CFD" w:rsidP="004F7551">
      <w:pPr>
        <w:pStyle w:val="ListParagraph"/>
        <w:tabs>
          <w:tab w:val="left" w:pos="270"/>
        </w:tabs>
        <w:ind w:hanging="270"/>
        <w:rPr>
          <w:rFonts w:cs="Arial"/>
          <w:u w:val="single"/>
        </w:rPr>
      </w:pPr>
    </w:p>
    <w:p w14:paraId="2B7A86DA" w14:textId="77777777" w:rsidR="00100CFD" w:rsidRPr="0088259A" w:rsidRDefault="00100CFD" w:rsidP="0055634E">
      <w:pPr>
        <w:pStyle w:val="ListParagraph"/>
        <w:numPr>
          <w:ilvl w:val="0"/>
          <w:numId w:val="27"/>
        </w:numPr>
        <w:tabs>
          <w:tab w:val="left" w:pos="270"/>
          <w:tab w:val="left" w:pos="360"/>
          <w:tab w:val="left" w:pos="724"/>
          <w:tab w:val="left" w:pos="3128"/>
          <w:tab w:val="left" w:pos="6009"/>
          <w:tab w:val="left" w:pos="7345"/>
        </w:tabs>
        <w:spacing w:after="160" w:line="259" w:lineRule="auto"/>
        <w:ind w:left="270" w:hanging="270"/>
        <w:rPr>
          <w:rFonts w:cs="Arial"/>
          <w:b/>
          <w:highlight w:val="yellow"/>
        </w:rPr>
      </w:pPr>
      <w:r w:rsidRPr="0088259A">
        <w:rPr>
          <w:rFonts w:cs="Arial"/>
          <w:highlight w:val="yellow"/>
          <w:u w:val="single"/>
        </w:rPr>
        <w:t>Income and poverty:</w:t>
      </w:r>
      <w:r w:rsidRPr="0088259A">
        <w:rPr>
          <w:rFonts w:cs="Arial"/>
          <w:highlight w:val="yellow"/>
        </w:rPr>
        <w:t xml:space="preserve"> another striking but unsurprising commonality was the extremely low income and low income earning potential of the majority of residents. Households are generally earning below R3200 and in many settlements below R1600, with the majority spending between 40-50% of their income on the basic necessity of food, attempting to meet the nutritional requirements of their households. Furthermore, in most cases skill levels are very low and people are employed in unskilled or low skilled wage work for very low wages, this means that the possibilities for advancement are low and the likelihood of having significant amounts to pay back housing development loans or invest in housing is low.</w:t>
      </w:r>
    </w:p>
    <w:p w14:paraId="16941B82" w14:textId="77777777" w:rsidR="00100CFD" w:rsidRPr="00A0532A" w:rsidRDefault="00100CFD" w:rsidP="004F7551">
      <w:pPr>
        <w:pStyle w:val="ListParagraph"/>
        <w:tabs>
          <w:tab w:val="left" w:pos="270"/>
        </w:tabs>
        <w:ind w:hanging="270"/>
        <w:rPr>
          <w:rFonts w:cs="Arial"/>
          <w:b/>
        </w:rPr>
      </w:pPr>
    </w:p>
    <w:p w14:paraId="4AF01A8D" w14:textId="77777777" w:rsidR="00100CFD" w:rsidRPr="00A0532A" w:rsidRDefault="00100CFD" w:rsidP="0055634E">
      <w:pPr>
        <w:pStyle w:val="ListParagraph"/>
        <w:numPr>
          <w:ilvl w:val="0"/>
          <w:numId w:val="27"/>
        </w:numPr>
        <w:tabs>
          <w:tab w:val="left" w:pos="270"/>
          <w:tab w:val="left" w:pos="360"/>
          <w:tab w:val="left" w:pos="724"/>
          <w:tab w:val="left" w:pos="3128"/>
          <w:tab w:val="left" w:pos="6009"/>
          <w:tab w:val="left" w:pos="7345"/>
        </w:tabs>
        <w:spacing w:after="160" w:line="259" w:lineRule="auto"/>
        <w:ind w:left="270" w:hanging="270"/>
        <w:rPr>
          <w:rFonts w:cs="Arial"/>
          <w:u w:val="single"/>
        </w:rPr>
      </w:pPr>
      <w:r w:rsidRPr="00A0532A">
        <w:rPr>
          <w:rFonts w:cs="Arial"/>
          <w:u w:val="single"/>
        </w:rPr>
        <w:t xml:space="preserve">Migrancy, migration and going home: </w:t>
      </w:r>
      <w:r w:rsidRPr="00A0532A">
        <w:rPr>
          <w:rFonts w:cs="Arial"/>
        </w:rPr>
        <w:t xml:space="preserve">there were indications in a number of settlements of high rates of local and international migrants. It is clear that traditional patterns of circular migration with people returning “home” in old age and illness persist. There are also many who see SA cities as income earning opportunities rather than long term options. As such, these households, may not be willing or able to use any income for investing in local housing conditions due to long term family commitments in other places. </w:t>
      </w:r>
    </w:p>
    <w:p w14:paraId="78376245" w14:textId="77777777" w:rsidR="00100CFD" w:rsidRPr="00A0532A" w:rsidRDefault="00100CFD" w:rsidP="004F7551">
      <w:pPr>
        <w:pStyle w:val="ListParagraph"/>
        <w:tabs>
          <w:tab w:val="left" w:pos="270"/>
        </w:tabs>
        <w:ind w:hanging="270"/>
        <w:rPr>
          <w:rFonts w:cs="Arial"/>
          <w:u w:val="single"/>
        </w:rPr>
      </w:pPr>
    </w:p>
    <w:p w14:paraId="7FC1E31B" w14:textId="77777777" w:rsidR="00100CFD" w:rsidRPr="00A0532A" w:rsidRDefault="00100CFD" w:rsidP="0055634E">
      <w:pPr>
        <w:pStyle w:val="ListParagraph"/>
        <w:numPr>
          <w:ilvl w:val="0"/>
          <w:numId w:val="27"/>
        </w:numPr>
        <w:tabs>
          <w:tab w:val="left" w:pos="270"/>
          <w:tab w:val="left" w:pos="360"/>
          <w:tab w:val="left" w:pos="724"/>
          <w:tab w:val="left" w:pos="3128"/>
          <w:tab w:val="left" w:pos="6009"/>
          <w:tab w:val="left" w:pos="7345"/>
        </w:tabs>
        <w:spacing w:after="160" w:line="259" w:lineRule="auto"/>
        <w:ind w:left="270" w:hanging="270"/>
        <w:rPr>
          <w:rFonts w:cs="Arial"/>
          <w:u w:val="single"/>
        </w:rPr>
      </w:pPr>
      <w:r w:rsidRPr="00A0532A">
        <w:rPr>
          <w:rFonts w:cs="Arial"/>
          <w:u w:val="single"/>
        </w:rPr>
        <w:t>Governance, government and politics:</w:t>
      </w:r>
      <w:r w:rsidRPr="00A0532A">
        <w:rPr>
          <w:rFonts w:cs="Arial"/>
        </w:rPr>
        <w:t xml:space="preserve"> housing is always a political issue and what has been noted in a number of settlements is the connection between highly localised community leadership and party politics played out within and outside the local council. </w:t>
      </w:r>
      <w:r w:rsidRPr="0088259A">
        <w:rPr>
          <w:rFonts w:cs="Arial"/>
          <w:highlight w:val="yellow"/>
        </w:rPr>
        <w:t>Strong leadership that is able to leverage support and call in assistance from powerful NGOs with whom municipalities have working relationships seem to encourage stability and will no doubt be able to get some gains from the local authorities which could be built on i.e. having access to services or negotiating around secure tenure is more likely to encourage people to invest. However, informal settlements can also be used as pawns in larger political contestations, which can make the situation more precarious for residents and ensure that they lose their ability to voice their needs. Thus politics and power play a key role in encouraging households to invest or divest within informal settlements and should not be under-estimated.</w:t>
      </w:r>
      <w:r w:rsidRPr="00A0532A">
        <w:rPr>
          <w:rFonts w:cs="Arial"/>
        </w:rPr>
        <w:t xml:space="preserve"> </w:t>
      </w:r>
    </w:p>
    <w:p w14:paraId="4C326E55" w14:textId="77777777" w:rsidR="00100CFD" w:rsidRPr="00A0532A" w:rsidRDefault="00100CFD" w:rsidP="00100CFD">
      <w:pPr>
        <w:rPr>
          <w:rFonts w:cs="Arial"/>
          <w:szCs w:val="22"/>
        </w:rPr>
      </w:pPr>
      <w:bookmarkStart w:id="435" w:name="_GoBack"/>
      <w:bookmarkEnd w:id="435"/>
      <w:r w:rsidRPr="0088259A">
        <w:rPr>
          <w:rFonts w:cs="Arial"/>
          <w:szCs w:val="22"/>
          <w:highlight w:val="yellow"/>
        </w:rPr>
        <w:t>The conclusions to be drawn from this brief survey of informal settlements is that there are many common issues affecting the ability and willingness of households to invest in housing, some of which can be addressed through support services offered through NGOs and the state, whilst others such as income and migration patterns are structural and may require time and a change in the economy to really make any change.</w:t>
      </w:r>
      <w:r w:rsidRPr="00A0532A">
        <w:rPr>
          <w:rFonts w:cs="Arial"/>
          <w:szCs w:val="22"/>
        </w:rPr>
        <w:t xml:space="preserve"> </w:t>
      </w:r>
    </w:p>
    <w:p w14:paraId="45BF7F88" w14:textId="77777777" w:rsidR="00100CFD" w:rsidRPr="00A0532A" w:rsidRDefault="00100CFD" w:rsidP="00100CFD">
      <w:pPr>
        <w:rPr>
          <w:rFonts w:cs="Arial"/>
          <w:szCs w:val="22"/>
        </w:rPr>
      </w:pPr>
      <w:r w:rsidRPr="00A0532A">
        <w:rPr>
          <w:rFonts w:cs="Arial"/>
          <w:szCs w:val="22"/>
        </w:rPr>
        <w:t xml:space="preserve"> </w:t>
      </w:r>
    </w:p>
    <w:p w14:paraId="5E8C5747" w14:textId="77777777" w:rsidR="00100CFD" w:rsidRPr="00A0532A" w:rsidRDefault="00100CFD" w:rsidP="00100CFD">
      <w:pPr>
        <w:tabs>
          <w:tab w:val="left" w:pos="270"/>
          <w:tab w:val="left" w:pos="360"/>
          <w:tab w:val="left" w:pos="724"/>
          <w:tab w:val="left" w:pos="3128"/>
          <w:tab w:val="left" w:pos="6009"/>
          <w:tab w:val="left" w:pos="7345"/>
        </w:tabs>
        <w:rPr>
          <w:rFonts w:cs="Arial"/>
          <w:szCs w:val="22"/>
          <w:u w:val="single"/>
        </w:rPr>
      </w:pPr>
    </w:p>
    <w:p w14:paraId="48FD1496" w14:textId="77777777" w:rsidR="00100CFD" w:rsidRPr="00A0532A" w:rsidRDefault="00100CFD" w:rsidP="00100CFD">
      <w:pPr>
        <w:tabs>
          <w:tab w:val="left" w:pos="270"/>
          <w:tab w:val="left" w:pos="360"/>
          <w:tab w:val="left" w:pos="724"/>
          <w:tab w:val="left" w:pos="3128"/>
          <w:tab w:val="left" w:pos="6009"/>
          <w:tab w:val="left" w:pos="7345"/>
        </w:tabs>
        <w:rPr>
          <w:rFonts w:cs="Arial"/>
          <w:szCs w:val="22"/>
          <w:u w:val="single"/>
        </w:rPr>
      </w:pPr>
    </w:p>
    <w:p w14:paraId="300B9782" w14:textId="68E7D2BB" w:rsidR="00100CFD" w:rsidRPr="00A0532A" w:rsidRDefault="00BE3F37" w:rsidP="00100CFD">
      <w:pPr>
        <w:tabs>
          <w:tab w:val="left" w:pos="270"/>
          <w:tab w:val="left" w:pos="360"/>
          <w:tab w:val="left" w:pos="724"/>
          <w:tab w:val="left" w:pos="3128"/>
          <w:tab w:val="left" w:pos="6009"/>
          <w:tab w:val="left" w:pos="7345"/>
        </w:tabs>
        <w:rPr>
          <w:rFonts w:cs="Arial"/>
          <w:szCs w:val="22"/>
          <w:u w:val="single"/>
        </w:rPr>
      </w:pPr>
      <w:r w:rsidRPr="00BE3F37">
        <w:rPr>
          <w:noProof/>
          <w:lang w:val="en-US"/>
        </w:rPr>
        <w:lastRenderedPageBreak/>
        <w:drawing>
          <wp:inline distT="0" distB="0" distL="0" distR="0" wp14:anchorId="2F2F6536" wp14:editId="33B0ECED">
            <wp:extent cx="4176314" cy="2294467"/>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4176314" cy="2294467"/>
                    </a:xfrm>
                    <a:prstGeom prst="rect">
                      <a:avLst/>
                    </a:prstGeom>
                    <a:noFill/>
                    <a:ln>
                      <a:noFill/>
                    </a:ln>
                  </pic:spPr>
                </pic:pic>
              </a:graphicData>
            </a:graphic>
          </wp:inline>
        </w:drawing>
      </w:r>
    </w:p>
    <w:p w14:paraId="2CC94B9E" w14:textId="1E122C5F" w:rsidR="00CC2D09" w:rsidRPr="00100CFD" w:rsidRDefault="00CC2D09" w:rsidP="002A05AF">
      <w:pPr>
        <w:pStyle w:val="Heading1"/>
        <w:numPr>
          <w:ilvl w:val="0"/>
          <w:numId w:val="0"/>
        </w:numPr>
        <w:ind w:left="425" w:hanging="425"/>
      </w:pPr>
      <w:bookmarkStart w:id="436" w:name="_Toc262067935"/>
      <w:bookmarkStart w:id="437" w:name="_Toc270946063"/>
      <w:r>
        <w:t>References</w:t>
      </w:r>
      <w:bookmarkEnd w:id="436"/>
      <w:bookmarkEnd w:id="437"/>
    </w:p>
    <w:p w14:paraId="4B89DA4A"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 (n.d.-a). </w:t>
      </w:r>
      <w:r w:rsidRPr="00D65E78">
        <w:rPr>
          <w:rFonts w:eastAsiaTheme="minorHAnsi" w:cs="Arial"/>
          <w:i/>
          <w:iCs/>
          <w:sz w:val="20"/>
          <w:szCs w:val="20"/>
          <w:lang w:val="en-US"/>
        </w:rPr>
        <w:t>Southern Pinetown Housing Consolidation Project (Case Study)</w:t>
      </w:r>
      <w:r w:rsidRPr="00D65E78">
        <w:rPr>
          <w:rFonts w:eastAsiaTheme="minorHAnsi" w:cs="Arial"/>
          <w:sz w:val="20"/>
          <w:szCs w:val="20"/>
          <w:lang w:val="en-US"/>
        </w:rPr>
        <w:t xml:space="preserve"> (p. 4).</w:t>
      </w:r>
    </w:p>
    <w:p w14:paraId="028822F3"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 (n.d.-b). </w:t>
      </w:r>
      <w:r w:rsidRPr="00D65E78">
        <w:rPr>
          <w:rFonts w:eastAsiaTheme="minorHAnsi" w:cs="Arial"/>
          <w:i/>
          <w:iCs/>
          <w:sz w:val="20"/>
          <w:szCs w:val="20"/>
          <w:lang w:val="en-US"/>
        </w:rPr>
        <w:t>Southern Pinetown Peoples Housing Process Case Study</w:t>
      </w:r>
      <w:r w:rsidRPr="00D65E78">
        <w:rPr>
          <w:rFonts w:eastAsiaTheme="minorHAnsi" w:cs="Arial"/>
          <w:sz w:val="20"/>
          <w:szCs w:val="20"/>
          <w:lang w:val="en-US"/>
        </w:rPr>
        <w:t xml:space="preserve"> (p. 4).</w:t>
      </w:r>
    </w:p>
    <w:p w14:paraId="3BB1847E"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Abrahams, G., &amp; Smit, D. (2010). </w:t>
      </w:r>
      <w:r w:rsidRPr="00D65E78">
        <w:rPr>
          <w:rFonts w:eastAsiaTheme="minorHAnsi" w:cs="Arial"/>
          <w:i/>
          <w:iCs/>
          <w:sz w:val="20"/>
          <w:szCs w:val="20"/>
          <w:lang w:val="en-US"/>
        </w:rPr>
        <w:t>Incrementally Securing Tenure: An approach for Informal Settlement Upgrading in South Africa</w:t>
      </w:r>
      <w:r w:rsidRPr="00D65E78">
        <w:rPr>
          <w:rFonts w:eastAsiaTheme="minorHAnsi" w:cs="Arial"/>
          <w:sz w:val="20"/>
          <w:szCs w:val="20"/>
          <w:lang w:val="en-US"/>
        </w:rPr>
        <w:t>. Tshwane. Retrieved from http://www.urbanlandmark.org.za/research/x31.php</w:t>
      </w:r>
    </w:p>
    <w:p w14:paraId="2434A2CE" w14:textId="296618EC"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Adebayo, A. A., Adebayo, P. W., &amp; Africa, S. (2000). Sustainable housing policy and practice - reducing constraints and expanding horizons within housing delivery. In </w:t>
      </w:r>
      <w:r w:rsidRPr="00D65E78">
        <w:rPr>
          <w:rFonts w:eastAsiaTheme="minorHAnsi" w:cs="Arial"/>
          <w:i/>
          <w:iCs/>
          <w:sz w:val="20"/>
          <w:szCs w:val="20"/>
          <w:lang w:val="en-US"/>
        </w:rPr>
        <w:t xml:space="preserve">Strategies for a </w:t>
      </w:r>
      <w:r w:rsidR="00926ED4" w:rsidRPr="00D65E78">
        <w:rPr>
          <w:rFonts w:eastAsiaTheme="minorHAnsi" w:cs="Arial"/>
          <w:i/>
          <w:iCs/>
          <w:sz w:val="20"/>
          <w:szCs w:val="20"/>
          <w:lang w:val="en-US"/>
        </w:rPr>
        <w:t>sustainable</w:t>
      </w:r>
      <w:r w:rsidRPr="00D65E78">
        <w:rPr>
          <w:rFonts w:eastAsiaTheme="minorHAnsi" w:cs="Arial"/>
          <w:i/>
          <w:iCs/>
          <w:sz w:val="20"/>
          <w:szCs w:val="20"/>
          <w:lang w:val="en-US"/>
        </w:rPr>
        <w:t xml:space="preserve"> built environment</w:t>
      </w:r>
      <w:r w:rsidRPr="00D65E78">
        <w:rPr>
          <w:rFonts w:eastAsiaTheme="minorHAnsi" w:cs="Arial"/>
          <w:sz w:val="20"/>
          <w:szCs w:val="20"/>
          <w:lang w:val="en-US"/>
        </w:rPr>
        <w:t xml:space="preserve"> (pp. 23–25).</w:t>
      </w:r>
    </w:p>
    <w:p w14:paraId="125678D4"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Adiata, R. (2011a). </w:t>
      </w:r>
      <w:r w:rsidRPr="00D65E78">
        <w:rPr>
          <w:rFonts w:eastAsiaTheme="minorHAnsi" w:cs="Arial"/>
          <w:i/>
          <w:iCs/>
          <w:sz w:val="20"/>
          <w:szCs w:val="20"/>
          <w:lang w:val="en-US"/>
        </w:rPr>
        <w:t>Developing Township Regeneration Strategies: A Case Study</w:t>
      </w:r>
      <w:r w:rsidRPr="00D65E78">
        <w:rPr>
          <w:rFonts w:eastAsiaTheme="minorHAnsi" w:cs="Arial"/>
          <w:sz w:val="20"/>
          <w:szCs w:val="20"/>
          <w:lang w:val="en-US"/>
        </w:rPr>
        <w:t xml:space="preserve"> (p. 27). Tshwane. Retrieved from http://www.urbanlandmark.org.za/downloads/dev_township_regen_strategies_2011.pdf</w:t>
      </w:r>
    </w:p>
    <w:p w14:paraId="1A661524"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Adiata, R. (2011b). </w:t>
      </w:r>
      <w:r w:rsidRPr="00D65E78">
        <w:rPr>
          <w:rFonts w:eastAsiaTheme="minorHAnsi" w:cs="Arial"/>
          <w:i/>
          <w:iCs/>
          <w:sz w:val="20"/>
          <w:szCs w:val="20"/>
          <w:lang w:val="en-US"/>
        </w:rPr>
        <w:t>Township Regeneration in Small Towns: A Case Study</w:t>
      </w:r>
      <w:r w:rsidRPr="00D65E78">
        <w:rPr>
          <w:rFonts w:eastAsiaTheme="minorHAnsi" w:cs="Arial"/>
          <w:sz w:val="20"/>
          <w:szCs w:val="20"/>
          <w:lang w:val="en-US"/>
        </w:rPr>
        <w:t xml:space="preserve"> (p. 28). Johannesburg. Retrieved from http://www.sacities.net/images/stories/2011/Publications/TTRI_Case_study_Township_Regeneration_in_Small_Towns_2011.pdf</w:t>
      </w:r>
    </w:p>
    <w:p w14:paraId="5945BB6D"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Afesis Corplan, &amp; Urban LandMark. (2008). </w:t>
      </w:r>
      <w:r w:rsidRPr="00D65E78">
        <w:rPr>
          <w:rFonts w:eastAsiaTheme="minorHAnsi" w:cs="Arial"/>
          <w:i/>
          <w:iCs/>
          <w:sz w:val="20"/>
          <w:szCs w:val="20"/>
          <w:lang w:val="en-US"/>
        </w:rPr>
        <w:t>Urban Land Access : Options (Manual C)</w:t>
      </w:r>
      <w:r w:rsidRPr="00D65E78">
        <w:rPr>
          <w:rFonts w:eastAsiaTheme="minorHAnsi" w:cs="Arial"/>
          <w:sz w:val="20"/>
          <w:szCs w:val="20"/>
          <w:lang w:val="en-US"/>
        </w:rPr>
        <w:t xml:space="preserve"> (p. 17). Retrieved from http://www.urbanlandmark.org.za/research/x37.php</w:t>
      </w:r>
    </w:p>
    <w:p w14:paraId="63636AA1"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Bamberger, M., &amp; Valverde, N. (n.d.). </w:t>
      </w:r>
      <w:r w:rsidRPr="00D65E78">
        <w:rPr>
          <w:rFonts w:eastAsiaTheme="minorHAnsi" w:cs="Arial"/>
          <w:i/>
          <w:iCs/>
          <w:sz w:val="20"/>
          <w:szCs w:val="20"/>
          <w:lang w:val="en-US"/>
        </w:rPr>
        <w:t>Evaluation of Sites and Services Projects The Experience from Lusaka , Zambia Evaluation of Sites and Services Projects The Experience from Lusaka , Zambia</w:t>
      </w:r>
      <w:r w:rsidRPr="00D65E78">
        <w:rPr>
          <w:rFonts w:eastAsiaTheme="minorHAnsi" w:cs="Arial"/>
          <w:sz w:val="20"/>
          <w:szCs w:val="20"/>
          <w:lang w:val="en-US"/>
        </w:rPr>
        <w:t>.</w:t>
      </w:r>
    </w:p>
    <w:p w14:paraId="77FEA071"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Bank, L., Makhubalo, L., &amp; Maqasho, L. (2010). </w:t>
      </w:r>
      <w:r w:rsidRPr="00D65E78">
        <w:rPr>
          <w:rFonts w:eastAsiaTheme="minorHAnsi" w:cs="Arial"/>
          <w:i/>
          <w:iCs/>
          <w:sz w:val="20"/>
          <w:szCs w:val="20"/>
          <w:lang w:val="en-US"/>
        </w:rPr>
        <w:t>Housing Delivery and State Subsidies 5</w:t>
      </w:r>
      <w:r w:rsidRPr="00D65E78">
        <w:rPr>
          <w:rFonts w:eastAsiaTheme="minorHAnsi" w:cs="Arial"/>
          <w:sz w:val="20"/>
          <w:szCs w:val="20"/>
          <w:lang w:val="en-US"/>
        </w:rPr>
        <w:t xml:space="preserve"> (p. 92).</w:t>
      </w:r>
    </w:p>
    <w:p w14:paraId="7E5DF5D9"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Berrisford, S., &amp; Degroot, D. (n.d.). </w:t>
      </w:r>
      <w:r w:rsidRPr="00D65E78">
        <w:rPr>
          <w:rFonts w:eastAsiaTheme="minorHAnsi" w:cs="Arial"/>
          <w:i/>
          <w:iCs/>
          <w:sz w:val="20"/>
          <w:szCs w:val="20"/>
          <w:lang w:val="en-US"/>
        </w:rPr>
        <w:t>In Search of Land and Housing in the New South Africa The Case of Ethembalethu In Search Of Land and Housing in the New South Africa The Case of Ethembalethu</w:t>
      </w:r>
      <w:r w:rsidRPr="00D65E78">
        <w:rPr>
          <w:rFonts w:eastAsiaTheme="minorHAnsi" w:cs="Arial"/>
          <w:sz w:val="20"/>
          <w:szCs w:val="20"/>
          <w:lang w:val="en-US"/>
        </w:rPr>
        <w:t>.</w:t>
      </w:r>
    </w:p>
    <w:p w14:paraId="75AD8E20"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lastRenderedPageBreak/>
        <w:t xml:space="preserve">Berrisford, S., Kihato, M., Parnell, S., Pieterse, E., Progressus Research &amp; Development, &amp; Isandla Institute. (2007). </w:t>
      </w:r>
      <w:r w:rsidRPr="00D65E78">
        <w:rPr>
          <w:rFonts w:eastAsiaTheme="minorHAnsi" w:cs="Arial"/>
          <w:i/>
          <w:iCs/>
          <w:sz w:val="20"/>
          <w:szCs w:val="20"/>
          <w:lang w:val="en-US"/>
        </w:rPr>
        <w:t>Do Informal Land Markets Work for Poor People ? An assessment of three metropolitan cities in South Africa - LITERATURE REVIEW</w:t>
      </w:r>
      <w:r w:rsidRPr="00D65E78">
        <w:rPr>
          <w:rFonts w:eastAsiaTheme="minorHAnsi" w:cs="Arial"/>
          <w:sz w:val="20"/>
          <w:szCs w:val="20"/>
          <w:lang w:val="en-US"/>
        </w:rPr>
        <w:t>. Retrieved from http://www.urbanlandmark.org.za/research/x41.php</w:t>
      </w:r>
    </w:p>
    <w:p w14:paraId="1E324B0D"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Built Environment Support Group. (1998). </w:t>
      </w:r>
      <w:r w:rsidRPr="00D65E78">
        <w:rPr>
          <w:rFonts w:eastAsiaTheme="minorHAnsi" w:cs="Arial"/>
          <w:i/>
          <w:iCs/>
          <w:sz w:val="20"/>
          <w:szCs w:val="20"/>
          <w:lang w:val="en-US"/>
        </w:rPr>
        <w:t>EVALUATION OF THE HOUSING CONSOLIDATION PROJECT IN LUGANDA AND ZILWELENI , SOUTHERN PINETOWN 1996-1998</w:t>
      </w:r>
      <w:r w:rsidRPr="00D65E78">
        <w:rPr>
          <w:rFonts w:eastAsiaTheme="minorHAnsi" w:cs="Arial"/>
          <w:sz w:val="20"/>
          <w:szCs w:val="20"/>
          <w:lang w:val="en-US"/>
        </w:rPr>
        <w:t xml:space="preserve"> (p. 105).</w:t>
      </w:r>
    </w:p>
    <w:p w14:paraId="0A75FB15"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Byerly, M. (1995). </w:t>
      </w:r>
      <w:r w:rsidRPr="00D65E78">
        <w:rPr>
          <w:rFonts w:eastAsiaTheme="minorHAnsi" w:cs="Arial"/>
          <w:i/>
          <w:iCs/>
          <w:sz w:val="20"/>
          <w:szCs w:val="20"/>
          <w:lang w:val="en-US"/>
        </w:rPr>
        <w:t>Lessons from the Wiggins Fast Track Project (Case Study)</w:t>
      </w:r>
      <w:r w:rsidRPr="00D65E78">
        <w:rPr>
          <w:rFonts w:eastAsiaTheme="minorHAnsi" w:cs="Arial"/>
          <w:sz w:val="20"/>
          <w:szCs w:val="20"/>
          <w:lang w:val="en-US"/>
        </w:rPr>
        <w:t xml:space="preserve"> (p. 8).</w:t>
      </w:r>
    </w:p>
    <w:p w14:paraId="6B2E016F"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Cape, E., Cape, W., &amp; Landmark, U. (2010). Grants for Supplementary Broad Based and Inclusionary Urban Programmes : A ) Basic Interim Services for Informal Settlements and ; B ) the Release of Serviced Land 1 ., 1–11.</w:t>
      </w:r>
    </w:p>
    <w:p w14:paraId="5EF9F0FD"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Carey, S. (2012). </w:t>
      </w:r>
      <w:r w:rsidRPr="00D65E78">
        <w:rPr>
          <w:rFonts w:eastAsiaTheme="minorHAnsi" w:cs="Arial"/>
          <w:i/>
          <w:iCs/>
          <w:sz w:val="20"/>
          <w:szCs w:val="20"/>
          <w:lang w:val="en-US"/>
        </w:rPr>
        <w:t>Informal backyard rental accommodation: A summary of issues and policy emanating from certain previous research</w:t>
      </w:r>
      <w:r w:rsidRPr="00D65E78">
        <w:rPr>
          <w:rFonts w:eastAsiaTheme="minorHAnsi" w:cs="Arial"/>
          <w:sz w:val="20"/>
          <w:szCs w:val="20"/>
          <w:lang w:val="en-US"/>
        </w:rPr>
        <w:t xml:space="preserve"> (pp. 1–5).</w:t>
      </w:r>
    </w:p>
    <w:p w14:paraId="359F08E1"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Centre for Development and Enterprise. (2013). </w:t>
      </w:r>
      <w:r w:rsidRPr="00D65E78">
        <w:rPr>
          <w:rFonts w:eastAsiaTheme="minorHAnsi" w:cs="Arial"/>
          <w:i/>
          <w:iCs/>
          <w:sz w:val="20"/>
          <w:szCs w:val="20"/>
          <w:lang w:val="en-US"/>
        </w:rPr>
        <w:t>Learning to Listen: Settlement Upgrading</w:t>
      </w:r>
      <w:r w:rsidRPr="00D65E78">
        <w:rPr>
          <w:rFonts w:eastAsiaTheme="minorHAnsi" w:cs="Arial"/>
          <w:sz w:val="20"/>
          <w:szCs w:val="20"/>
          <w:lang w:val="en-US"/>
        </w:rPr>
        <w:t>.</w:t>
      </w:r>
    </w:p>
    <w:p w14:paraId="312479F4"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Cities Alliance, World Bank Institute, USAID, &amp; Department of Human Settlements. (2011). Upgrading South Africa’s Housing Policy: Strengthening the South African National Upgrading Support Programme. Retrieved from www.citiesalliance.org</w:t>
      </w:r>
    </w:p>
    <w:p w14:paraId="5F6753CA"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CSIR Building and Construction Technology. (2000). </w:t>
      </w:r>
      <w:r w:rsidRPr="00D65E78">
        <w:rPr>
          <w:rFonts w:eastAsiaTheme="minorHAnsi" w:cs="Arial"/>
          <w:i/>
          <w:iCs/>
          <w:sz w:val="20"/>
          <w:szCs w:val="20"/>
          <w:lang w:val="en-US"/>
        </w:rPr>
        <w:t>Guidelines for human settlement planning and design</w:t>
      </w:r>
      <w:r w:rsidRPr="00D65E78">
        <w:rPr>
          <w:rFonts w:eastAsiaTheme="minorHAnsi" w:cs="Arial"/>
          <w:sz w:val="20"/>
          <w:szCs w:val="20"/>
          <w:lang w:val="en-US"/>
        </w:rPr>
        <w:t xml:space="preserve"> (Vol. 1, p. 280). Retrieved from http://www.dhs.gov.za/live/</w:t>
      </w:r>
    </w:p>
    <w:p w14:paraId="1A065788"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Dan Smit Development Capacity, Gemey Abrahams Consultants, Von Reisen, A., Interface, D., &amp; Associates, P. R. (2010). </w:t>
      </w:r>
      <w:r w:rsidRPr="00D65E78">
        <w:rPr>
          <w:rFonts w:eastAsiaTheme="minorHAnsi" w:cs="Arial"/>
          <w:i/>
          <w:iCs/>
          <w:sz w:val="20"/>
          <w:szCs w:val="20"/>
          <w:lang w:val="en-US"/>
        </w:rPr>
        <w:t>Development of an Approach for the Recognition of Informal Settlements and Tenure Security in South Africa With Potential for Regional Applicability: Technical Proposal</w:t>
      </w:r>
      <w:r w:rsidRPr="00D65E78">
        <w:rPr>
          <w:rFonts w:eastAsiaTheme="minorHAnsi" w:cs="Arial"/>
          <w:sz w:val="20"/>
          <w:szCs w:val="20"/>
          <w:lang w:val="en-US"/>
        </w:rPr>
        <w:t xml:space="preserve"> (pp. 1–86). Tshwane. Retrieved from http://www.urbanlandmark.org.za/downloads/inc_securing_tenure_tp.pdf</w:t>
      </w:r>
    </w:p>
    <w:p w14:paraId="0058CC82"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Dasgupta, B., &amp; Lall, S. V. (n.d.). Assessing Benefits of Slum Upgrading Programs in Second-Best Settings, 1–40.</w:t>
      </w:r>
    </w:p>
    <w:p w14:paraId="69AA515E"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i/>
          <w:iCs/>
          <w:sz w:val="20"/>
          <w:szCs w:val="20"/>
          <w:lang w:val="en-US"/>
        </w:rPr>
        <w:t>David Gardner Finance Sector Presentation</w:t>
      </w:r>
      <w:r w:rsidRPr="00D65E78">
        <w:rPr>
          <w:rFonts w:eastAsiaTheme="minorHAnsi" w:cs="Arial"/>
          <w:sz w:val="20"/>
          <w:szCs w:val="20"/>
          <w:lang w:val="en-US"/>
        </w:rPr>
        <w:t>. (n.d.).</w:t>
      </w:r>
    </w:p>
    <w:p w14:paraId="4600818E"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Department of Human Settlements. (2009). </w:t>
      </w:r>
      <w:r w:rsidRPr="00D65E78">
        <w:rPr>
          <w:rFonts w:eastAsiaTheme="minorHAnsi" w:cs="Arial"/>
          <w:i/>
          <w:iCs/>
          <w:sz w:val="20"/>
          <w:szCs w:val="20"/>
          <w:lang w:val="en-US"/>
        </w:rPr>
        <w:t>Housing project process guide</w:t>
      </w:r>
      <w:r w:rsidRPr="00D65E78">
        <w:rPr>
          <w:rFonts w:eastAsiaTheme="minorHAnsi" w:cs="Arial"/>
          <w:sz w:val="20"/>
          <w:szCs w:val="20"/>
          <w:lang w:val="en-US"/>
        </w:rPr>
        <w:t xml:space="preserve"> (p. 52). Retrieved from http://www.dhs.gov.za/live/</w:t>
      </w:r>
    </w:p>
    <w:p w14:paraId="1C76F6DC"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Egypt slum upgrading. (n.d.).</w:t>
      </w:r>
    </w:p>
    <w:p w14:paraId="1AE91A56"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Eighty20, &amp; Melzer, I. (2007). </w:t>
      </w:r>
      <w:r w:rsidRPr="00D65E78">
        <w:rPr>
          <w:rFonts w:eastAsiaTheme="minorHAnsi" w:cs="Arial"/>
          <w:i/>
          <w:iCs/>
          <w:sz w:val="20"/>
          <w:szCs w:val="20"/>
          <w:lang w:val="en-US"/>
        </w:rPr>
        <w:t>Access to housing finance in the Financial Sector Charter target market</w:t>
      </w:r>
      <w:r w:rsidRPr="00D65E78">
        <w:rPr>
          <w:rFonts w:eastAsiaTheme="minorHAnsi" w:cs="Arial"/>
          <w:sz w:val="20"/>
          <w:szCs w:val="20"/>
          <w:lang w:val="en-US"/>
        </w:rPr>
        <w:t xml:space="preserve"> (p. 64). Retrieved from http://www.finmark.org.za/pages/Research-and-Publications/Research-Reports.aspx?randomID=1872482a-81cb-4d6b-82ef-98c524fd0400&amp;linkPath=7&amp;lID=7_1&amp;RandomID=8d3d75f5-1fc9-4b74-aa67-1754dfa8dbc6</w:t>
      </w:r>
    </w:p>
    <w:p w14:paraId="7BA4027F"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Enhancements to the National Norms and Standards for the Construction of Stand Alone Residential Dwellings and Engineering Services and Adjustment of the Housing Subsidy Quantum. (n.d.). Retrieved May 09, 2014, from http://green-cape.co.za/assets/Uploads/WC.pdf</w:t>
      </w:r>
    </w:p>
    <w:p w14:paraId="5E00B740"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lastRenderedPageBreak/>
        <w:t xml:space="preserve">Ferguson, B. (1999). Micro-finance of housing: a key to housing the low or moderate-income majority? </w:t>
      </w:r>
      <w:r w:rsidRPr="00D65E78">
        <w:rPr>
          <w:rFonts w:eastAsiaTheme="minorHAnsi" w:cs="Arial"/>
          <w:i/>
          <w:iCs/>
          <w:sz w:val="20"/>
          <w:szCs w:val="20"/>
          <w:lang w:val="en-US"/>
        </w:rPr>
        <w:t>Environment and Urbanization</w:t>
      </w:r>
      <w:r w:rsidRPr="00D65E78">
        <w:rPr>
          <w:rFonts w:eastAsiaTheme="minorHAnsi" w:cs="Arial"/>
          <w:sz w:val="20"/>
          <w:szCs w:val="20"/>
          <w:lang w:val="en-US"/>
        </w:rPr>
        <w:t xml:space="preserve">, </w:t>
      </w:r>
      <w:r w:rsidRPr="00D65E78">
        <w:rPr>
          <w:rFonts w:eastAsiaTheme="minorHAnsi" w:cs="Arial"/>
          <w:i/>
          <w:iCs/>
          <w:sz w:val="20"/>
          <w:szCs w:val="20"/>
          <w:lang w:val="en-US"/>
        </w:rPr>
        <w:t>11</w:t>
      </w:r>
      <w:r w:rsidRPr="00D65E78">
        <w:rPr>
          <w:rFonts w:eastAsiaTheme="minorHAnsi" w:cs="Arial"/>
          <w:sz w:val="20"/>
          <w:szCs w:val="20"/>
          <w:lang w:val="en-US"/>
        </w:rPr>
        <w:t>(1), 185–199. doi:10.1630/095624799101284733</w:t>
      </w:r>
    </w:p>
    <w:p w14:paraId="5C82E87E"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Ferguson, B. (2008). HOUSING MICROFINANCE : IS THE GLASS HALF EMPTY OR HALF FULL ?, </w:t>
      </w:r>
      <w:r w:rsidRPr="00D65E78">
        <w:rPr>
          <w:rFonts w:eastAsiaTheme="minorHAnsi" w:cs="Arial"/>
          <w:i/>
          <w:iCs/>
          <w:sz w:val="20"/>
          <w:szCs w:val="20"/>
          <w:lang w:val="en-US"/>
        </w:rPr>
        <w:t>4</w:t>
      </w:r>
      <w:r w:rsidRPr="00D65E78">
        <w:rPr>
          <w:rFonts w:eastAsiaTheme="minorHAnsi" w:cs="Arial"/>
          <w:sz w:val="20"/>
          <w:szCs w:val="20"/>
          <w:lang w:val="en-US"/>
        </w:rPr>
        <w:t>(2), 1–19.</w:t>
      </w:r>
    </w:p>
    <w:p w14:paraId="251E063D"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Ferguson, B., &amp; Navarrete, J. (2003). A financial framework for reducing slums: lessons from experience in Latin America. </w:t>
      </w:r>
      <w:r w:rsidRPr="00D65E78">
        <w:rPr>
          <w:rFonts w:eastAsiaTheme="minorHAnsi" w:cs="Arial"/>
          <w:i/>
          <w:iCs/>
          <w:sz w:val="20"/>
          <w:szCs w:val="20"/>
          <w:lang w:val="en-US"/>
        </w:rPr>
        <w:t>Environment and Urbanization</w:t>
      </w:r>
      <w:r w:rsidRPr="00D65E78">
        <w:rPr>
          <w:rFonts w:eastAsiaTheme="minorHAnsi" w:cs="Arial"/>
          <w:sz w:val="20"/>
          <w:szCs w:val="20"/>
          <w:lang w:val="en-US"/>
        </w:rPr>
        <w:t xml:space="preserve">, </w:t>
      </w:r>
      <w:r w:rsidRPr="00D65E78">
        <w:rPr>
          <w:rFonts w:eastAsiaTheme="minorHAnsi" w:cs="Arial"/>
          <w:i/>
          <w:iCs/>
          <w:sz w:val="20"/>
          <w:szCs w:val="20"/>
          <w:lang w:val="en-US"/>
        </w:rPr>
        <w:t>15</w:t>
      </w:r>
      <w:r w:rsidRPr="00D65E78">
        <w:rPr>
          <w:rFonts w:eastAsiaTheme="minorHAnsi" w:cs="Arial"/>
          <w:sz w:val="20"/>
          <w:szCs w:val="20"/>
          <w:lang w:val="en-US"/>
        </w:rPr>
        <w:t>(2), 201–215. doi:10.1630/095624703101286646</w:t>
      </w:r>
    </w:p>
    <w:p w14:paraId="0BE20B2F"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Ferguson, B., &amp; Smets, P. (2010). Finance for incremental housing; current status and prospects for expansion. </w:t>
      </w:r>
      <w:r w:rsidRPr="00D65E78">
        <w:rPr>
          <w:rFonts w:eastAsiaTheme="minorHAnsi" w:cs="Arial"/>
          <w:i/>
          <w:iCs/>
          <w:sz w:val="20"/>
          <w:szCs w:val="20"/>
          <w:lang w:val="en-US"/>
        </w:rPr>
        <w:t>Habitat International</w:t>
      </w:r>
      <w:r w:rsidRPr="00D65E78">
        <w:rPr>
          <w:rFonts w:eastAsiaTheme="minorHAnsi" w:cs="Arial"/>
          <w:sz w:val="20"/>
          <w:szCs w:val="20"/>
          <w:lang w:val="en-US"/>
        </w:rPr>
        <w:t xml:space="preserve">, </w:t>
      </w:r>
      <w:r w:rsidRPr="00D65E78">
        <w:rPr>
          <w:rFonts w:eastAsiaTheme="minorHAnsi" w:cs="Arial"/>
          <w:i/>
          <w:iCs/>
          <w:sz w:val="20"/>
          <w:szCs w:val="20"/>
          <w:lang w:val="en-US"/>
        </w:rPr>
        <w:t>34</w:t>
      </w:r>
      <w:r w:rsidRPr="00D65E78">
        <w:rPr>
          <w:rFonts w:eastAsiaTheme="minorHAnsi" w:cs="Arial"/>
          <w:sz w:val="20"/>
          <w:szCs w:val="20"/>
          <w:lang w:val="en-US"/>
        </w:rPr>
        <w:t>(3), 288–298. doi:10.1016/j.habitatint.2009.11.008</w:t>
      </w:r>
    </w:p>
    <w:p w14:paraId="79D3C650"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Financial &amp; Fiscal Commission. (2012). </w:t>
      </w:r>
      <w:r w:rsidRPr="00D65E78">
        <w:rPr>
          <w:rFonts w:eastAsiaTheme="minorHAnsi" w:cs="Arial"/>
          <w:i/>
          <w:iCs/>
          <w:sz w:val="20"/>
          <w:szCs w:val="20"/>
          <w:lang w:val="en-US"/>
        </w:rPr>
        <w:t>Building an Inclusionary Housing Market: Shifting the Paradigm for Housing Delivery in South Africa</w:t>
      </w:r>
      <w:r w:rsidRPr="00D65E78">
        <w:rPr>
          <w:rFonts w:eastAsiaTheme="minorHAnsi" w:cs="Arial"/>
          <w:sz w:val="20"/>
          <w:szCs w:val="20"/>
          <w:lang w:val="en-US"/>
        </w:rPr>
        <w:t xml:space="preserve"> (p. 43). Tshwane. Retrieved from N/A</w:t>
      </w:r>
    </w:p>
    <w:p w14:paraId="4C6BECC3"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Gardner, D. (2003). </w:t>
      </w:r>
      <w:r w:rsidRPr="00D65E78">
        <w:rPr>
          <w:rFonts w:eastAsiaTheme="minorHAnsi" w:cs="Arial"/>
          <w:i/>
          <w:iCs/>
          <w:sz w:val="20"/>
          <w:szCs w:val="20"/>
          <w:lang w:val="en-US"/>
        </w:rPr>
        <w:t>Getting South Africans Under Shelter</w:t>
      </w:r>
      <w:r w:rsidRPr="00D65E78">
        <w:rPr>
          <w:rFonts w:eastAsiaTheme="minorHAnsi" w:cs="Arial"/>
          <w:sz w:val="20"/>
          <w:szCs w:val="20"/>
          <w:lang w:val="en-US"/>
        </w:rPr>
        <w:t xml:space="preserve"> (p. 71).</w:t>
      </w:r>
    </w:p>
    <w:p w14:paraId="6366DEDD"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Gardner, D. (2006). </w:t>
      </w:r>
      <w:r w:rsidRPr="00D65E78">
        <w:rPr>
          <w:rFonts w:eastAsiaTheme="minorHAnsi" w:cs="Arial"/>
          <w:i/>
          <w:iCs/>
          <w:sz w:val="20"/>
          <w:szCs w:val="20"/>
          <w:lang w:val="en-US"/>
        </w:rPr>
        <w:t>Financing construction entrepreneurs</w:t>
      </w:r>
      <w:r w:rsidRPr="00D65E78">
        <w:rPr>
          <w:rFonts w:eastAsiaTheme="minorHAnsi" w:cs="Arial"/>
          <w:sz w:val="20"/>
          <w:szCs w:val="20"/>
          <w:lang w:val="en-US"/>
        </w:rPr>
        <w:t xml:space="preserve"> (p. 18). Retrieved from http://www.finmark.org.za/pages/Research-and-Publications/Research-Reports.aspx?randomID=1872482a-81cb-4d6b-82ef-98c524fd0400&amp;linkPath=7&amp;lID=7_1&amp;RandomID=8d3d75f5-1fc9-4b74-aa67-1754dfa8dbc6</w:t>
      </w:r>
    </w:p>
    <w:p w14:paraId="7C809EF2"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Gardner, D. (2008). </w:t>
      </w:r>
      <w:r w:rsidRPr="00D65E78">
        <w:rPr>
          <w:rFonts w:eastAsiaTheme="minorHAnsi" w:cs="Arial"/>
          <w:i/>
          <w:iCs/>
          <w:sz w:val="20"/>
          <w:szCs w:val="20"/>
          <w:lang w:val="en-US"/>
        </w:rPr>
        <w:t>FinMark Trust and HIVOS Foundation Housing microfinance in South Africa: Status, challenges and prospects</w:t>
      </w:r>
      <w:r w:rsidRPr="00D65E78">
        <w:rPr>
          <w:rFonts w:eastAsiaTheme="minorHAnsi" w:cs="Arial"/>
          <w:sz w:val="20"/>
          <w:szCs w:val="20"/>
          <w:lang w:val="en-US"/>
        </w:rPr>
        <w:t xml:space="preserve"> (p. 58). Retrieved from http://www.finmark.org.za/pages/Research-and-Publications/Research-Reports.aspx?randomID=1872482a-81cb-4d6b-82ef-98c524fd0400&amp;linkPath=7&amp;lID=7_1&amp;RandomID=8d3d75f5-1fc9-4b74-aa67-1754dfa8dbc6</w:t>
      </w:r>
    </w:p>
    <w:p w14:paraId="6D5EA1DF"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Gardner, D. J. (2009). </w:t>
      </w:r>
      <w:r w:rsidRPr="00D65E78">
        <w:rPr>
          <w:rFonts w:eastAsiaTheme="minorHAnsi" w:cs="Arial"/>
          <w:i/>
          <w:iCs/>
          <w:sz w:val="20"/>
          <w:szCs w:val="20"/>
          <w:lang w:val="en-US"/>
        </w:rPr>
        <w:t>Strategy for increasing supply of small-scale private dwelling rental in South Africa - REPORT</w:t>
      </w:r>
      <w:r w:rsidRPr="00D65E78">
        <w:rPr>
          <w:rFonts w:eastAsiaTheme="minorHAnsi" w:cs="Arial"/>
          <w:sz w:val="20"/>
          <w:szCs w:val="20"/>
          <w:lang w:val="en-US"/>
        </w:rPr>
        <w:t xml:space="preserve"> (p. 31). Retrieved from http://www.urbanlandmark.org.za/research/x32.php</w:t>
      </w:r>
    </w:p>
    <w:p w14:paraId="6274E0DF"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Gardner, D. J. (2010). </w:t>
      </w:r>
      <w:r w:rsidRPr="00D65E78">
        <w:rPr>
          <w:rFonts w:eastAsiaTheme="minorHAnsi" w:cs="Arial"/>
          <w:i/>
          <w:iCs/>
          <w:sz w:val="20"/>
          <w:szCs w:val="20"/>
          <w:lang w:val="en-US"/>
        </w:rPr>
        <w:t>Small-scale private rental: a strategy for increasing supply in South Africa - BOOKLET</w:t>
      </w:r>
      <w:r w:rsidRPr="00D65E78">
        <w:rPr>
          <w:rFonts w:eastAsiaTheme="minorHAnsi" w:cs="Arial"/>
          <w:sz w:val="20"/>
          <w:szCs w:val="20"/>
          <w:lang w:val="en-US"/>
        </w:rPr>
        <w:t xml:space="preserve"> (p. 38). Tshwane. Retrieved from http://www.urbanlandmark.org.za/downloads/small_scale_rental_booklet_2010.pdf</w:t>
      </w:r>
    </w:p>
    <w:p w14:paraId="38E3A467"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Gardner, David; Rubin, M. (2013a). </w:t>
      </w:r>
      <w:r w:rsidRPr="00D65E78">
        <w:rPr>
          <w:rFonts w:eastAsiaTheme="minorHAnsi" w:cs="Arial"/>
          <w:i/>
          <w:iCs/>
          <w:sz w:val="20"/>
          <w:szCs w:val="20"/>
          <w:lang w:val="en-US"/>
        </w:rPr>
        <w:t>Backyarding Presentation: Isandla &amp; SALGA</w:t>
      </w:r>
      <w:r w:rsidRPr="00D65E78">
        <w:rPr>
          <w:rFonts w:eastAsiaTheme="minorHAnsi" w:cs="Arial"/>
          <w:sz w:val="20"/>
          <w:szCs w:val="20"/>
          <w:lang w:val="en-US"/>
        </w:rPr>
        <w:t>.</w:t>
      </w:r>
    </w:p>
    <w:p w14:paraId="1026D1A5"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Gardner, David; Rubin, M. (2013b). </w:t>
      </w:r>
      <w:r w:rsidRPr="00D65E78">
        <w:rPr>
          <w:rFonts w:eastAsiaTheme="minorHAnsi" w:cs="Arial"/>
          <w:i/>
          <w:iCs/>
          <w:sz w:val="20"/>
          <w:szCs w:val="20"/>
          <w:lang w:val="en-US"/>
        </w:rPr>
        <w:t>SALGA - Developing a Response to Backyarding (Final)</w:t>
      </w:r>
      <w:r w:rsidRPr="00D65E78">
        <w:rPr>
          <w:rFonts w:eastAsiaTheme="minorHAnsi" w:cs="Arial"/>
          <w:sz w:val="20"/>
          <w:szCs w:val="20"/>
          <w:lang w:val="en-US"/>
        </w:rPr>
        <w:t>.</w:t>
      </w:r>
    </w:p>
    <w:p w14:paraId="3C4572B2"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Goebel, A. (2007). Sustainable urban development? Low-cost housing challenges in South Africa. </w:t>
      </w:r>
      <w:r w:rsidRPr="00D65E78">
        <w:rPr>
          <w:rFonts w:eastAsiaTheme="minorHAnsi" w:cs="Arial"/>
          <w:i/>
          <w:iCs/>
          <w:sz w:val="20"/>
          <w:szCs w:val="20"/>
          <w:lang w:val="en-US"/>
        </w:rPr>
        <w:t>Habitat International</w:t>
      </w:r>
      <w:r w:rsidRPr="00D65E78">
        <w:rPr>
          <w:rFonts w:eastAsiaTheme="minorHAnsi" w:cs="Arial"/>
          <w:sz w:val="20"/>
          <w:szCs w:val="20"/>
          <w:lang w:val="en-US"/>
        </w:rPr>
        <w:t xml:space="preserve">, </w:t>
      </w:r>
      <w:r w:rsidRPr="00D65E78">
        <w:rPr>
          <w:rFonts w:eastAsiaTheme="minorHAnsi" w:cs="Arial"/>
          <w:i/>
          <w:iCs/>
          <w:sz w:val="20"/>
          <w:szCs w:val="20"/>
          <w:lang w:val="en-US"/>
        </w:rPr>
        <w:t>31</w:t>
      </w:r>
      <w:r w:rsidRPr="00D65E78">
        <w:rPr>
          <w:rFonts w:eastAsiaTheme="minorHAnsi" w:cs="Arial"/>
          <w:sz w:val="20"/>
          <w:szCs w:val="20"/>
          <w:lang w:val="en-US"/>
        </w:rPr>
        <w:t>(3-4), 291–302. doi:10.1016/j.habitatint.2007.03.001</w:t>
      </w:r>
    </w:p>
    <w:p w14:paraId="4F4DE2A4"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Gordon, R., Hudson, J., &amp; Nell, M. (2006). </w:t>
      </w:r>
      <w:r w:rsidRPr="00D65E78">
        <w:rPr>
          <w:rFonts w:eastAsiaTheme="minorHAnsi" w:cs="Arial"/>
          <w:i/>
          <w:iCs/>
          <w:sz w:val="20"/>
          <w:szCs w:val="20"/>
          <w:lang w:val="en-US"/>
        </w:rPr>
        <w:t>Research Report: Consolidated Analysis of Research into Small Scale Landlords and Home Based Entrepreneurs</w:t>
      </w:r>
      <w:r w:rsidRPr="00D65E78">
        <w:rPr>
          <w:rFonts w:eastAsiaTheme="minorHAnsi" w:cs="Arial"/>
          <w:sz w:val="20"/>
          <w:szCs w:val="20"/>
          <w:lang w:val="en-US"/>
        </w:rPr>
        <w:t>.</w:t>
      </w:r>
    </w:p>
    <w:p w14:paraId="79FC8E75"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Greene, M., &amp; Rojas, E. (2008). Incremental construction: a strategy to facilitate access to housing. </w:t>
      </w:r>
      <w:r w:rsidRPr="00D65E78">
        <w:rPr>
          <w:rFonts w:eastAsiaTheme="minorHAnsi" w:cs="Arial"/>
          <w:i/>
          <w:iCs/>
          <w:sz w:val="20"/>
          <w:szCs w:val="20"/>
          <w:lang w:val="en-US"/>
        </w:rPr>
        <w:t>Environment and Urbanization</w:t>
      </w:r>
      <w:r w:rsidRPr="00D65E78">
        <w:rPr>
          <w:rFonts w:eastAsiaTheme="minorHAnsi" w:cs="Arial"/>
          <w:sz w:val="20"/>
          <w:szCs w:val="20"/>
          <w:lang w:val="en-US"/>
        </w:rPr>
        <w:t xml:space="preserve">, </w:t>
      </w:r>
      <w:r w:rsidRPr="00D65E78">
        <w:rPr>
          <w:rFonts w:eastAsiaTheme="minorHAnsi" w:cs="Arial"/>
          <w:i/>
          <w:iCs/>
          <w:sz w:val="20"/>
          <w:szCs w:val="20"/>
          <w:lang w:val="en-US"/>
        </w:rPr>
        <w:t>20</w:t>
      </w:r>
      <w:r w:rsidRPr="00D65E78">
        <w:rPr>
          <w:rFonts w:eastAsiaTheme="minorHAnsi" w:cs="Arial"/>
          <w:sz w:val="20"/>
          <w:szCs w:val="20"/>
          <w:lang w:val="en-US"/>
        </w:rPr>
        <w:t>(1), 89–108. doi:10.1177/0956247808089150</w:t>
      </w:r>
    </w:p>
    <w:p w14:paraId="68F21962"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Habitat For Humanity. (2014). </w:t>
      </w:r>
      <w:r w:rsidRPr="00D65E78">
        <w:rPr>
          <w:rFonts w:eastAsiaTheme="minorHAnsi" w:cs="Arial"/>
          <w:i/>
          <w:iCs/>
          <w:sz w:val="20"/>
          <w:szCs w:val="20"/>
          <w:lang w:val="en-US"/>
        </w:rPr>
        <w:t>Step by Step: Supporting Incremental Building Through Housing Microfinance</w:t>
      </w:r>
      <w:r w:rsidRPr="00D65E78">
        <w:rPr>
          <w:rFonts w:eastAsiaTheme="minorHAnsi" w:cs="Arial"/>
          <w:sz w:val="20"/>
          <w:szCs w:val="20"/>
          <w:lang w:val="en-US"/>
        </w:rPr>
        <w:t xml:space="preserve"> (p. 32).</w:t>
      </w:r>
    </w:p>
    <w:p w14:paraId="2AC4C09C"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lastRenderedPageBreak/>
        <w:t xml:space="preserve">Hendler, B. P., &amp; Thompson-Smeddle, L. (2008). </w:t>
      </w:r>
      <w:r w:rsidRPr="00D65E78">
        <w:rPr>
          <w:rFonts w:eastAsiaTheme="minorHAnsi" w:cs="Arial"/>
          <w:i/>
          <w:iCs/>
          <w:sz w:val="20"/>
          <w:szCs w:val="20"/>
          <w:lang w:val="en-US"/>
        </w:rPr>
        <w:t>Sustainable Housing</w:t>
      </w:r>
      <w:r w:rsidRPr="00D65E78">
        <w:rPr>
          <w:rFonts w:eastAsiaTheme="minorHAnsi" w:cs="Arial"/>
          <w:sz w:val="20"/>
          <w:szCs w:val="20"/>
          <w:lang w:val="en-US"/>
        </w:rPr>
        <w:t xml:space="preserve"> (pp. 7–27).</w:t>
      </w:r>
    </w:p>
    <w:p w14:paraId="591DEBC0"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Hewson, B. C. (2011). Urban Economics - Building Assets for the Urban Poor, 1–64.</w:t>
      </w:r>
    </w:p>
    <w:p w14:paraId="6BE9FEBD"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Hoek-smit, M. C. (2006). Housing Finance and the Role of Government : Incentives without Distortions The Housing Production Chain : As Strong as Its Weakest Link The Housing Finance Link Was the Weakest in the Past, 1–17.</w:t>
      </w:r>
    </w:p>
    <w:p w14:paraId="0ADE7846"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Housing Development Agency. (n.d.). </w:t>
      </w:r>
      <w:r w:rsidRPr="00D65E78">
        <w:rPr>
          <w:rFonts w:eastAsiaTheme="minorHAnsi" w:cs="Arial"/>
          <w:i/>
          <w:iCs/>
          <w:sz w:val="20"/>
          <w:szCs w:val="20"/>
          <w:lang w:val="en-US"/>
        </w:rPr>
        <w:t>Implementation of emergency housing</w:t>
      </w:r>
      <w:r w:rsidRPr="00D65E78">
        <w:rPr>
          <w:rFonts w:eastAsiaTheme="minorHAnsi" w:cs="Arial"/>
          <w:sz w:val="20"/>
          <w:szCs w:val="20"/>
          <w:lang w:val="en-US"/>
        </w:rPr>
        <w:t>.</w:t>
      </w:r>
    </w:p>
    <w:p w14:paraId="13B8C037"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Huchzermeyer, M. (2009). The struggle for in situ upgrading of informal settlements: a reflection on cases in Gauteng. </w:t>
      </w:r>
      <w:r w:rsidRPr="00D65E78">
        <w:rPr>
          <w:rFonts w:eastAsiaTheme="minorHAnsi" w:cs="Arial"/>
          <w:i/>
          <w:iCs/>
          <w:sz w:val="20"/>
          <w:szCs w:val="20"/>
          <w:lang w:val="en-US"/>
        </w:rPr>
        <w:t>Development Southern Africa</w:t>
      </w:r>
      <w:r w:rsidRPr="00D65E78">
        <w:rPr>
          <w:rFonts w:eastAsiaTheme="minorHAnsi" w:cs="Arial"/>
          <w:sz w:val="20"/>
          <w:szCs w:val="20"/>
          <w:lang w:val="en-US"/>
        </w:rPr>
        <w:t xml:space="preserve">, </w:t>
      </w:r>
      <w:r w:rsidRPr="00D65E78">
        <w:rPr>
          <w:rFonts w:eastAsiaTheme="minorHAnsi" w:cs="Arial"/>
          <w:i/>
          <w:iCs/>
          <w:sz w:val="20"/>
          <w:szCs w:val="20"/>
          <w:lang w:val="en-US"/>
        </w:rPr>
        <w:t>26</w:t>
      </w:r>
      <w:r w:rsidRPr="00D65E78">
        <w:rPr>
          <w:rFonts w:eastAsiaTheme="minorHAnsi" w:cs="Arial"/>
          <w:sz w:val="20"/>
          <w:szCs w:val="20"/>
          <w:lang w:val="en-US"/>
        </w:rPr>
        <w:t>(1), 59–73. doi:10.1080/03768350802640099</w:t>
      </w:r>
    </w:p>
    <w:p w14:paraId="31B2CCF5"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Human, S., &amp; Citylab, S. (2013). Incremental housing : research paper ( final ), (March).</w:t>
      </w:r>
    </w:p>
    <w:p w14:paraId="336D97B7"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Human Settlements Eastern Cape. (2012). </w:t>
      </w:r>
      <w:r w:rsidRPr="00D65E78">
        <w:rPr>
          <w:rFonts w:eastAsiaTheme="minorHAnsi" w:cs="Arial"/>
          <w:i/>
          <w:iCs/>
          <w:sz w:val="20"/>
          <w:szCs w:val="20"/>
          <w:lang w:val="en-US"/>
        </w:rPr>
        <w:t>Implementation of the Rural Household Housing Subsidy Voucher Scheme (pilot) Presentation to Portfolio Committee</w:t>
      </w:r>
      <w:r w:rsidRPr="00D65E78">
        <w:rPr>
          <w:rFonts w:eastAsiaTheme="minorHAnsi" w:cs="Arial"/>
          <w:sz w:val="20"/>
          <w:szCs w:val="20"/>
          <w:lang w:val="en-US"/>
        </w:rPr>
        <w:t xml:space="preserve"> (p. 25).</w:t>
      </w:r>
    </w:p>
    <w:p w14:paraId="0E62109D"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Irurah, D. K. (n.d.). Agenda for Sustainable Construction in Africa. In </w:t>
      </w:r>
      <w:r w:rsidRPr="00D65E78">
        <w:rPr>
          <w:rFonts w:eastAsiaTheme="minorHAnsi" w:cs="Arial"/>
          <w:i/>
          <w:iCs/>
          <w:sz w:val="20"/>
          <w:szCs w:val="20"/>
          <w:lang w:val="en-US"/>
        </w:rPr>
        <w:t>Agenda 21 for Sustainable Construction in Developing Countries</w:t>
      </w:r>
      <w:r w:rsidRPr="00D65E78">
        <w:rPr>
          <w:rFonts w:eastAsiaTheme="minorHAnsi" w:cs="Arial"/>
          <w:sz w:val="20"/>
          <w:szCs w:val="20"/>
          <w:lang w:val="en-US"/>
        </w:rPr>
        <w:t xml:space="preserve"> (pp. 1–24).</w:t>
      </w:r>
    </w:p>
    <w:p w14:paraId="6324154C"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Kihato, M., &amp; Rust, K. (2010). </w:t>
      </w:r>
      <w:r w:rsidRPr="00D65E78">
        <w:rPr>
          <w:rFonts w:eastAsiaTheme="minorHAnsi" w:cs="Arial"/>
          <w:i/>
          <w:iCs/>
          <w:sz w:val="20"/>
          <w:szCs w:val="20"/>
          <w:lang w:val="en-US"/>
        </w:rPr>
        <w:t>Housing finance in Africa: 2010 Yearbook</w:t>
      </w:r>
      <w:r w:rsidRPr="00D65E78">
        <w:rPr>
          <w:rFonts w:eastAsiaTheme="minorHAnsi" w:cs="Arial"/>
          <w:sz w:val="20"/>
          <w:szCs w:val="20"/>
          <w:lang w:val="en-US"/>
        </w:rPr>
        <w:t xml:space="preserve"> (p. 65). Retrieved from http://www.finmark.org.za/pages/Research-and-Publications/Research-Reports.aspx?randomID=1872482a-81cb-4d6b-82ef-98c524fd0400&amp;linkPath=7&amp;lID=7_1</w:t>
      </w:r>
    </w:p>
    <w:p w14:paraId="7A5202A3"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Landman, K., &amp; Napier, M. (2010). Waiting for a house or building your own? Reconsidering state provision, aided and unaided self-help in South Africa. </w:t>
      </w:r>
      <w:r w:rsidRPr="00D65E78">
        <w:rPr>
          <w:rFonts w:eastAsiaTheme="minorHAnsi" w:cs="Arial"/>
          <w:i/>
          <w:iCs/>
          <w:sz w:val="20"/>
          <w:szCs w:val="20"/>
          <w:lang w:val="en-US"/>
        </w:rPr>
        <w:t>Habitat International</w:t>
      </w:r>
      <w:r w:rsidRPr="00D65E78">
        <w:rPr>
          <w:rFonts w:eastAsiaTheme="minorHAnsi" w:cs="Arial"/>
          <w:sz w:val="20"/>
          <w:szCs w:val="20"/>
          <w:lang w:val="en-US"/>
        </w:rPr>
        <w:t xml:space="preserve">, </w:t>
      </w:r>
      <w:r w:rsidRPr="00D65E78">
        <w:rPr>
          <w:rFonts w:eastAsiaTheme="minorHAnsi" w:cs="Arial"/>
          <w:i/>
          <w:iCs/>
          <w:sz w:val="20"/>
          <w:szCs w:val="20"/>
          <w:lang w:val="en-US"/>
        </w:rPr>
        <w:t>34</w:t>
      </w:r>
      <w:r w:rsidRPr="00D65E78">
        <w:rPr>
          <w:rFonts w:eastAsiaTheme="minorHAnsi" w:cs="Arial"/>
          <w:sz w:val="20"/>
          <w:szCs w:val="20"/>
          <w:lang w:val="en-US"/>
        </w:rPr>
        <w:t>(3), 299–305. doi:10.1016/j.habitatint.2009.11.015</w:t>
      </w:r>
    </w:p>
    <w:p w14:paraId="373C14FC"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Lemanski, C. (2009). Augmented informality: South Africa’s backyard dwellings as a by-product of formal housing policies. </w:t>
      </w:r>
      <w:r w:rsidRPr="00D65E78">
        <w:rPr>
          <w:rFonts w:eastAsiaTheme="minorHAnsi" w:cs="Arial"/>
          <w:i/>
          <w:iCs/>
          <w:sz w:val="20"/>
          <w:szCs w:val="20"/>
          <w:lang w:val="en-US"/>
        </w:rPr>
        <w:t>Habitat International</w:t>
      </w:r>
      <w:r w:rsidRPr="00D65E78">
        <w:rPr>
          <w:rFonts w:eastAsiaTheme="minorHAnsi" w:cs="Arial"/>
          <w:sz w:val="20"/>
          <w:szCs w:val="20"/>
          <w:lang w:val="en-US"/>
        </w:rPr>
        <w:t xml:space="preserve">, </w:t>
      </w:r>
      <w:r w:rsidRPr="00D65E78">
        <w:rPr>
          <w:rFonts w:eastAsiaTheme="minorHAnsi" w:cs="Arial"/>
          <w:i/>
          <w:iCs/>
          <w:sz w:val="20"/>
          <w:szCs w:val="20"/>
          <w:lang w:val="en-US"/>
        </w:rPr>
        <w:t>33</w:t>
      </w:r>
      <w:r w:rsidRPr="00D65E78">
        <w:rPr>
          <w:rFonts w:eastAsiaTheme="minorHAnsi" w:cs="Arial"/>
          <w:sz w:val="20"/>
          <w:szCs w:val="20"/>
          <w:lang w:val="en-US"/>
        </w:rPr>
        <w:t>(4), 472–484. Retrieved from http://discovery.ucl.ac.uk/1321097/</w:t>
      </w:r>
    </w:p>
    <w:p w14:paraId="16FDE56F"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Marais, L., Ntema, J. and Venter, A. (2008). State control in self-help housing: evidence from South Africa. In </w:t>
      </w:r>
      <w:r w:rsidRPr="00D65E78">
        <w:rPr>
          <w:rFonts w:eastAsiaTheme="minorHAnsi" w:cs="Arial"/>
          <w:i/>
          <w:iCs/>
          <w:sz w:val="20"/>
          <w:szCs w:val="20"/>
          <w:lang w:val="en-US"/>
        </w:rPr>
        <w:t>Paper presented at the European Housing Network Research Conference, Ireland, 6-9 July 2008</w:t>
      </w:r>
      <w:r w:rsidRPr="00D65E78">
        <w:rPr>
          <w:rFonts w:eastAsiaTheme="minorHAnsi" w:cs="Arial"/>
          <w:sz w:val="20"/>
          <w:szCs w:val="20"/>
          <w:lang w:val="en-US"/>
        </w:rPr>
        <w:t xml:space="preserve"> (Vol. 27).</w:t>
      </w:r>
    </w:p>
    <w:p w14:paraId="25579DA8"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Mayo, S. K., &amp; Gross, D. J. (1987). Sites and Services-and Sub ies : iLe Economics of Low-Cost Housing in Developing Countries, </w:t>
      </w:r>
      <w:r w:rsidRPr="00D65E78">
        <w:rPr>
          <w:rFonts w:eastAsiaTheme="minorHAnsi" w:cs="Arial"/>
          <w:i/>
          <w:iCs/>
          <w:sz w:val="20"/>
          <w:szCs w:val="20"/>
          <w:lang w:val="en-US"/>
        </w:rPr>
        <w:t>1</w:t>
      </w:r>
      <w:r w:rsidRPr="00D65E78">
        <w:rPr>
          <w:rFonts w:eastAsiaTheme="minorHAnsi" w:cs="Arial"/>
          <w:sz w:val="20"/>
          <w:szCs w:val="20"/>
          <w:lang w:val="en-US"/>
        </w:rPr>
        <w:t>.</w:t>
      </w:r>
    </w:p>
    <w:p w14:paraId="2D47F0B4"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Melzer, I. (2011). </w:t>
      </w:r>
      <w:r w:rsidRPr="00D65E78">
        <w:rPr>
          <w:rFonts w:eastAsiaTheme="minorHAnsi" w:cs="Arial"/>
          <w:i/>
          <w:iCs/>
          <w:sz w:val="20"/>
          <w:szCs w:val="20"/>
          <w:lang w:val="en-US"/>
        </w:rPr>
        <w:t>Access to housing finance in South Africa : a review of the past 5 years. Prepared for the FinMark Trust and the Centre for Affordable Housing Finance in Africa</w:t>
      </w:r>
      <w:r w:rsidRPr="00D65E78">
        <w:rPr>
          <w:rFonts w:eastAsiaTheme="minorHAnsi" w:cs="Arial"/>
          <w:sz w:val="20"/>
          <w:szCs w:val="20"/>
          <w:lang w:val="en-US"/>
        </w:rPr>
        <w:t xml:space="preserve">. </w:t>
      </w:r>
      <w:r w:rsidRPr="00D65E78">
        <w:rPr>
          <w:rFonts w:eastAsiaTheme="minorHAnsi" w:cs="Arial"/>
          <w:i/>
          <w:iCs/>
          <w:sz w:val="20"/>
          <w:szCs w:val="20"/>
          <w:lang w:val="en-US"/>
        </w:rPr>
        <w:t>Labour</w:t>
      </w:r>
      <w:r w:rsidRPr="00D65E78">
        <w:rPr>
          <w:rFonts w:eastAsiaTheme="minorHAnsi" w:cs="Arial"/>
          <w:sz w:val="20"/>
          <w:szCs w:val="20"/>
          <w:lang w:val="en-US"/>
        </w:rPr>
        <w:t>. Retrieved from http://www.auhf.co.za/09-2011/Day 2 Access to Housing Finance in SA Illana Melzer.pdf</w:t>
      </w:r>
    </w:p>
    <w:p w14:paraId="3BE9E57C"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Misselhorn, M. (2008). </w:t>
      </w:r>
      <w:r w:rsidRPr="00D65E78">
        <w:rPr>
          <w:rFonts w:eastAsiaTheme="minorHAnsi" w:cs="Arial"/>
          <w:i/>
          <w:iCs/>
          <w:sz w:val="20"/>
          <w:szCs w:val="20"/>
          <w:lang w:val="en-US"/>
        </w:rPr>
        <w:t>Position Paper on Informal Settlements Upgrading: Part of a Strategy for the Second Economy for the Office of the Presidency PRESIDENCY</w:t>
      </w:r>
      <w:r w:rsidRPr="00D65E78">
        <w:rPr>
          <w:rFonts w:eastAsiaTheme="minorHAnsi" w:cs="Arial"/>
          <w:sz w:val="20"/>
          <w:szCs w:val="20"/>
          <w:lang w:val="en-US"/>
        </w:rPr>
        <w:t xml:space="preserve"> (pp. 1–54).</w:t>
      </w:r>
    </w:p>
    <w:p w14:paraId="17159373"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Mwai, A. (2008). Do’s and Don'ts of Financing Slum Upgrading (p. 9). UN-HABITAT Slum Upgrading Facility.</w:t>
      </w:r>
    </w:p>
    <w:p w14:paraId="31C66E9B"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lastRenderedPageBreak/>
        <w:t>Napier, M. (1998). Core Housing and Residents’ Impacts. ??, 391–417.</w:t>
      </w:r>
    </w:p>
    <w:p w14:paraId="248E0342"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Napier, M. (2002). The origins and spread of core housing.</w:t>
      </w:r>
    </w:p>
    <w:p w14:paraId="771FB15F"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National Department of Human Settlements. (2009). Rural Housing Code (Part 3), </w:t>
      </w:r>
      <w:r w:rsidRPr="00D65E78">
        <w:rPr>
          <w:rFonts w:eastAsiaTheme="minorHAnsi" w:cs="Arial"/>
          <w:i/>
          <w:iCs/>
          <w:sz w:val="20"/>
          <w:szCs w:val="20"/>
          <w:lang w:val="en-US"/>
        </w:rPr>
        <w:t>3</w:t>
      </w:r>
      <w:r w:rsidRPr="00D65E78">
        <w:rPr>
          <w:rFonts w:eastAsiaTheme="minorHAnsi" w:cs="Arial"/>
          <w:sz w:val="20"/>
          <w:szCs w:val="20"/>
          <w:lang w:val="en-US"/>
        </w:rPr>
        <w:t>, 1–5.</w:t>
      </w:r>
    </w:p>
    <w:p w14:paraId="15E484C6"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National Department of Human Settlements. (2011). </w:t>
      </w:r>
      <w:r w:rsidRPr="00D65E78">
        <w:rPr>
          <w:rFonts w:eastAsiaTheme="minorHAnsi" w:cs="Arial"/>
          <w:i/>
          <w:iCs/>
          <w:sz w:val="20"/>
          <w:szCs w:val="20"/>
          <w:lang w:val="en-US"/>
        </w:rPr>
        <w:t>Urban Settlements Development Grant - Policy Framework</w:t>
      </w:r>
      <w:r w:rsidRPr="00D65E78">
        <w:rPr>
          <w:rFonts w:eastAsiaTheme="minorHAnsi" w:cs="Arial"/>
          <w:sz w:val="20"/>
          <w:szCs w:val="20"/>
          <w:lang w:val="en-US"/>
        </w:rPr>
        <w:t xml:space="preserve"> (pp. 1–60).</w:t>
      </w:r>
    </w:p>
    <w:p w14:paraId="7AC64BC2"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National Department of Human Settlements. Department of Human Settlements - Subsidy Quantums (2013).</w:t>
      </w:r>
    </w:p>
    <w:p w14:paraId="24555BA5"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National Department of Human Settlements. (2013b). </w:t>
      </w:r>
      <w:r w:rsidRPr="00D65E78">
        <w:rPr>
          <w:rFonts w:eastAsiaTheme="minorHAnsi" w:cs="Arial"/>
          <w:i/>
          <w:iCs/>
          <w:sz w:val="20"/>
          <w:szCs w:val="20"/>
          <w:lang w:val="en-US"/>
        </w:rPr>
        <w:t>USDG Performance Evaluation Report</w:t>
      </w:r>
      <w:r w:rsidRPr="00D65E78">
        <w:rPr>
          <w:rFonts w:eastAsiaTheme="minorHAnsi" w:cs="Arial"/>
          <w:sz w:val="20"/>
          <w:szCs w:val="20"/>
          <w:lang w:val="en-US"/>
        </w:rPr>
        <w:t>.</w:t>
      </w:r>
    </w:p>
    <w:p w14:paraId="79A9A0AE"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National Department of Human Settlements, Housing, E., Integrated, P., Development, R., Enhanced, P., Process, H., … Volume, I. I. The National Housing Code: Incremental Interventions (Upgrading Informal Settlement).</w:t>
      </w:r>
    </w:p>
    <w:p w14:paraId="7B8627F2"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NDHS CONFIDENTIAL EvaluationReportQuarterOne1314. (n.d.).</w:t>
      </w:r>
    </w:p>
    <w:p w14:paraId="64B76F1D"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NDHS CONFIDENTIAL EvaluationReportSecondQuarter1314. (n.d.).</w:t>
      </w:r>
    </w:p>
    <w:p w14:paraId="6C2EA3A5"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NDHS M&amp;E CONFIDENTIAL Informal Settlements and Currently Active HS Projects September 2013. (n.d.).</w:t>
      </w:r>
    </w:p>
    <w:p w14:paraId="5448D14C"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NUSP. (2009). </w:t>
      </w:r>
      <w:r w:rsidRPr="00D65E78">
        <w:rPr>
          <w:rFonts w:eastAsiaTheme="minorHAnsi" w:cs="Arial"/>
          <w:i/>
          <w:iCs/>
          <w:sz w:val="20"/>
          <w:szCs w:val="20"/>
          <w:lang w:val="en-US"/>
        </w:rPr>
        <w:t>NUSP Assessment Report Appendix 1: Summary Project Profiles</w:t>
      </w:r>
      <w:r w:rsidRPr="00D65E78">
        <w:rPr>
          <w:rFonts w:eastAsiaTheme="minorHAnsi" w:cs="Arial"/>
          <w:sz w:val="20"/>
          <w:szCs w:val="20"/>
          <w:lang w:val="en-US"/>
        </w:rPr>
        <w:t>.</w:t>
      </w:r>
    </w:p>
    <w:p w14:paraId="0892413B"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NUSP PROGRESS REPORT_02 DECEMBER 2013. (n.d.).</w:t>
      </w:r>
    </w:p>
    <w:p w14:paraId="6DDD2822"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NUSP? (2009). </w:t>
      </w:r>
      <w:r w:rsidRPr="00D65E78">
        <w:rPr>
          <w:rFonts w:eastAsiaTheme="minorHAnsi" w:cs="Arial"/>
          <w:i/>
          <w:iCs/>
          <w:sz w:val="20"/>
          <w:szCs w:val="20"/>
          <w:lang w:val="en-US"/>
        </w:rPr>
        <w:t>National Upgrading Support Programme Assessment Report</w:t>
      </w:r>
      <w:r w:rsidRPr="00D65E78">
        <w:rPr>
          <w:rFonts w:eastAsiaTheme="minorHAnsi" w:cs="Arial"/>
          <w:sz w:val="20"/>
          <w:szCs w:val="20"/>
          <w:lang w:val="en-US"/>
        </w:rPr>
        <w:t xml:space="preserve"> (p. 86).</w:t>
      </w:r>
    </w:p>
    <w:p w14:paraId="585986ED"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Ogunfiditimi, O. (2008). </w:t>
      </w:r>
      <w:r w:rsidRPr="00D65E78">
        <w:rPr>
          <w:rFonts w:eastAsiaTheme="minorHAnsi" w:cs="Arial"/>
          <w:i/>
          <w:iCs/>
          <w:sz w:val="20"/>
          <w:szCs w:val="20"/>
          <w:lang w:val="en-US"/>
        </w:rPr>
        <w:t>Assessment of structural quality of houses delivered through the people’s housing process in South Africa</w:t>
      </w:r>
      <w:r w:rsidRPr="00D65E78">
        <w:rPr>
          <w:rFonts w:eastAsiaTheme="minorHAnsi" w:cs="Arial"/>
          <w:sz w:val="20"/>
          <w:szCs w:val="20"/>
          <w:lang w:val="en-US"/>
        </w:rPr>
        <w:t>. Retrieved from http://hdl.handle.net/10210/3059</w:t>
      </w:r>
    </w:p>
    <w:p w14:paraId="7D9A258F"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Otiso, K. M. (2003). State, voluntary and private sector partnerships for slum upgrading and basic service delivery in Nairobi City, Kenya. </w:t>
      </w:r>
      <w:r w:rsidRPr="00D65E78">
        <w:rPr>
          <w:rFonts w:eastAsiaTheme="minorHAnsi" w:cs="Arial"/>
          <w:i/>
          <w:iCs/>
          <w:sz w:val="20"/>
          <w:szCs w:val="20"/>
          <w:lang w:val="en-US"/>
        </w:rPr>
        <w:t>Cities</w:t>
      </w:r>
      <w:r w:rsidRPr="00D65E78">
        <w:rPr>
          <w:rFonts w:eastAsiaTheme="minorHAnsi" w:cs="Arial"/>
          <w:sz w:val="20"/>
          <w:szCs w:val="20"/>
          <w:lang w:val="en-US"/>
        </w:rPr>
        <w:t xml:space="preserve">, </w:t>
      </w:r>
      <w:r w:rsidRPr="00D65E78">
        <w:rPr>
          <w:rFonts w:eastAsiaTheme="minorHAnsi" w:cs="Arial"/>
          <w:i/>
          <w:iCs/>
          <w:sz w:val="20"/>
          <w:szCs w:val="20"/>
          <w:lang w:val="en-US"/>
        </w:rPr>
        <w:t>20</w:t>
      </w:r>
      <w:r w:rsidRPr="00D65E78">
        <w:rPr>
          <w:rFonts w:eastAsiaTheme="minorHAnsi" w:cs="Arial"/>
          <w:sz w:val="20"/>
          <w:szCs w:val="20"/>
          <w:lang w:val="en-US"/>
        </w:rPr>
        <w:t>(4), 221–229. doi:10.1016/S0264-2751(03)00035-0</w:t>
      </w:r>
    </w:p>
    <w:p w14:paraId="1D9FDBA2"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Pieterse, E. (2008). </w:t>
      </w:r>
      <w:r w:rsidRPr="00D65E78">
        <w:rPr>
          <w:rFonts w:eastAsiaTheme="minorHAnsi" w:cs="Arial"/>
          <w:i/>
          <w:iCs/>
          <w:sz w:val="20"/>
          <w:szCs w:val="20"/>
          <w:lang w:val="en-US"/>
        </w:rPr>
        <w:t>Confronting the Crisis of Urban Development: City Futures</w:t>
      </w:r>
      <w:r w:rsidRPr="00D65E78">
        <w:rPr>
          <w:rFonts w:eastAsiaTheme="minorHAnsi" w:cs="Arial"/>
          <w:sz w:val="20"/>
          <w:szCs w:val="20"/>
          <w:lang w:val="en-US"/>
        </w:rPr>
        <w:t>.</w:t>
      </w:r>
    </w:p>
    <w:p w14:paraId="18B992EC"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Plan, C. without S. A. (n.d.). What is Slum Upgrading?</w:t>
      </w:r>
    </w:p>
    <w:p w14:paraId="22461CA3"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Presidency of the Government of South Africa. (2010). </w:t>
      </w:r>
      <w:r w:rsidRPr="00D65E78">
        <w:rPr>
          <w:rFonts w:eastAsiaTheme="minorHAnsi" w:cs="Arial"/>
          <w:i/>
          <w:iCs/>
          <w:sz w:val="20"/>
          <w:szCs w:val="20"/>
          <w:lang w:val="en-US"/>
        </w:rPr>
        <w:t>Annexure A For Outcome 8 Delivery Agreements : Sustainable Human Settlements and Improved Quality of Household Life</w:t>
      </w:r>
      <w:r w:rsidRPr="00D65E78">
        <w:rPr>
          <w:rFonts w:eastAsiaTheme="minorHAnsi" w:cs="Arial"/>
          <w:sz w:val="20"/>
          <w:szCs w:val="20"/>
          <w:lang w:val="en-US"/>
        </w:rPr>
        <w:t xml:space="preserve"> (p. 66). Retrieved from http://www.dhs.gov.za/live/</w:t>
      </w:r>
    </w:p>
    <w:p w14:paraId="76C555D4"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Project Preparation Trust. (n.d.). </w:t>
      </w:r>
      <w:r w:rsidRPr="00D65E78">
        <w:rPr>
          <w:rFonts w:eastAsiaTheme="minorHAnsi" w:cs="Arial"/>
          <w:i/>
          <w:iCs/>
          <w:sz w:val="20"/>
          <w:szCs w:val="20"/>
          <w:lang w:val="en-US"/>
        </w:rPr>
        <w:t>Project Cycle</w:t>
      </w:r>
      <w:r w:rsidRPr="00D65E78">
        <w:rPr>
          <w:rFonts w:eastAsiaTheme="minorHAnsi" w:cs="Arial"/>
          <w:sz w:val="20"/>
          <w:szCs w:val="20"/>
          <w:lang w:val="en-US"/>
        </w:rPr>
        <w:t xml:space="preserve"> (p. 1).</w:t>
      </w:r>
    </w:p>
    <w:p w14:paraId="0B7AA433"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lastRenderedPageBreak/>
        <w:t xml:space="preserve">Project Preparation Trust. (2006). </w:t>
      </w:r>
      <w:r w:rsidRPr="00D65E78">
        <w:rPr>
          <w:rFonts w:eastAsiaTheme="minorHAnsi" w:cs="Arial"/>
          <w:i/>
          <w:iCs/>
          <w:sz w:val="20"/>
          <w:szCs w:val="20"/>
          <w:lang w:val="en-US"/>
        </w:rPr>
        <w:t>Municipal Housing Sector Plan Manual</w:t>
      </w:r>
      <w:r w:rsidRPr="00D65E78">
        <w:rPr>
          <w:rFonts w:eastAsiaTheme="minorHAnsi" w:cs="Arial"/>
          <w:sz w:val="20"/>
          <w:szCs w:val="20"/>
          <w:lang w:val="en-US"/>
        </w:rPr>
        <w:t xml:space="preserve">. </w:t>
      </w:r>
      <w:r w:rsidRPr="00D65E78">
        <w:rPr>
          <w:rFonts w:eastAsiaTheme="minorHAnsi" w:cs="Arial"/>
          <w:i/>
          <w:iCs/>
          <w:sz w:val="20"/>
          <w:szCs w:val="20"/>
          <w:lang w:val="en-US"/>
        </w:rPr>
        <w:t>American journal of public health (New York, N.Y. : 1912)</w:t>
      </w:r>
      <w:r w:rsidRPr="00D65E78">
        <w:rPr>
          <w:rFonts w:eastAsiaTheme="minorHAnsi" w:cs="Arial"/>
          <w:sz w:val="20"/>
          <w:szCs w:val="20"/>
          <w:lang w:val="en-US"/>
        </w:rPr>
        <w:t xml:space="preserve"> (Vol. 15, p. 66). Retrieved from http://www.ncbi.nlm.nih.gov/pubmed/22073626</w:t>
      </w:r>
    </w:p>
    <w:p w14:paraId="7AF9E781"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Project Preparation Trust. (2011a). </w:t>
      </w:r>
      <w:r w:rsidRPr="00D65E78">
        <w:rPr>
          <w:rFonts w:eastAsiaTheme="minorHAnsi" w:cs="Arial"/>
          <w:i/>
          <w:iCs/>
          <w:sz w:val="20"/>
          <w:szCs w:val="20"/>
          <w:lang w:val="en-US"/>
        </w:rPr>
        <w:t>Flowchart for Determining Appropriate Informal Settlmement Developmental Responses</w:t>
      </w:r>
      <w:r w:rsidRPr="00D65E78">
        <w:rPr>
          <w:rFonts w:eastAsiaTheme="minorHAnsi" w:cs="Arial"/>
          <w:sz w:val="20"/>
          <w:szCs w:val="20"/>
          <w:lang w:val="en-US"/>
        </w:rPr>
        <w:t>.</w:t>
      </w:r>
    </w:p>
    <w:p w14:paraId="60333BCB"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Project Preparation Trust. (2011b). </w:t>
      </w:r>
      <w:r w:rsidRPr="00D65E78">
        <w:rPr>
          <w:rFonts w:eastAsiaTheme="minorHAnsi" w:cs="Arial"/>
          <w:i/>
          <w:iCs/>
          <w:sz w:val="20"/>
          <w:szCs w:val="20"/>
          <w:lang w:val="en-US"/>
        </w:rPr>
        <w:t>Informal Settlement Developmental Responses : Appropriate Grant Instruments (Summary)</w:t>
      </w:r>
      <w:r w:rsidRPr="00D65E78">
        <w:rPr>
          <w:rFonts w:eastAsiaTheme="minorHAnsi" w:cs="Arial"/>
          <w:sz w:val="20"/>
          <w:szCs w:val="20"/>
          <w:lang w:val="en-US"/>
        </w:rPr>
        <w:t xml:space="preserve"> (pp. 1–5).</w:t>
      </w:r>
    </w:p>
    <w:p w14:paraId="2889C55F"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Rubin, M. (2011). </w:t>
      </w:r>
      <w:r w:rsidRPr="00D65E78">
        <w:rPr>
          <w:rFonts w:eastAsiaTheme="minorHAnsi" w:cs="Arial"/>
          <w:i/>
          <w:iCs/>
          <w:sz w:val="20"/>
          <w:szCs w:val="20"/>
          <w:lang w:val="en-US"/>
        </w:rPr>
        <w:t>Concept Paper: Reducing the Vulnerability of Urban Slum Dwellers in the Southern African Region to the Impact of Climate Change and Disasters</w:t>
      </w:r>
      <w:r w:rsidRPr="00D65E78">
        <w:rPr>
          <w:rFonts w:eastAsiaTheme="minorHAnsi" w:cs="Arial"/>
          <w:sz w:val="20"/>
          <w:szCs w:val="20"/>
          <w:lang w:val="en-US"/>
        </w:rPr>
        <w:t xml:space="preserve"> (p. 67). Tshwane. Retrieved from http://www.urbanlandmark.org.za/research/x50.php</w:t>
      </w:r>
    </w:p>
    <w:p w14:paraId="48659332"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Rubin, M., &amp; Royston, L. (2008). </w:t>
      </w:r>
      <w:r w:rsidRPr="00D65E78">
        <w:rPr>
          <w:rFonts w:eastAsiaTheme="minorHAnsi" w:cs="Arial"/>
          <w:i/>
          <w:iCs/>
          <w:sz w:val="20"/>
          <w:szCs w:val="20"/>
          <w:lang w:val="en-US"/>
        </w:rPr>
        <w:t>Local Land Registration Practices in South Africa</w:t>
      </w:r>
      <w:r w:rsidRPr="00D65E78">
        <w:rPr>
          <w:rFonts w:eastAsiaTheme="minorHAnsi" w:cs="Arial"/>
          <w:sz w:val="20"/>
          <w:szCs w:val="20"/>
          <w:lang w:val="en-US"/>
        </w:rPr>
        <w:t xml:space="preserve"> (p. 42). Retrieved from http://www.urbanlandmark.org.za/research/x39.php</w:t>
      </w:r>
    </w:p>
    <w:p w14:paraId="7BCCBC27"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RUDO Retail. (2010). </w:t>
      </w:r>
      <w:r w:rsidRPr="00D65E78">
        <w:rPr>
          <w:rFonts w:eastAsiaTheme="minorHAnsi" w:cs="Arial"/>
          <w:i/>
          <w:iCs/>
          <w:sz w:val="20"/>
          <w:szCs w:val="20"/>
          <w:lang w:val="en-US"/>
        </w:rPr>
        <w:t>An investigation into the quantification and extent of supply chain finance to small, medium and micro enterprises</w:t>
      </w:r>
      <w:r w:rsidRPr="00D65E78">
        <w:rPr>
          <w:rFonts w:eastAsiaTheme="minorHAnsi" w:cs="Arial"/>
          <w:sz w:val="20"/>
          <w:szCs w:val="20"/>
          <w:lang w:val="en-US"/>
        </w:rPr>
        <w:t xml:space="preserve"> (p. 60). Retrieved from http://www.finmark.org.za/pages/Research-and-Publications/Research-Reports.aspx?randomID=1872482a-81cb-4d6b-82ef-98c524fd0400&amp;linkPath=7&amp;lID=7_1</w:t>
      </w:r>
    </w:p>
    <w:p w14:paraId="785B1FF2"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Rust, K. (2009). </w:t>
      </w:r>
      <w:r w:rsidRPr="00D65E78">
        <w:rPr>
          <w:rFonts w:eastAsiaTheme="minorHAnsi" w:cs="Arial"/>
          <w:i/>
          <w:iCs/>
          <w:sz w:val="20"/>
          <w:szCs w:val="20"/>
          <w:lang w:val="en-US"/>
        </w:rPr>
        <w:t>Framing a Finance Strategy for the Human Settlements Department :</w:t>
      </w:r>
      <w:r w:rsidRPr="00D65E78">
        <w:rPr>
          <w:rFonts w:eastAsiaTheme="minorHAnsi" w:cs="Arial"/>
          <w:sz w:val="20"/>
          <w:szCs w:val="20"/>
          <w:lang w:val="en-US"/>
        </w:rPr>
        <w:t xml:space="preserve"> (pp. 1–5). Retrieved from http://www.finmark.org.za/pages/Research-and-Publications/Research-Reports.aspx?randomID=1872482a-81cb-4d6b-82ef-98c524fd0400&amp;linkPath=7&amp;lID=7_1&amp;RandomID=8d3d75f5-1fc9-4b74-aa67-1754dfa8dbc6</w:t>
      </w:r>
    </w:p>
    <w:p w14:paraId="5AE589D0"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Rust, K. (2012). </w:t>
      </w:r>
      <w:r w:rsidRPr="00D65E78">
        <w:rPr>
          <w:rFonts w:eastAsiaTheme="minorHAnsi" w:cs="Arial"/>
          <w:i/>
          <w:iCs/>
          <w:sz w:val="20"/>
          <w:szCs w:val="20"/>
          <w:lang w:val="en-US"/>
        </w:rPr>
        <w:t>Building housing finance systems to support sustainable human settlements</w:t>
      </w:r>
      <w:r w:rsidRPr="00D65E78">
        <w:rPr>
          <w:rFonts w:eastAsiaTheme="minorHAnsi" w:cs="Arial"/>
          <w:sz w:val="20"/>
          <w:szCs w:val="20"/>
          <w:lang w:val="en-US"/>
        </w:rPr>
        <w:t xml:space="preserve"> (pp. 1–12).</w:t>
      </w:r>
    </w:p>
    <w:p w14:paraId="32E4D6FE"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SaveAct. (2013). </w:t>
      </w:r>
      <w:r w:rsidRPr="00D65E78">
        <w:rPr>
          <w:rFonts w:eastAsiaTheme="minorHAnsi" w:cs="Arial"/>
          <w:i/>
          <w:iCs/>
          <w:sz w:val="20"/>
          <w:szCs w:val="20"/>
          <w:lang w:val="en-US"/>
        </w:rPr>
        <w:t>SaveAct Annual Report 2012-2013</w:t>
      </w:r>
      <w:r w:rsidRPr="00D65E78">
        <w:rPr>
          <w:rFonts w:eastAsiaTheme="minorHAnsi" w:cs="Arial"/>
          <w:sz w:val="20"/>
          <w:szCs w:val="20"/>
          <w:lang w:val="en-US"/>
        </w:rPr>
        <w:t xml:space="preserve"> (Vol. 27).</w:t>
      </w:r>
    </w:p>
    <w:p w14:paraId="10188D5E"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Shisaka Development Management Services. (2011). </w:t>
      </w:r>
      <w:r w:rsidRPr="00D65E78">
        <w:rPr>
          <w:rFonts w:eastAsiaTheme="minorHAnsi" w:cs="Arial"/>
          <w:i/>
          <w:iCs/>
          <w:sz w:val="20"/>
          <w:szCs w:val="20"/>
          <w:lang w:val="en-US"/>
        </w:rPr>
        <w:t>Investigation into the delays in issuing title deeds to beneficiaries of housing projects funded by the capital subsidy - BOOKLET</w:t>
      </w:r>
      <w:r w:rsidRPr="00D65E78">
        <w:rPr>
          <w:rFonts w:eastAsiaTheme="minorHAnsi" w:cs="Arial"/>
          <w:sz w:val="20"/>
          <w:szCs w:val="20"/>
          <w:lang w:val="en-US"/>
        </w:rPr>
        <w:t xml:space="preserve"> (p. 36). Retrieved from http://www.urbanlandmark.org/downloads/title_deed_delays_report_2011.pdf</w:t>
      </w:r>
    </w:p>
    <w:p w14:paraId="18F40061"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Shisaka Development Management Services, Di Lollo, A., &amp; Gordon, R. (2011). </w:t>
      </w:r>
      <w:r w:rsidRPr="00D65E78">
        <w:rPr>
          <w:rFonts w:eastAsiaTheme="minorHAnsi" w:cs="Arial"/>
          <w:i/>
          <w:iCs/>
          <w:sz w:val="20"/>
          <w:szCs w:val="20"/>
          <w:lang w:val="en-US"/>
        </w:rPr>
        <w:t>Investigation into the delays in issuing Title Deeds to beneficiaries of housing projects funded by the Capital Subsidy</w:t>
      </w:r>
      <w:r w:rsidRPr="00D65E78">
        <w:rPr>
          <w:rFonts w:eastAsiaTheme="minorHAnsi" w:cs="Arial"/>
          <w:sz w:val="20"/>
          <w:szCs w:val="20"/>
          <w:lang w:val="en-US"/>
        </w:rPr>
        <w:t xml:space="preserve"> (p. 34). Tshwane. Retrieved from http://www.urbanlandmark.org.za/research/x55.php</w:t>
      </w:r>
    </w:p>
    <w:p w14:paraId="63BF49AD"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Shisaka DMS. (2011). </w:t>
      </w:r>
      <w:r w:rsidRPr="00D65E78">
        <w:rPr>
          <w:rFonts w:eastAsiaTheme="minorHAnsi" w:cs="Arial"/>
          <w:i/>
          <w:iCs/>
          <w:sz w:val="20"/>
          <w:szCs w:val="20"/>
          <w:lang w:val="en-US"/>
        </w:rPr>
        <w:t>Department of Human Settlements A Development Finance Strategy for the Human Settlements Sector : Proposed Strategy and Institutional Implications Final Report</w:t>
      </w:r>
      <w:r w:rsidRPr="00D65E78">
        <w:rPr>
          <w:rFonts w:eastAsiaTheme="minorHAnsi" w:cs="Arial"/>
          <w:sz w:val="20"/>
          <w:szCs w:val="20"/>
          <w:lang w:val="en-US"/>
        </w:rPr>
        <w:t xml:space="preserve"> (p. 71).</w:t>
      </w:r>
    </w:p>
    <w:p w14:paraId="3C7A53C8"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Spatial Transformation - submission 12 July 2013. (n.d.).</w:t>
      </w:r>
    </w:p>
    <w:p w14:paraId="3BECE2A5"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Strategy, R. H. (2014). Building Sustainable Communities.</w:t>
      </w:r>
    </w:p>
    <w:p w14:paraId="09BF9642"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Success, M., &amp; Development, H. S. (2011). Measuring Success in Human Settlements Development : An Impact Evaluation Study of the Upgrading of Informal Settlements Programme in selected projects in South Africa.</w:t>
      </w:r>
    </w:p>
    <w:p w14:paraId="15F40BF0"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lastRenderedPageBreak/>
        <w:t xml:space="preserve">Thompson-Smeddle, L., &amp; Roux, J. (n.d.). </w:t>
      </w:r>
      <w:r w:rsidRPr="00D65E78">
        <w:rPr>
          <w:rFonts w:eastAsiaTheme="minorHAnsi" w:cs="Arial"/>
          <w:i/>
          <w:iCs/>
          <w:sz w:val="20"/>
          <w:szCs w:val="20"/>
          <w:lang w:val="en-US"/>
        </w:rPr>
        <w:t>Introduction: The struggle for integrated sustainable settlements</w:t>
      </w:r>
      <w:r w:rsidRPr="00D65E78">
        <w:rPr>
          <w:rFonts w:eastAsiaTheme="minorHAnsi" w:cs="Arial"/>
          <w:sz w:val="20"/>
          <w:szCs w:val="20"/>
          <w:lang w:val="en-US"/>
        </w:rPr>
        <w:t xml:space="preserve"> (p. 183).</w:t>
      </w:r>
    </w:p>
    <w:p w14:paraId="4E7AC53C"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Tissington, K. (2014a). </w:t>
      </w:r>
      <w:r w:rsidRPr="00D65E78">
        <w:rPr>
          <w:rFonts w:eastAsiaTheme="minorHAnsi" w:cs="Arial"/>
          <w:i/>
          <w:iCs/>
          <w:sz w:val="20"/>
          <w:szCs w:val="20"/>
          <w:lang w:val="en-US"/>
        </w:rPr>
        <w:t>Minding the Gap : An Analysis of the Supply of and Demand For Low-Income Rental Accommodation in Inner City Johannesburg</w:t>
      </w:r>
      <w:r w:rsidRPr="00D65E78">
        <w:rPr>
          <w:rFonts w:eastAsiaTheme="minorHAnsi" w:cs="Arial"/>
          <w:sz w:val="20"/>
          <w:szCs w:val="20"/>
          <w:lang w:val="en-US"/>
        </w:rPr>
        <w:t xml:space="preserve"> (p. 73).</w:t>
      </w:r>
    </w:p>
    <w:p w14:paraId="56ED80D6"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Tissington, K. (2014b). </w:t>
      </w:r>
      <w:r w:rsidRPr="00D65E78">
        <w:rPr>
          <w:rFonts w:eastAsiaTheme="minorHAnsi" w:cs="Arial"/>
          <w:i/>
          <w:iCs/>
          <w:sz w:val="20"/>
          <w:szCs w:val="20"/>
          <w:lang w:val="en-US"/>
        </w:rPr>
        <w:t>Summary - Minding the Gap : An Analysis of the Supply of and Demand for Low-Income Rental Accommodation in Inner City Johannesburg</w:t>
      </w:r>
      <w:r w:rsidRPr="00D65E78">
        <w:rPr>
          <w:rFonts w:eastAsiaTheme="minorHAnsi" w:cs="Arial"/>
          <w:sz w:val="20"/>
          <w:szCs w:val="20"/>
          <w:lang w:val="en-US"/>
        </w:rPr>
        <w:t xml:space="preserve"> (p. 2).</w:t>
      </w:r>
    </w:p>
    <w:p w14:paraId="70747D1D"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Tomlinson, M. R. (2007). </w:t>
      </w:r>
      <w:r w:rsidRPr="00D65E78">
        <w:rPr>
          <w:rFonts w:eastAsiaTheme="minorHAnsi" w:cs="Arial"/>
          <w:i/>
          <w:iCs/>
          <w:sz w:val="20"/>
          <w:szCs w:val="20"/>
          <w:lang w:val="en-US"/>
        </w:rPr>
        <w:t>A literature review on housing finance development in sub-Saharan Africa</w:t>
      </w:r>
      <w:r w:rsidRPr="00D65E78">
        <w:rPr>
          <w:rFonts w:eastAsiaTheme="minorHAnsi" w:cs="Arial"/>
          <w:sz w:val="20"/>
          <w:szCs w:val="20"/>
          <w:lang w:val="en-US"/>
        </w:rPr>
        <w:t xml:space="preserve"> (p. 54). Retrieved from http://www.finmark.org.za/pages/Research-and-Publications/Research-Reports.aspx?randomID=1872482a-81cb-4d6b-82ef-98c524fd0400&amp;linkPath=7&amp;lID=7_1</w:t>
      </w:r>
    </w:p>
    <w:p w14:paraId="3FF0A68A"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Tonkin, A. (2008a). </w:t>
      </w:r>
      <w:r w:rsidRPr="00D65E78">
        <w:rPr>
          <w:rFonts w:eastAsiaTheme="minorHAnsi" w:cs="Arial"/>
          <w:i/>
          <w:iCs/>
          <w:sz w:val="20"/>
          <w:szCs w:val="20"/>
          <w:lang w:val="en-US"/>
        </w:rPr>
        <w:t>Sustainable medium-density housing: A resource book</w:t>
      </w:r>
      <w:r w:rsidRPr="00D65E78">
        <w:rPr>
          <w:rFonts w:eastAsiaTheme="minorHAnsi" w:cs="Arial"/>
          <w:sz w:val="20"/>
          <w:szCs w:val="20"/>
          <w:lang w:val="en-US"/>
        </w:rPr>
        <w:t xml:space="preserve"> (p. 437). Retrieved from http://www.shra.org.za/resource-centre/shf-archives/publications-a-documents/133-sustainable-medium-density-housing-a-resource-book</w:t>
      </w:r>
    </w:p>
    <w:p w14:paraId="0E31D048"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Tonkin, A. (2008b). </w:t>
      </w:r>
      <w:r w:rsidRPr="00D65E78">
        <w:rPr>
          <w:rFonts w:eastAsiaTheme="minorHAnsi" w:cs="Arial"/>
          <w:i/>
          <w:iCs/>
          <w:sz w:val="20"/>
          <w:szCs w:val="20"/>
          <w:lang w:val="en-US"/>
        </w:rPr>
        <w:t>Sustainable medium-density housing: A resource book</w:t>
      </w:r>
      <w:r w:rsidRPr="00D65E78">
        <w:rPr>
          <w:rFonts w:eastAsiaTheme="minorHAnsi" w:cs="Arial"/>
          <w:sz w:val="20"/>
          <w:szCs w:val="20"/>
          <w:lang w:val="en-US"/>
        </w:rPr>
        <w:t xml:space="preserve"> (p. 437). Retrieved from http://www.shra.org.za/resource-centre/shf-archives/publications-a-documents/133-sustainable-medium-density-housing-a-resource-book</w:t>
      </w:r>
    </w:p>
    <w:p w14:paraId="28100CF6"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Tsaliko. (n.d.). </w:t>
      </w:r>
      <w:r w:rsidRPr="00D65E78">
        <w:rPr>
          <w:rFonts w:eastAsiaTheme="minorHAnsi" w:cs="Arial"/>
          <w:i/>
          <w:iCs/>
          <w:sz w:val="20"/>
          <w:szCs w:val="20"/>
          <w:lang w:val="en-US"/>
        </w:rPr>
        <w:t>Presentation: Rural housing loan fund</w:t>
      </w:r>
      <w:r w:rsidRPr="00D65E78">
        <w:rPr>
          <w:rFonts w:eastAsiaTheme="minorHAnsi" w:cs="Arial"/>
          <w:sz w:val="20"/>
          <w:szCs w:val="20"/>
          <w:lang w:val="en-US"/>
        </w:rPr>
        <w:t>.</w:t>
      </w:r>
    </w:p>
    <w:p w14:paraId="0ACDF2B1" w14:textId="4CD6E190"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Urban LandMark. (2008). </w:t>
      </w:r>
      <w:r w:rsidRPr="00D65E78">
        <w:rPr>
          <w:rFonts w:eastAsiaTheme="minorHAnsi" w:cs="Arial"/>
          <w:i/>
          <w:iCs/>
          <w:sz w:val="20"/>
          <w:szCs w:val="20"/>
          <w:lang w:val="en-US"/>
        </w:rPr>
        <w:t xml:space="preserve">Access to urban land: a handbook for community </w:t>
      </w:r>
      <w:r w:rsidR="008B47BF">
        <w:rPr>
          <w:rFonts w:eastAsiaTheme="minorHAnsi" w:cs="Arial"/>
          <w:i/>
          <w:iCs/>
          <w:sz w:val="20"/>
          <w:szCs w:val="20"/>
          <w:lang w:val="en-US"/>
        </w:rPr>
        <w:t>organization</w:t>
      </w:r>
      <w:r w:rsidRPr="00D65E78">
        <w:rPr>
          <w:rFonts w:eastAsiaTheme="minorHAnsi" w:cs="Arial"/>
          <w:i/>
          <w:iCs/>
          <w:sz w:val="20"/>
          <w:szCs w:val="20"/>
          <w:lang w:val="en-US"/>
        </w:rPr>
        <w:t>s</w:t>
      </w:r>
      <w:r w:rsidRPr="00D65E78">
        <w:rPr>
          <w:rFonts w:eastAsiaTheme="minorHAnsi" w:cs="Arial"/>
          <w:sz w:val="20"/>
          <w:szCs w:val="20"/>
          <w:lang w:val="en-US"/>
        </w:rPr>
        <w:t xml:space="preserve"> (p. 30).</w:t>
      </w:r>
    </w:p>
    <w:p w14:paraId="19E4220E"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Urban LandMark. (2011). </w:t>
      </w:r>
      <w:r w:rsidRPr="00D65E78">
        <w:rPr>
          <w:rFonts w:eastAsiaTheme="minorHAnsi" w:cs="Arial"/>
          <w:i/>
          <w:iCs/>
          <w:sz w:val="20"/>
          <w:szCs w:val="20"/>
          <w:lang w:val="en-US"/>
        </w:rPr>
        <w:t>Urban LandMark: position papers and research reports</w:t>
      </w:r>
      <w:r w:rsidRPr="00D65E78">
        <w:rPr>
          <w:rFonts w:eastAsiaTheme="minorHAnsi" w:cs="Arial"/>
          <w:sz w:val="20"/>
          <w:szCs w:val="20"/>
          <w:lang w:val="en-US"/>
        </w:rPr>
        <w:t xml:space="preserve"> (pp. 50–52).</w:t>
      </w:r>
    </w:p>
    <w:p w14:paraId="5FFB3DF0"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Urban Sector Network. (2003). </w:t>
      </w:r>
      <w:r w:rsidRPr="00D65E78">
        <w:rPr>
          <w:rFonts w:eastAsiaTheme="minorHAnsi" w:cs="Arial"/>
          <w:i/>
          <w:iCs/>
          <w:sz w:val="20"/>
          <w:szCs w:val="20"/>
          <w:lang w:val="en-US"/>
        </w:rPr>
        <w:t>The Urban Sector Network’s Experience of the Peoples' Housing Process</w:t>
      </w:r>
      <w:r w:rsidRPr="00D65E78">
        <w:rPr>
          <w:rFonts w:eastAsiaTheme="minorHAnsi" w:cs="Arial"/>
          <w:sz w:val="20"/>
          <w:szCs w:val="20"/>
          <w:lang w:val="en-US"/>
        </w:rPr>
        <w:t xml:space="preserve"> (p. 75).</w:t>
      </w:r>
    </w:p>
    <w:p w14:paraId="44840BA2"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USDG Delivery.pdf. (n.d.).</w:t>
      </w:r>
    </w:p>
    <w:p w14:paraId="18BF31D3"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Van Der Walt, L. (2013). </w:t>
      </w:r>
      <w:r w:rsidRPr="00D65E78">
        <w:rPr>
          <w:rFonts w:eastAsiaTheme="minorHAnsi" w:cs="Arial"/>
          <w:i/>
          <w:iCs/>
          <w:sz w:val="20"/>
          <w:szCs w:val="20"/>
          <w:lang w:val="en-US"/>
        </w:rPr>
        <w:t>Notes on the Policy Options for Backyard Rental Interventions</w:t>
      </w:r>
      <w:r w:rsidRPr="00D65E78">
        <w:rPr>
          <w:rFonts w:eastAsiaTheme="minorHAnsi" w:cs="Arial"/>
          <w:sz w:val="20"/>
          <w:szCs w:val="20"/>
          <w:lang w:val="en-US"/>
        </w:rPr>
        <w:t xml:space="preserve"> (p. 7).</w:t>
      </w:r>
    </w:p>
    <w:p w14:paraId="79E73BAC" w14:textId="6A982441"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Van Wyk, L. (2010). The efficacy of innovative technologies in </w:t>
      </w:r>
      <w:r w:rsidR="00E01C9B">
        <w:rPr>
          <w:rFonts w:eastAsiaTheme="minorHAnsi" w:cs="Arial"/>
          <w:sz w:val="20"/>
          <w:szCs w:val="20"/>
          <w:lang w:val="en-US"/>
        </w:rPr>
        <w:t>subsidized</w:t>
      </w:r>
      <w:r w:rsidRPr="00D65E78">
        <w:rPr>
          <w:rFonts w:eastAsiaTheme="minorHAnsi" w:cs="Arial"/>
          <w:sz w:val="20"/>
          <w:szCs w:val="20"/>
          <w:lang w:val="en-US"/>
        </w:rPr>
        <w:t xml:space="preserve"> housing in South Africa : A case study. In Council for Scientific and Industrial Research (Ed.), </w:t>
      </w:r>
      <w:r w:rsidRPr="00D65E78">
        <w:rPr>
          <w:rFonts w:eastAsiaTheme="minorHAnsi" w:cs="Arial"/>
          <w:i/>
          <w:iCs/>
          <w:sz w:val="20"/>
          <w:szCs w:val="20"/>
          <w:lang w:val="en-US"/>
        </w:rPr>
        <w:t>Science real and relevant: 2010</w:t>
      </w:r>
      <w:r w:rsidRPr="00D65E78">
        <w:rPr>
          <w:rFonts w:eastAsiaTheme="minorHAnsi" w:cs="Arial"/>
          <w:sz w:val="20"/>
          <w:szCs w:val="20"/>
          <w:lang w:val="en-US"/>
        </w:rPr>
        <w:t xml:space="preserve"> (Vol. 3, pp. 1–9). Pretoria: Council for Scientific and Industrial Research.</w:t>
      </w:r>
    </w:p>
    <w:p w14:paraId="36E93563"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Vance, I. (2008). Putting the “Housing” Back into Housing Finance for the Poor: The Case of Guatemala Global urban Development. </w:t>
      </w:r>
      <w:r w:rsidRPr="00D65E78">
        <w:rPr>
          <w:rFonts w:eastAsiaTheme="minorHAnsi" w:cs="Arial"/>
          <w:i/>
          <w:iCs/>
          <w:sz w:val="20"/>
          <w:szCs w:val="20"/>
          <w:lang w:val="en-US"/>
        </w:rPr>
        <w:t>Volume 4 Issue 2 November 2008 Context and the Housing Microfinance Program of G and T Continental Bank</w:t>
      </w:r>
      <w:r w:rsidRPr="00D65E78">
        <w:rPr>
          <w:rFonts w:eastAsiaTheme="minorHAnsi" w:cs="Arial"/>
          <w:sz w:val="20"/>
          <w:szCs w:val="20"/>
          <w:lang w:val="en-US"/>
        </w:rPr>
        <w:t xml:space="preserve">, </w:t>
      </w:r>
      <w:r w:rsidRPr="00D65E78">
        <w:rPr>
          <w:rFonts w:eastAsiaTheme="minorHAnsi" w:cs="Arial"/>
          <w:i/>
          <w:iCs/>
          <w:sz w:val="20"/>
          <w:szCs w:val="20"/>
          <w:lang w:val="en-US"/>
        </w:rPr>
        <w:t>4</w:t>
      </w:r>
      <w:r w:rsidRPr="00D65E78">
        <w:rPr>
          <w:rFonts w:eastAsiaTheme="minorHAnsi" w:cs="Arial"/>
          <w:sz w:val="20"/>
          <w:szCs w:val="20"/>
          <w:lang w:val="en-US"/>
        </w:rPr>
        <w:t>(2), 1–14.</w:t>
      </w:r>
    </w:p>
    <w:p w14:paraId="2BB1F334"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VEDA Associates. (2009). </w:t>
      </w:r>
      <w:r w:rsidRPr="00D65E78">
        <w:rPr>
          <w:rFonts w:eastAsiaTheme="minorHAnsi" w:cs="Arial"/>
          <w:i/>
          <w:iCs/>
          <w:sz w:val="20"/>
          <w:szCs w:val="20"/>
          <w:lang w:val="en-US"/>
        </w:rPr>
        <w:t>Housing &amp; Land Funding Programmes Review Report in support of the LANDfirst Approach</w:t>
      </w:r>
      <w:r w:rsidRPr="00D65E78">
        <w:rPr>
          <w:rFonts w:eastAsiaTheme="minorHAnsi" w:cs="Arial"/>
          <w:sz w:val="20"/>
          <w:szCs w:val="20"/>
          <w:lang w:val="en-US"/>
        </w:rPr>
        <w:t xml:space="preserve"> (pp. 1–28).</w:t>
      </w:r>
    </w:p>
    <w:p w14:paraId="64CBDC5E"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Wakely, P., &amp; Riley, E. (2011). CITIES WITHOUT The Case for Incremental Housing, (1).</w:t>
      </w:r>
    </w:p>
    <w:p w14:paraId="7BD1F11D"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 xml:space="preserve">Watson, V. (2009). </w:t>
      </w:r>
      <w:r w:rsidRPr="00D65E78">
        <w:rPr>
          <w:rFonts w:eastAsiaTheme="minorHAnsi" w:cs="Arial"/>
          <w:i/>
          <w:iCs/>
          <w:sz w:val="20"/>
          <w:szCs w:val="20"/>
          <w:lang w:val="en-US"/>
        </w:rPr>
        <w:t>Strategic literature assessment for informal rental research project</w:t>
      </w:r>
      <w:r w:rsidRPr="00D65E78">
        <w:rPr>
          <w:rFonts w:eastAsiaTheme="minorHAnsi" w:cs="Arial"/>
          <w:sz w:val="20"/>
          <w:szCs w:val="20"/>
          <w:lang w:val="en-US"/>
        </w:rPr>
        <w:t xml:space="preserve"> (pp. 1–26). Tshwane.</w:t>
      </w:r>
    </w:p>
    <w:p w14:paraId="401BE61D"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lastRenderedPageBreak/>
        <w:t xml:space="preserve">Wolff, H. (2013). </w:t>
      </w:r>
      <w:r w:rsidRPr="00D65E78">
        <w:rPr>
          <w:rFonts w:eastAsiaTheme="minorHAnsi" w:cs="Arial"/>
          <w:i/>
          <w:iCs/>
          <w:sz w:val="20"/>
          <w:szCs w:val="20"/>
          <w:lang w:val="en-US"/>
        </w:rPr>
        <w:t>A study of privately developed rentable housing in Du Noon , Cape Town</w:t>
      </w:r>
      <w:r w:rsidRPr="00D65E78">
        <w:rPr>
          <w:rFonts w:eastAsiaTheme="minorHAnsi" w:cs="Arial"/>
          <w:sz w:val="20"/>
          <w:szCs w:val="20"/>
          <w:lang w:val="en-US"/>
        </w:rPr>
        <w:t>.</w:t>
      </w:r>
    </w:p>
    <w:p w14:paraId="0957B4B0" w14:textId="77777777" w:rsidR="00D65E78" w:rsidRPr="00D65E78" w:rsidRDefault="00D65E78" w:rsidP="00D65E78">
      <w:pPr>
        <w:spacing w:before="100" w:beforeAutospacing="1" w:after="100" w:afterAutospacing="1"/>
        <w:ind w:left="480" w:hanging="480"/>
        <w:jc w:val="left"/>
        <w:rPr>
          <w:rFonts w:eastAsiaTheme="minorHAnsi" w:cs="Arial"/>
          <w:sz w:val="20"/>
          <w:szCs w:val="20"/>
          <w:lang w:val="en-US"/>
        </w:rPr>
      </w:pPr>
      <w:r w:rsidRPr="00D65E78">
        <w:rPr>
          <w:rFonts w:eastAsiaTheme="minorHAnsi" w:cs="Arial"/>
          <w:sz w:val="20"/>
          <w:szCs w:val="20"/>
          <w:lang w:val="en-US"/>
        </w:rPr>
        <w:t>World Bank. (2008). Slum Upgrading and Housing Finance, (2005), 1–9.</w:t>
      </w:r>
    </w:p>
    <w:p w14:paraId="2A9B1B5A" w14:textId="77777777" w:rsidR="00D65E78" w:rsidRDefault="00D65E78" w:rsidP="00100CFD">
      <w:pPr>
        <w:autoSpaceDE w:val="0"/>
        <w:autoSpaceDN w:val="0"/>
        <w:adjustRightInd w:val="0"/>
        <w:rPr>
          <w:rFonts w:cs="Arial"/>
          <w:iCs/>
          <w:szCs w:val="22"/>
        </w:rPr>
      </w:pPr>
    </w:p>
    <w:p w14:paraId="7525AD5B" w14:textId="04BB88BA" w:rsidR="00D65E78" w:rsidRDefault="00D65E78" w:rsidP="00100CFD">
      <w:pPr>
        <w:autoSpaceDE w:val="0"/>
        <w:autoSpaceDN w:val="0"/>
        <w:adjustRightInd w:val="0"/>
        <w:rPr>
          <w:rFonts w:cs="Arial"/>
          <w:iCs/>
          <w:szCs w:val="22"/>
        </w:rPr>
      </w:pPr>
      <w:r>
        <w:rPr>
          <w:rFonts w:cs="Arial"/>
          <w:iCs/>
          <w:szCs w:val="22"/>
        </w:rPr>
        <w:t>Case Study References</w:t>
      </w:r>
    </w:p>
    <w:p w14:paraId="5EFEB6D9" w14:textId="77777777" w:rsidR="00100CFD" w:rsidRPr="00A0532A" w:rsidRDefault="00100CFD" w:rsidP="00100CFD">
      <w:pPr>
        <w:autoSpaceDE w:val="0"/>
        <w:autoSpaceDN w:val="0"/>
        <w:adjustRightInd w:val="0"/>
        <w:rPr>
          <w:rFonts w:cs="Arial"/>
          <w:szCs w:val="22"/>
        </w:rPr>
      </w:pPr>
      <w:r w:rsidRPr="00A0532A">
        <w:rPr>
          <w:rFonts w:cs="Arial"/>
          <w:iCs/>
          <w:szCs w:val="22"/>
        </w:rPr>
        <w:t>Barry, M and Rüther,H.,</w:t>
      </w:r>
      <w:r w:rsidRPr="00A0532A">
        <w:rPr>
          <w:rFonts w:cs="Arial"/>
          <w:i/>
          <w:iCs/>
          <w:szCs w:val="22"/>
        </w:rPr>
        <w:t xml:space="preserve"> 2005: </w:t>
      </w:r>
      <w:r w:rsidRPr="00A0532A">
        <w:rPr>
          <w:rFonts w:cs="Arial"/>
          <w:bCs/>
          <w:szCs w:val="22"/>
        </w:rPr>
        <w:t xml:space="preserve">Data Collection Techniques for Informal Settlement Upgrades in Cape Town, South Africa, </w:t>
      </w:r>
      <w:r w:rsidRPr="00A0532A">
        <w:rPr>
          <w:rFonts w:cs="Arial"/>
          <w:i/>
          <w:iCs/>
          <w:szCs w:val="22"/>
        </w:rPr>
        <w:t xml:space="preserve"> </w:t>
      </w:r>
      <w:r w:rsidRPr="00A0532A">
        <w:rPr>
          <w:rFonts w:cs="Arial"/>
          <w:i/>
          <w:szCs w:val="22"/>
        </w:rPr>
        <w:t>URISA Journal</w:t>
      </w:r>
      <w:r w:rsidRPr="00A0532A">
        <w:rPr>
          <w:rFonts w:cs="Arial"/>
          <w:szCs w:val="22"/>
        </w:rPr>
        <w:t xml:space="preserve">, Vol. 17, No. 1, 43-52 </w:t>
      </w:r>
    </w:p>
    <w:p w14:paraId="226C6A1B" w14:textId="29806749" w:rsidR="00100CFD" w:rsidRPr="0014429F" w:rsidRDefault="00100CFD" w:rsidP="0014429F">
      <w:pPr>
        <w:autoSpaceDE w:val="0"/>
        <w:autoSpaceDN w:val="0"/>
        <w:adjustRightInd w:val="0"/>
        <w:rPr>
          <w:iCs/>
        </w:rPr>
      </w:pPr>
      <w:bookmarkStart w:id="438" w:name="_Toc261860593"/>
      <w:r w:rsidRPr="0014429F">
        <w:rPr>
          <w:rFonts w:cs="Arial"/>
          <w:iCs/>
          <w:szCs w:val="22"/>
        </w:rPr>
        <w:t xml:space="preserve">Bradlow, B., n.d.: Eviction train rolls into Alberton, </w:t>
      </w:r>
      <w:r w:rsidRPr="0014429F">
        <w:rPr>
          <w:iCs/>
        </w:rPr>
        <w:t xml:space="preserve"> </w:t>
      </w:r>
      <w:hyperlink r:id="rId56" w:history="1">
        <w:r w:rsidR="0014429F" w:rsidRPr="0014429F">
          <w:rPr>
            <w:rStyle w:val="Hyperlink"/>
            <w:iCs/>
          </w:rPr>
          <w:t>http://qa.sdinet.org/news/25</w:t>
        </w:r>
      </w:hyperlink>
      <w:r w:rsidRPr="0014429F">
        <w:rPr>
          <w:iCs/>
        </w:rPr>
        <w:t>accessed 30.04.2014</w:t>
      </w:r>
      <w:bookmarkEnd w:id="438"/>
      <w:r w:rsidRPr="0014429F">
        <w:rPr>
          <w:iCs/>
        </w:rPr>
        <w:t xml:space="preserve"> </w:t>
      </w:r>
    </w:p>
    <w:p w14:paraId="1940A1A3" w14:textId="77777777" w:rsidR="00100CFD" w:rsidRPr="00A0532A" w:rsidRDefault="00100CFD" w:rsidP="00100CFD">
      <w:pPr>
        <w:tabs>
          <w:tab w:val="left" w:pos="724"/>
          <w:tab w:val="left" w:pos="3128"/>
          <w:tab w:val="left" w:pos="6009"/>
          <w:tab w:val="left" w:pos="7345"/>
        </w:tabs>
        <w:rPr>
          <w:rFonts w:cs="Arial"/>
          <w:szCs w:val="22"/>
        </w:rPr>
      </w:pPr>
      <w:r w:rsidRPr="00A0532A">
        <w:rPr>
          <w:rFonts w:cs="Arial"/>
          <w:szCs w:val="22"/>
        </w:rPr>
        <w:t xml:space="preserve">Brown University, n.d.: </w:t>
      </w:r>
      <w:r w:rsidRPr="00A0532A">
        <w:rPr>
          <w:rFonts w:cs="Arial"/>
          <w:i/>
          <w:szCs w:val="22"/>
        </w:rPr>
        <w:t>History and profile of Diepsloot</w:t>
      </w:r>
      <w:r w:rsidRPr="00A0532A">
        <w:rPr>
          <w:rFonts w:cs="Arial"/>
          <w:szCs w:val="22"/>
        </w:rPr>
        <w:t xml:space="preserve">: Brown University country report, </w:t>
      </w:r>
      <w:hyperlink r:id="rId57" w:history="1">
        <w:r w:rsidRPr="00A0532A">
          <w:rPr>
            <w:rStyle w:val="Hyperlink"/>
            <w:rFonts w:cs="Arial"/>
            <w:szCs w:val="22"/>
          </w:rPr>
          <w:t>http://www.s4.brown.edu/southafrica/Reports/Johannesburg/Diepsloot.pdf accessed 29.04.2014</w:t>
        </w:r>
      </w:hyperlink>
    </w:p>
    <w:p w14:paraId="232AAA8B" w14:textId="77777777" w:rsidR="00100CFD" w:rsidRPr="00A0532A" w:rsidRDefault="00100CFD" w:rsidP="00100CFD">
      <w:pPr>
        <w:pStyle w:val="NoSpacing"/>
        <w:jc w:val="both"/>
        <w:rPr>
          <w:rFonts w:ascii="Arial" w:hAnsi="Arial" w:cs="Arial"/>
        </w:rPr>
      </w:pPr>
      <w:r w:rsidRPr="00A0532A">
        <w:rPr>
          <w:rFonts w:ascii="Arial" w:hAnsi="Arial" w:cs="Arial"/>
        </w:rPr>
        <w:t xml:space="preserve">City of Cape Town, 2006: </w:t>
      </w:r>
      <w:r w:rsidRPr="00A0532A">
        <w:rPr>
          <w:rFonts w:ascii="Arial" w:hAnsi="Arial" w:cs="Arial"/>
          <w:i/>
        </w:rPr>
        <w:t>City considers houses for Informal Dwellers in Nature Reserve</w:t>
      </w:r>
      <w:r w:rsidRPr="00A0532A">
        <w:rPr>
          <w:rFonts w:ascii="Arial" w:hAnsi="Arial" w:cs="Arial"/>
        </w:rPr>
        <w:t xml:space="preserve">, 1 Media Release No. 166/2006 9 May 2006 </w:t>
      </w:r>
      <w:hyperlink r:id="rId58" w:history="1">
        <w:r w:rsidRPr="00A0532A">
          <w:rPr>
            <w:rStyle w:val="Hyperlink"/>
            <w:rFonts w:ascii="Arial" w:hAnsi="Arial" w:cs="Arial"/>
          </w:rPr>
          <w:t>http://www.capetown.gov.za/en/MediaReleases/Pages/CityConsidersHousesForInformalDwellersInNatureReserve.aspx</w:t>
        </w:r>
      </w:hyperlink>
      <w:r w:rsidRPr="00A0532A">
        <w:rPr>
          <w:rFonts w:ascii="Arial" w:hAnsi="Arial" w:cs="Arial"/>
        </w:rPr>
        <w:t xml:space="preserve"> accessed 26.03.2014. </w:t>
      </w:r>
    </w:p>
    <w:p w14:paraId="36DD6DF0" w14:textId="77777777" w:rsidR="00100CFD" w:rsidRPr="00A0532A" w:rsidRDefault="00100CFD" w:rsidP="00100CFD">
      <w:pPr>
        <w:pStyle w:val="NoSpacing"/>
        <w:jc w:val="both"/>
        <w:rPr>
          <w:rFonts w:ascii="Arial" w:hAnsi="Arial" w:cs="Arial"/>
        </w:rPr>
      </w:pPr>
    </w:p>
    <w:p w14:paraId="67CF690D" w14:textId="77777777" w:rsidR="00100CFD" w:rsidRPr="00A0532A" w:rsidRDefault="00100CFD" w:rsidP="00100CFD">
      <w:pPr>
        <w:autoSpaceDE w:val="0"/>
        <w:autoSpaceDN w:val="0"/>
        <w:adjustRightInd w:val="0"/>
        <w:rPr>
          <w:rFonts w:cs="Arial"/>
          <w:bCs/>
          <w:szCs w:val="22"/>
        </w:rPr>
      </w:pPr>
      <w:r w:rsidRPr="00A0532A">
        <w:rPr>
          <w:rFonts w:cs="Arial"/>
          <w:szCs w:val="22"/>
        </w:rPr>
        <w:t xml:space="preserve">City of Cape Town, 2011: </w:t>
      </w:r>
      <w:r w:rsidRPr="00A0532A">
        <w:rPr>
          <w:rFonts w:cs="Arial"/>
          <w:bCs/>
          <w:i/>
          <w:szCs w:val="22"/>
        </w:rPr>
        <w:t>Imizamo Yethu: Housing Development Options proposed for portions of land reserved for housing,</w:t>
      </w:r>
      <w:r w:rsidRPr="00A0532A">
        <w:rPr>
          <w:rFonts w:cs="Arial"/>
          <w:bCs/>
          <w:szCs w:val="22"/>
        </w:rPr>
        <w:t xml:space="preserve"> Report to Mayoral Committee, 24</w:t>
      </w:r>
      <w:r w:rsidRPr="00A0532A">
        <w:rPr>
          <w:rFonts w:cs="Arial"/>
          <w:bCs/>
          <w:szCs w:val="22"/>
          <w:vertAlign w:val="superscript"/>
        </w:rPr>
        <w:t>th</w:t>
      </w:r>
      <w:r w:rsidRPr="00A0532A">
        <w:rPr>
          <w:rFonts w:cs="Arial"/>
          <w:bCs/>
          <w:szCs w:val="22"/>
        </w:rPr>
        <w:t xml:space="preserve"> May 2011, City of Cape Town.</w:t>
      </w:r>
    </w:p>
    <w:p w14:paraId="1D9B96CB" w14:textId="77777777" w:rsidR="00100CFD" w:rsidRPr="00A0532A" w:rsidRDefault="00100CFD" w:rsidP="00100CFD">
      <w:pPr>
        <w:rPr>
          <w:rStyle w:val="Hyperlink"/>
          <w:rFonts w:cs="Arial"/>
          <w:szCs w:val="22"/>
        </w:rPr>
      </w:pPr>
      <w:r w:rsidRPr="00A0532A">
        <w:rPr>
          <w:rFonts w:cs="Arial"/>
          <w:szCs w:val="22"/>
        </w:rPr>
        <w:t xml:space="preserve">Cross, C., 2010: Housing Delivery: Interphasing Formal and Informal, presentation to Department of Human Settlements Workstream, HSRC  21 September 2010 </w:t>
      </w:r>
      <w:hyperlink r:id="rId59" w:history="1">
        <w:r w:rsidRPr="00A0532A">
          <w:rPr>
            <w:rStyle w:val="Hyperlink"/>
            <w:rFonts w:cs="Arial"/>
            <w:szCs w:val="22"/>
          </w:rPr>
          <w:t>http://stepsa.org/resources/shared-documents/dhs-presentation-re-plnn-workstream-v-6-22-sept accessed 27.03.2014</w:t>
        </w:r>
      </w:hyperlink>
    </w:p>
    <w:p w14:paraId="6A87BF9D" w14:textId="77777777" w:rsidR="00100CFD" w:rsidRPr="00A0532A" w:rsidRDefault="00100CFD" w:rsidP="00100CFD">
      <w:pPr>
        <w:rPr>
          <w:rFonts w:cs="Arial"/>
          <w:szCs w:val="22"/>
        </w:rPr>
      </w:pPr>
      <w:r w:rsidRPr="00A0532A">
        <w:rPr>
          <w:rFonts w:cs="Arial"/>
          <w:szCs w:val="22"/>
        </w:rPr>
        <w:t>de Lille, P., 2014: City increases efforts to enable redress in Hangberg and Imizamo Yethu, Media Release No. 165/2014, 12</w:t>
      </w:r>
      <w:r w:rsidRPr="00A0532A">
        <w:rPr>
          <w:rFonts w:cs="Arial"/>
          <w:szCs w:val="22"/>
          <w:vertAlign w:val="superscript"/>
        </w:rPr>
        <w:t>th</w:t>
      </w:r>
      <w:r w:rsidRPr="00A0532A">
        <w:rPr>
          <w:rFonts w:cs="Arial"/>
          <w:szCs w:val="22"/>
        </w:rPr>
        <w:t xml:space="preserve"> March 2014</w:t>
      </w:r>
      <w:r w:rsidRPr="00A0532A">
        <w:rPr>
          <w:rFonts w:cs="Arial"/>
          <w:szCs w:val="22"/>
        </w:rPr>
        <w:tab/>
      </w:r>
    </w:p>
    <w:p w14:paraId="74CEDBD9" w14:textId="77777777" w:rsidR="00100CFD" w:rsidRPr="00A0532A" w:rsidRDefault="00D81C50" w:rsidP="00100CFD">
      <w:pPr>
        <w:rPr>
          <w:rFonts w:cs="Arial"/>
          <w:szCs w:val="22"/>
        </w:rPr>
      </w:pPr>
      <w:hyperlink r:id="rId60" w:history="1">
        <w:r w:rsidR="00100CFD" w:rsidRPr="00A0532A">
          <w:rPr>
            <w:rStyle w:val="Hyperlink"/>
            <w:rFonts w:cs="Arial"/>
            <w:szCs w:val="22"/>
          </w:rPr>
          <w:t>http://www.capetown.gov.za/en/MediaReleases/Pages/CityincreaseseffortstoenableredressinHangbergandImizamoYethu.aspx</w:t>
        </w:r>
      </w:hyperlink>
      <w:r w:rsidR="00100CFD" w:rsidRPr="00A0532A">
        <w:rPr>
          <w:rFonts w:cs="Arial"/>
          <w:szCs w:val="22"/>
        </w:rPr>
        <w:t xml:space="preserve"> accessed 30.04.2014 </w:t>
      </w:r>
    </w:p>
    <w:p w14:paraId="0EED14EA" w14:textId="77777777" w:rsidR="00100CFD" w:rsidRPr="00A0532A" w:rsidRDefault="00100CFD" w:rsidP="00100CFD">
      <w:pPr>
        <w:pStyle w:val="NoSpacing"/>
        <w:jc w:val="both"/>
        <w:rPr>
          <w:rFonts w:ascii="Arial" w:hAnsi="Arial" w:cs="Arial"/>
        </w:rPr>
      </w:pPr>
      <w:r w:rsidRPr="00A0532A">
        <w:rPr>
          <w:rFonts w:ascii="Arial" w:hAnsi="Arial" w:cs="Arial"/>
        </w:rPr>
        <w:t xml:space="preserve">Harber, A., 2011: </w:t>
      </w:r>
      <w:r w:rsidRPr="00A0532A">
        <w:rPr>
          <w:rFonts w:ascii="Arial" w:hAnsi="Arial" w:cs="Arial"/>
          <w:i/>
        </w:rPr>
        <w:t>Diepsloot: a place at the side of the Road</w:t>
      </w:r>
      <w:r w:rsidRPr="00A0532A">
        <w:rPr>
          <w:rFonts w:ascii="Arial" w:hAnsi="Arial" w:cs="Arial"/>
        </w:rPr>
        <w:t>, Jonathan Ball Publishers, Johannesburg</w:t>
      </w:r>
    </w:p>
    <w:p w14:paraId="3F8B626F" w14:textId="77777777" w:rsidR="00100CFD" w:rsidRPr="00A0532A" w:rsidRDefault="00100CFD" w:rsidP="00100CFD">
      <w:pPr>
        <w:rPr>
          <w:rStyle w:val="Hyperlink"/>
          <w:rFonts w:cs="Arial"/>
          <w:szCs w:val="22"/>
        </w:rPr>
      </w:pPr>
      <w:r w:rsidRPr="00A0532A">
        <w:rPr>
          <w:rFonts w:cs="Arial"/>
          <w:szCs w:val="22"/>
        </w:rPr>
        <w:t xml:space="preserve">Housing Development Agency (HDA), 2012: </w:t>
      </w:r>
      <w:r w:rsidRPr="00A0532A">
        <w:rPr>
          <w:rFonts w:cs="Arial"/>
          <w:i/>
          <w:szCs w:val="22"/>
        </w:rPr>
        <w:t>South Africa: Informal settlements status, HDA Research Report series</w:t>
      </w:r>
      <w:r w:rsidRPr="00A0532A">
        <w:rPr>
          <w:rFonts w:cs="Arial"/>
          <w:szCs w:val="22"/>
        </w:rPr>
        <w:t xml:space="preserve">, </w:t>
      </w:r>
      <w:hyperlink r:id="rId61" w:history="1">
        <w:r w:rsidRPr="00A0532A">
          <w:rPr>
            <w:rStyle w:val="Hyperlink"/>
            <w:rFonts w:cs="Arial"/>
            <w:szCs w:val="22"/>
          </w:rPr>
          <w:t>http://www.thehda.co.za/uploads/images/HDA_Informal_settlements_status_South_Africa.pdf accessed 27.03.2014</w:t>
        </w:r>
      </w:hyperlink>
    </w:p>
    <w:p w14:paraId="3DBC0949" w14:textId="77777777" w:rsidR="00100CFD" w:rsidRPr="00A0532A" w:rsidRDefault="00100CFD" w:rsidP="00100CFD">
      <w:pPr>
        <w:tabs>
          <w:tab w:val="left" w:pos="450"/>
        </w:tabs>
        <w:rPr>
          <w:rFonts w:cs="Arial"/>
          <w:bCs/>
          <w:szCs w:val="22"/>
        </w:rPr>
      </w:pPr>
      <w:r w:rsidRPr="00A0532A">
        <w:rPr>
          <w:rFonts w:cs="Arial"/>
          <w:bCs/>
          <w:szCs w:val="22"/>
        </w:rPr>
        <w:t xml:space="preserve">Huchzermeyer, M., 2001: </w:t>
      </w:r>
      <w:r w:rsidRPr="00A0532A">
        <w:rPr>
          <w:rFonts w:cs="Arial"/>
          <w:bCs/>
          <w:i/>
          <w:szCs w:val="22"/>
        </w:rPr>
        <w:t>Coping with informality and illegality in human settlements in developing cities</w:t>
      </w:r>
      <w:r w:rsidRPr="00A0532A">
        <w:rPr>
          <w:rFonts w:cs="Arial"/>
          <w:bCs/>
          <w:szCs w:val="22"/>
        </w:rPr>
        <w:t>, N-AERUS Workshop: From "contravention of laws" to "lack of rights": redefining the problem of informal settlements in South Africa, 23-26 May 2001, Belgium,</w:t>
      </w:r>
    </w:p>
    <w:p w14:paraId="7C81B3E9" w14:textId="77777777" w:rsidR="00100CFD" w:rsidRPr="00A0532A" w:rsidRDefault="00100CFD" w:rsidP="00100CFD">
      <w:pPr>
        <w:rPr>
          <w:rFonts w:cs="Arial"/>
          <w:szCs w:val="22"/>
        </w:rPr>
      </w:pPr>
      <w:r w:rsidRPr="00A0532A">
        <w:rPr>
          <w:rFonts w:cs="Arial"/>
          <w:szCs w:val="22"/>
        </w:rPr>
        <w:t xml:space="preserve">Johannesburg Development Agency/Urban Landmark, 2011: </w:t>
      </w:r>
      <w:r w:rsidRPr="00A0532A">
        <w:rPr>
          <w:rFonts w:cs="Arial"/>
          <w:i/>
          <w:szCs w:val="22"/>
        </w:rPr>
        <w:t>Diepsloot: Ready for Development,</w:t>
      </w:r>
      <w:r w:rsidRPr="00A0532A">
        <w:rPr>
          <w:rFonts w:cs="Arial"/>
          <w:szCs w:val="22"/>
        </w:rPr>
        <w:t xml:space="preserve"> </w:t>
      </w:r>
      <w:hyperlink r:id="rId62" w:history="1">
        <w:r w:rsidRPr="00A0532A">
          <w:rPr>
            <w:rStyle w:val="Hyperlink"/>
            <w:rFonts w:cs="Arial"/>
            <w:szCs w:val="22"/>
          </w:rPr>
          <w:t>http://www.urbanlandmark.org.za/downloads/diepsloot_brochure.pdf accessed 28.04.2014</w:t>
        </w:r>
      </w:hyperlink>
    </w:p>
    <w:p w14:paraId="16DFEB1B" w14:textId="77777777" w:rsidR="00100CFD" w:rsidRPr="00A0532A" w:rsidRDefault="00100CFD" w:rsidP="00100CFD">
      <w:pPr>
        <w:rPr>
          <w:rFonts w:cs="Arial"/>
          <w:szCs w:val="22"/>
        </w:rPr>
      </w:pPr>
    </w:p>
    <w:p w14:paraId="274B2F38" w14:textId="77777777" w:rsidR="00100CFD" w:rsidRPr="00A0532A" w:rsidRDefault="00100CFD" w:rsidP="00100CFD">
      <w:pPr>
        <w:rPr>
          <w:rFonts w:cs="Arial"/>
          <w:szCs w:val="22"/>
        </w:rPr>
      </w:pPr>
      <w:r w:rsidRPr="00A0532A">
        <w:rPr>
          <w:rFonts w:cs="Arial"/>
          <w:szCs w:val="22"/>
        </w:rPr>
        <w:t xml:space="preserve">Mail and Guardian, 2007: Ask some whites to leave, </w:t>
      </w:r>
      <w:r w:rsidRPr="00A0532A">
        <w:rPr>
          <w:rFonts w:cs="Arial"/>
          <w:i/>
          <w:szCs w:val="22"/>
        </w:rPr>
        <w:t>Mail and Guardian online</w:t>
      </w:r>
      <w:r w:rsidRPr="00A0532A">
        <w:rPr>
          <w:rFonts w:cs="Arial"/>
          <w:szCs w:val="22"/>
        </w:rPr>
        <w:t xml:space="preserve">, 23.02.2007 </w:t>
      </w:r>
      <w:hyperlink r:id="rId63" w:history="1">
        <w:r w:rsidRPr="00A0532A">
          <w:rPr>
            <w:rStyle w:val="Hyperlink"/>
            <w:rFonts w:cs="Arial"/>
            <w:szCs w:val="22"/>
          </w:rPr>
          <w:t>http://mg.co.za/article/2007-02-23-ask-some-whites-to-leave accessed 28.04.2014</w:t>
        </w:r>
      </w:hyperlink>
      <w:r w:rsidRPr="00A0532A">
        <w:rPr>
          <w:rFonts w:cs="Arial"/>
          <w:szCs w:val="22"/>
        </w:rPr>
        <w:t xml:space="preserve"> </w:t>
      </w:r>
    </w:p>
    <w:p w14:paraId="0A5F4AF8" w14:textId="77777777" w:rsidR="00100CFD" w:rsidRPr="00A0532A" w:rsidRDefault="00100CFD" w:rsidP="00100CFD">
      <w:pPr>
        <w:rPr>
          <w:rStyle w:val="Hyperlink"/>
          <w:rFonts w:cs="Arial"/>
          <w:szCs w:val="22"/>
        </w:rPr>
      </w:pPr>
    </w:p>
    <w:p w14:paraId="04CBB47C" w14:textId="77777777" w:rsidR="00100CFD" w:rsidRPr="0014429F" w:rsidRDefault="00100CFD" w:rsidP="0014429F">
      <w:pPr>
        <w:autoSpaceDE w:val="0"/>
        <w:autoSpaceDN w:val="0"/>
        <w:adjustRightInd w:val="0"/>
        <w:rPr>
          <w:rFonts w:cs="Arial"/>
          <w:bCs/>
          <w:szCs w:val="22"/>
        </w:rPr>
      </w:pPr>
      <w:bookmarkStart w:id="439" w:name="_Toc261860594"/>
      <w:r w:rsidRPr="0014429F">
        <w:rPr>
          <w:rFonts w:cs="Arial"/>
          <w:bCs/>
          <w:szCs w:val="22"/>
        </w:rPr>
        <w:t xml:space="preserve">Mtantato, S., 2012: </w:t>
      </w:r>
      <w:hyperlink r:id="rId64" w:history="1">
        <w:r w:rsidRPr="0014429F">
          <w:rPr>
            <w:rFonts w:cs="Arial"/>
            <w:bCs/>
            <w:szCs w:val="22"/>
          </w:rPr>
          <w:t>Chapter 11: Impact of Current Land-use Patterns on Publ</w:t>
        </w:r>
      </w:hyperlink>
      <w:r w:rsidRPr="0014429F">
        <w:rPr>
          <w:rFonts w:cs="Arial"/>
          <w:bCs/>
          <w:szCs w:val="22"/>
        </w:rPr>
        <w:t xml:space="preserve">ic transport and human settlements. submission to the 2012/2013 DORA Report  </w:t>
      </w:r>
      <w:hyperlink r:id="rId65" w:history="1">
        <w:r w:rsidRPr="0014429F">
          <w:rPr>
            <w:rFonts w:cs="Arial"/>
            <w:bCs/>
            <w:szCs w:val="22"/>
          </w:rPr>
          <w:t>file:///C:/Users/Margot%20Rubin/Downloads/Chapter%2011%20-%20Impact%20of%20Current%20Land-use%20Patterns%20on%20Public%20Transport%20and%20Human%20Settlements.pdf</w:t>
        </w:r>
      </w:hyperlink>
      <w:r w:rsidRPr="0014429F">
        <w:rPr>
          <w:rFonts w:cs="Arial"/>
          <w:bCs/>
          <w:szCs w:val="22"/>
        </w:rPr>
        <w:t xml:space="preserve"> accessed 26.03.2014</w:t>
      </w:r>
      <w:bookmarkEnd w:id="439"/>
      <w:r w:rsidRPr="0014429F">
        <w:rPr>
          <w:rFonts w:cs="Arial"/>
          <w:bCs/>
          <w:szCs w:val="22"/>
        </w:rPr>
        <w:t xml:space="preserve"> </w:t>
      </w:r>
    </w:p>
    <w:p w14:paraId="0D7588B1" w14:textId="77777777" w:rsidR="00100CFD" w:rsidRPr="00A0532A" w:rsidRDefault="00100CFD" w:rsidP="00100CFD">
      <w:pPr>
        <w:autoSpaceDE w:val="0"/>
        <w:autoSpaceDN w:val="0"/>
        <w:adjustRightInd w:val="0"/>
        <w:rPr>
          <w:rFonts w:cs="Arial"/>
          <w:bCs/>
          <w:i/>
          <w:szCs w:val="22"/>
        </w:rPr>
      </w:pPr>
      <w:r w:rsidRPr="00A0532A">
        <w:rPr>
          <w:rFonts w:cs="Arial"/>
          <w:bCs/>
          <w:szCs w:val="22"/>
        </w:rPr>
        <w:t xml:space="preserve">Niall Mellon Foundation, 2007: </w:t>
      </w:r>
      <w:r w:rsidRPr="00A0532A">
        <w:rPr>
          <w:rFonts w:cs="Arial"/>
          <w:bCs/>
          <w:i/>
          <w:szCs w:val="22"/>
        </w:rPr>
        <w:t>Rapid Impact Assessment of Nialls Mellon Township Trust work in</w:t>
      </w:r>
      <w:r w:rsidRPr="00A0532A">
        <w:rPr>
          <w:rFonts w:cs="Arial"/>
          <w:bCs/>
          <w:szCs w:val="22"/>
        </w:rPr>
        <w:t xml:space="preserve"> </w:t>
      </w:r>
      <w:r w:rsidRPr="00A0532A">
        <w:rPr>
          <w:rFonts w:cs="Arial"/>
          <w:bCs/>
          <w:i/>
          <w:szCs w:val="22"/>
        </w:rPr>
        <w:t xml:space="preserve">Imizamo Yethu: Cape Town from 2003 to 2005, </w:t>
      </w:r>
      <w:r w:rsidRPr="00A0532A">
        <w:rPr>
          <w:rFonts w:cs="Arial"/>
          <w:bCs/>
          <w:szCs w:val="22"/>
        </w:rPr>
        <w:t>NMTT, October 2007, Summary Report.</w:t>
      </w:r>
      <w:r w:rsidRPr="00A0532A">
        <w:rPr>
          <w:rFonts w:cs="Arial"/>
          <w:bCs/>
          <w:i/>
          <w:szCs w:val="22"/>
        </w:rPr>
        <w:t xml:space="preserve"> </w:t>
      </w:r>
    </w:p>
    <w:p w14:paraId="1B02F049" w14:textId="77777777" w:rsidR="00100CFD" w:rsidRPr="00A0532A" w:rsidRDefault="00100CFD" w:rsidP="00100CFD">
      <w:pPr>
        <w:rPr>
          <w:rFonts w:cs="Arial"/>
          <w:szCs w:val="22"/>
        </w:rPr>
      </w:pPr>
      <w:r w:rsidRPr="00A0532A">
        <w:rPr>
          <w:rFonts w:cs="Arial"/>
          <w:szCs w:val="22"/>
        </w:rPr>
        <w:t xml:space="preserve">Patel, K.,  2011: </w:t>
      </w:r>
      <w:r w:rsidRPr="00A0532A">
        <w:rPr>
          <w:rFonts w:cs="Arial"/>
          <w:i/>
          <w:szCs w:val="22"/>
        </w:rPr>
        <w:t>Formalising informal settlements: how social relations and identity influence changes to the tenure security of the urban poor in Durban</w:t>
      </w:r>
      <w:r w:rsidRPr="00A0532A">
        <w:rPr>
          <w:rFonts w:cs="Arial"/>
          <w:szCs w:val="22"/>
        </w:rPr>
        <w:t xml:space="preserve">, South Africa, Panel session 85: Governing informal settlements, on whose terms? University and Birmingham </w:t>
      </w:r>
      <w:hyperlink r:id="rId66" w:history="1">
        <w:r w:rsidRPr="00A0532A">
          <w:rPr>
            <w:rStyle w:val="Hyperlink"/>
            <w:rFonts w:cs="Arial"/>
            <w:szCs w:val="22"/>
          </w:rPr>
          <w:t>http://www.nai.uu.se/ecas-4/panels/81-100/panel-85/Kamna-Patel-Full-paper.pdf</w:t>
        </w:r>
      </w:hyperlink>
      <w:r w:rsidRPr="00A0532A">
        <w:rPr>
          <w:rFonts w:cs="Arial"/>
          <w:szCs w:val="22"/>
        </w:rPr>
        <w:t xml:space="preserve"> accessed 01.05.2013.</w:t>
      </w:r>
    </w:p>
    <w:p w14:paraId="663D2683" w14:textId="77777777" w:rsidR="00100CFD" w:rsidRPr="00A0532A" w:rsidRDefault="00100CFD" w:rsidP="00100CFD">
      <w:pPr>
        <w:rPr>
          <w:rFonts w:cs="Arial"/>
          <w:szCs w:val="22"/>
        </w:rPr>
      </w:pPr>
      <w:r w:rsidRPr="00A0532A">
        <w:rPr>
          <w:rFonts w:cs="Arial"/>
          <w:szCs w:val="22"/>
        </w:rPr>
        <w:t xml:space="preserve">Patel, P., 2011: </w:t>
      </w:r>
      <w:r w:rsidRPr="00A0532A">
        <w:rPr>
          <w:rFonts w:cs="Arial"/>
          <w:i/>
          <w:szCs w:val="22"/>
        </w:rPr>
        <w:t>Tenure and vulnerability: the effects of changes to tenure security on the identity and social relationships of the urban poor</w:t>
      </w:r>
      <w:r w:rsidRPr="00A0532A">
        <w:rPr>
          <w:rFonts w:cs="Arial"/>
          <w:szCs w:val="22"/>
        </w:rPr>
        <w:t xml:space="preserve">: A Thesis submitted to the University of Birmingham for the Degree of Doctor of Philosophy, International Development Department, School of Government and Society, College of Social Sciences, University of Birmingham,  </w:t>
      </w:r>
      <w:hyperlink r:id="rId67" w:history="1">
        <w:r w:rsidRPr="00A0532A">
          <w:rPr>
            <w:rStyle w:val="Hyperlink"/>
            <w:rFonts w:cs="Arial"/>
            <w:szCs w:val="22"/>
          </w:rPr>
          <w:t>http://etheses.bham.ac.uk/3267/1/Patel12PhD.pdf accessed 27.03.2014</w:t>
        </w:r>
      </w:hyperlink>
    </w:p>
    <w:p w14:paraId="112AE55F" w14:textId="77777777" w:rsidR="00100CFD" w:rsidRPr="00A0532A" w:rsidRDefault="00100CFD" w:rsidP="00100CFD">
      <w:pPr>
        <w:rPr>
          <w:rFonts w:cs="Arial"/>
          <w:iCs/>
          <w:color w:val="222222"/>
          <w:szCs w:val="22"/>
          <w:shd w:val="clear" w:color="auto" w:fill="FFFFFF"/>
        </w:rPr>
      </w:pPr>
      <w:r w:rsidRPr="00A0532A">
        <w:rPr>
          <w:rFonts w:cs="Arial"/>
          <w:color w:val="222222"/>
          <w:szCs w:val="22"/>
          <w:shd w:val="clear" w:color="auto" w:fill="FFFFFF"/>
        </w:rPr>
        <w:t xml:space="preserve">Payne, G, Durand-Lasserve, A., Rakodi, C., Marx, C., Rubin, M., and Ndiaye, S, 2008: </w:t>
      </w:r>
      <w:r w:rsidRPr="00A0532A">
        <w:rPr>
          <w:rFonts w:cs="Arial"/>
          <w:i/>
          <w:color w:val="222222"/>
          <w:szCs w:val="22"/>
          <w:shd w:val="clear" w:color="auto" w:fill="FFFFFF"/>
        </w:rPr>
        <w:t>Social and economic impacts of land titling programmes in urban and peri-urban areas: International experience and case studies of Senegal and South Africa</w:t>
      </w:r>
      <w:r w:rsidRPr="00A0532A">
        <w:rPr>
          <w:rFonts w:cs="Arial"/>
          <w:color w:val="222222"/>
          <w:szCs w:val="22"/>
          <w:shd w:val="clear" w:color="auto" w:fill="FFFFFF"/>
        </w:rPr>
        <w:t xml:space="preserve">. </w:t>
      </w:r>
      <w:r w:rsidRPr="00A0532A">
        <w:rPr>
          <w:rFonts w:cs="Arial"/>
          <w:iCs/>
          <w:color w:val="222222"/>
          <w:szCs w:val="22"/>
          <w:shd w:val="clear" w:color="auto" w:fill="FFFFFF"/>
        </w:rPr>
        <w:t>Global Land Tool Network/University of Witwatersrand, Johannesburg.</w:t>
      </w:r>
    </w:p>
    <w:p w14:paraId="767341B7" w14:textId="77777777" w:rsidR="00100CFD" w:rsidRPr="00A0532A" w:rsidRDefault="00100CFD" w:rsidP="00100CFD">
      <w:pPr>
        <w:shd w:val="clear" w:color="auto" w:fill="FFFFFF"/>
        <w:outlineLvl w:val="1"/>
        <w:rPr>
          <w:rFonts w:cs="Arial"/>
          <w:szCs w:val="22"/>
        </w:rPr>
      </w:pPr>
      <w:r w:rsidRPr="00A0532A">
        <w:rPr>
          <w:rFonts w:cs="Arial"/>
          <w:bCs/>
          <w:szCs w:val="22"/>
          <w:lang w:eastAsia="en-GB"/>
        </w:rPr>
        <w:t xml:space="preserve">Poulsen, L, Deckler, T., Graupner, A., Toffah, T., Trangos, G., Davids, S., and Lubell, C., 2008: </w:t>
      </w:r>
      <w:r w:rsidRPr="00A0532A">
        <w:rPr>
          <w:rFonts w:cs="Arial"/>
          <w:bCs/>
          <w:i/>
          <w:szCs w:val="22"/>
          <w:lang w:eastAsia="en-GB"/>
        </w:rPr>
        <w:t>Housing and the Informal City Research Project: Diepsloot Reception Area Johannesburg</w:t>
      </w:r>
      <w:r w:rsidRPr="00A0532A">
        <w:rPr>
          <w:rFonts w:cs="Arial"/>
          <w:bCs/>
          <w:szCs w:val="22"/>
          <w:lang w:eastAsia="en-GB"/>
        </w:rPr>
        <w:t xml:space="preserve">, </w:t>
      </w:r>
      <w:r w:rsidRPr="00A0532A">
        <w:rPr>
          <w:rFonts w:cs="Arial"/>
          <w:bCs/>
          <w:iCs/>
          <w:szCs w:val="22"/>
          <w:lang w:eastAsia="en-GB"/>
        </w:rPr>
        <w:t xml:space="preserve">Goethe-Institut, Johannesburg, </w:t>
      </w:r>
      <w:hyperlink r:id="rId68" w:history="1">
        <w:r w:rsidRPr="00A0532A">
          <w:rPr>
            <w:rStyle w:val="Hyperlink"/>
            <w:rFonts w:cs="Arial"/>
            <w:szCs w:val="22"/>
            <w:shd w:val="clear" w:color="auto" w:fill="FFFFFF"/>
          </w:rPr>
          <w:t>http://www.housinginformalcity.co.za</w:t>
        </w:r>
      </w:hyperlink>
      <w:r w:rsidRPr="00A0532A">
        <w:rPr>
          <w:rFonts w:cs="Arial"/>
          <w:szCs w:val="22"/>
        </w:rPr>
        <w:t xml:space="preserve"> accessed 26.03.2014</w:t>
      </w:r>
    </w:p>
    <w:p w14:paraId="0C7F312C" w14:textId="77777777" w:rsidR="00100CFD" w:rsidRPr="00A0532A" w:rsidRDefault="00100CFD" w:rsidP="00100CFD">
      <w:pPr>
        <w:pStyle w:val="NoSpacing"/>
        <w:jc w:val="both"/>
        <w:rPr>
          <w:rFonts w:ascii="Arial" w:hAnsi="Arial" w:cs="Arial"/>
        </w:rPr>
      </w:pPr>
      <w:r w:rsidRPr="00A0532A">
        <w:rPr>
          <w:rFonts w:ascii="Arial" w:hAnsi="Arial" w:cs="Arial"/>
        </w:rPr>
        <w:t xml:space="preserve">SDI Alliance, 2009: “Alberton Station” </w:t>
      </w:r>
      <w:r w:rsidRPr="00A0532A">
        <w:rPr>
          <w:rFonts w:ascii="Arial" w:hAnsi="Arial" w:cs="Arial"/>
          <w:i/>
        </w:rPr>
        <w:t>Household Enumeration Report</w:t>
      </w:r>
      <w:r w:rsidRPr="00A0532A">
        <w:rPr>
          <w:rFonts w:ascii="Arial" w:hAnsi="Arial" w:cs="Arial"/>
        </w:rPr>
        <w:t>, Informal Settlement Network,</w:t>
      </w:r>
    </w:p>
    <w:p w14:paraId="068E29EC" w14:textId="69B3D4BC" w:rsidR="00100CFD" w:rsidRPr="00A0532A" w:rsidRDefault="00100CFD" w:rsidP="00100CFD">
      <w:pPr>
        <w:pStyle w:val="NoSpacing"/>
        <w:jc w:val="both"/>
        <w:rPr>
          <w:rFonts w:ascii="Arial" w:hAnsi="Arial" w:cs="Arial"/>
        </w:rPr>
      </w:pPr>
      <w:r w:rsidRPr="00A0532A">
        <w:rPr>
          <w:rFonts w:ascii="Arial" w:hAnsi="Arial" w:cs="Arial"/>
        </w:rPr>
        <w:t xml:space="preserve">Alberton Station Community Leadership and Community </w:t>
      </w:r>
      <w:r w:rsidR="008B47BF">
        <w:rPr>
          <w:rFonts w:ascii="Arial" w:hAnsi="Arial" w:cs="Arial"/>
        </w:rPr>
        <w:t>Organization</w:t>
      </w:r>
      <w:r w:rsidRPr="00A0532A">
        <w:rPr>
          <w:rFonts w:ascii="Arial" w:hAnsi="Arial" w:cs="Arial"/>
        </w:rPr>
        <w:t xml:space="preserve"> Resource Centre Cape Town, Franschoek, Stellenbosch </w:t>
      </w:r>
      <w:hyperlink r:id="rId69" w:history="1">
        <w:r w:rsidRPr="00A0532A">
          <w:rPr>
            <w:rStyle w:val="Hyperlink"/>
            <w:rFonts w:ascii="Arial" w:hAnsi="Arial" w:cs="Arial"/>
          </w:rPr>
          <w:t>http://sasdialliance.org.za/documents/</w:t>
        </w:r>
      </w:hyperlink>
      <w:r w:rsidRPr="00A0532A">
        <w:rPr>
          <w:rFonts w:ascii="Arial" w:hAnsi="Arial" w:cs="Arial"/>
        </w:rPr>
        <w:t xml:space="preserve"> accessed 27.03.2014</w:t>
      </w:r>
    </w:p>
    <w:p w14:paraId="16EAFA69" w14:textId="77777777" w:rsidR="00100CFD" w:rsidRPr="00A0532A" w:rsidRDefault="00100CFD" w:rsidP="00100CFD">
      <w:pPr>
        <w:rPr>
          <w:rFonts w:cs="Arial"/>
          <w:szCs w:val="22"/>
        </w:rPr>
      </w:pPr>
    </w:p>
    <w:p w14:paraId="4F95400C" w14:textId="77777777" w:rsidR="00100CFD" w:rsidRPr="00A0532A" w:rsidRDefault="00100CFD" w:rsidP="00100CFD">
      <w:pPr>
        <w:pStyle w:val="NoSpacing"/>
        <w:jc w:val="both"/>
        <w:rPr>
          <w:rFonts w:ascii="Arial" w:hAnsi="Arial" w:cs="Arial"/>
        </w:rPr>
      </w:pPr>
      <w:r w:rsidRPr="00A0532A">
        <w:rPr>
          <w:rFonts w:ascii="Arial" w:hAnsi="Arial" w:cs="Arial"/>
        </w:rPr>
        <w:t xml:space="preserve">SDI Alliance, 2010: </w:t>
      </w:r>
      <w:r w:rsidRPr="00A0532A">
        <w:rPr>
          <w:rFonts w:ascii="Arial" w:hAnsi="Arial" w:cs="Arial"/>
          <w:i/>
        </w:rPr>
        <w:t>Los Angeles, Household Enumeration Report</w:t>
      </w:r>
      <w:r w:rsidRPr="00A0532A">
        <w:rPr>
          <w:rFonts w:ascii="Arial" w:hAnsi="Arial" w:cs="Arial"/>
        </w:rPr>
        <w:t>, Informal Settlement Network,</w:t>
      </w:r>
    </w:p>
    <w:p w14:paraId="2BC6E527" w14:textId="32F52B8E" w:rsidR="00100CFD" w:rsidRPr="00A0532A" w:rsidRDefault="00100CFD" w:rsidP="00100CFD">
      <w:pPr>
        <w:pStyle w:val="NoSpacing"/>
        <w:jc w:val="both"/>
        <w:rPr>
          <w:rFonts w:ascii="Arial" w:hAnsi="Arial" w:cs="Arial"/>
        </w:rPr>
      </w:pPr>
      <w:r w:rsidRPr="00A0532A">
        <w:rPr>
          <w:rFonts w:ascii="Arial" w:hAnsi="Arial" w:cs="Arial"/>
        </w:rPr>
        <w:t xml:space="preserve">Los Angeles Community Leadership and Community </w:t>
      </w:r>
      <w:r w:rsidR="008B47BF">
        <w:rPr>
          <w:rFonts w:ascii="Arial" w:hAnsi="Arial" w:cs="Arial"/>
        </w:rPr>
        <w:t>Organization</w:t>
      </w:r>
      <w:r w:rsidRPr="00A0532A">
        <w:rPr>
          <w:rFonts w:ascii="Arial" w:hAnsi="Arial" w:cs="Arial"/>
        </w:rPr>
        <w:t xml:space="preserve"> Resource Centre Cape Town, </w:t>
      </w:r>
      <w:hyperlink r:id="rId70" w:history="1">
        <w:r w:rsidRPr="00A0532A">
          <w:rPr>
            <w:rStyle w:val="Hyperlink"/>
            <w:rFonts w:ascii="Arial" w:hAnsi="Arial" w:cs="Arial"/>
          </w:rPr>
          <w:t>http://sasdialliance.org.za/documents/</w:t>
        </w:r>
      </w:hyperlink>
      <w:r w:rsidRPr="00A0532A">
        <w:rPr>
          <w:rFonts w:ascii="Arial" w:hAnsi="Arial" w:cs="Arial"/>
        </w:rPr>
        <w:t xml:space="preserve"> accessed 27.03.2014</w:t>
      </w:r>
    </w:p>
    <w:p w14:paraId="0851C603" w14:textId="77777777" w:rsidR="00100CFD" w:rsidRPr="00A0532A" w:rsidRDefault="00100CFD" w:rsidP="00100CFD">
      <w:pPr>
        <w:pStyle w:val="NoSpacing"/>
        <w:jc w:val="both"/>
        <w:rPr>
          <w:rFonts w:ascii="Arial" w:hAnsi="Arial" w:cs="Arial"/>
        </w:rPr>
      </w:pPr>
    </w:p>
    <w:p w14:paraId="44262773" w14:textId="77777777" w:rsidR="00100CFD" w:rsidRPr="00A0532A" w:rsidRDefault="00100CFD" w:rsidP="00100CFD">
      <w:pPr>
        <w:pStyle w:val="NoSpacing"/>
        <w:jc w:val="both"/>
        <w:rPr>
          <w:rFonts w:ascii="Arial" w:hAnsi="Arial" w:cs="Arial"/>
        </w:rPr>
      </w:pPr>
      <w:r w:rsidRPr="00A0532A">
        <w:rPr>
          <w:rFonts w:ascii="Arial" w:hAnsi="Arial" w:cs="Arial"/>
        </w:rPr>
        <w:t xml:space="preserve">SDI Alliance, 2011: </w:t>
      </w:r>
      <w:r w:rsidRPr="00A0532A">
        <w:rPr>
          <w:rFonts w:ascii="Arial" w:hAnsi="Arial" w:cs="Arial"/>
          <w:i/>
        </w:rPr>
        <w:t>Lwazi Park Settlement Enumeration Report</w:t>
      </w:r>
      <w:r w:rsidRPr="00A0532A">
        <w:rPr>
          <w:rFonts w:ascii="Arial" w:hAnsi="Arial" w:cs="Arial"/>
        </w:rPr>
        <w:t>, Informal Settlement Network,</w:t>
      </w:r>
    </w:p>
    <w:p w14:paraId="06C42FC3" w14:textId="0294B8B6" w:rsidR="00100CFD" w:rsidRPr="00A0532A" w:rsidRDefault="00100CFD" w:rsidP="00100CFD">
      <w:pPr>
        <w:pStyle w:val="NoSpacing"/>
        <w:jc w:val="both"/>
        <w:rPr>
          <w:rFonts w:ascii="Arial" w:hAnsi="Arial" w:cs="Arial"/>
        </w:rPr>
      </w:pPr>
      <w:r w:rsidRPr="00A0532A">
        <w:rPr>
          <w:rFonts w:ascii="Arial" w:hAnsi="Arial" w:cs="Arial"/>
        </w:rPr>
        <w:t xml:space="preserve">Lwazi Community Leadership and Community </w:t>
      </w:r>
      <w:r w:rsidR="008B47BF">
        <w:rPr>
          <w:rFonts w:ascii="Arial" w:hAnsi="Arial" w:cs="Arial"/>
        </w:rPr>
        <w:t>Organization</w:t>
      </w:r>
      <w:r w:rsidRPr="00A0532A">
        <w:rPr>
          <w:rFonts w:ascii="Arial" w:hAnsi="Arial" w:cs="Arial"/>
        </w:rPr>
        <w:t xml:space="preserve"> Resource Centre Cape Town,  </w:t>
      </w:r>
      <w:hyperlink r:id="rId71" w:history="1">
        <w:r w:rsidRPr="00A0532A">
          <w:rPr>
            <w:rStyle w:val="Hyperlink"/>
            <w:rFonts w:ascii="Arial" w:hAnsi="Arial" w:cs="Arial"/>
          </w:rPr>
          <w:t>http://sasdialliance.org.za/documents/</w:t>
        </w:r>
      </w:hyperlink>
      <w:r w:rsidRPr="00A0532A">
        <w:rPr>
          <w:rFonts w:ascii="Arial" w:hAnsi="Arial" w:cs="Arial"/>
        </w:rPr>
        <w:t xml:space="preserve"> accessed 27.03.2014</w:t>
      </w:r>
    </w:p>
    <w:p w14:paraId="2F68FC2C" w14:textId="77777777" w:rsidR="00100CFD" w:rsidRPr="00A0532A" w:rsidRDefault="00100CFD" w:rsidP="00100CFD">
      <w:pPr>
        <w:pStyle w:val="NoSpacing"/>
        <w:jc w:val="both"/>
        <w:rPr>
          <w:rFonts w:ascii="Arial" w:hAnsi="Arial" w:cs="Arial"/>
        </w:rPr>
      </w:pPr>
    </w:p>
    <w:p w14:paraId="699EDD87" w14:textId="77777777" w:rsidR="00100CFD" w:rsidRPr="00A0532A" w:rsidRDefault="00100CFD" w:rsidP="00100CFD">
      <w:pPr>
        <w:pStyle w:val="NoSpacing"/>
        <w:jc w:val="both"/>
        <w:rPr>
          <w:rFonts w:ascii="Arial" w:hAnsi="Arial" w:cs="Arial"/>
        </w:rPr>
      </w:pPr>
      <w:r w:rsidRPr="00A0532A">
        <w:rPr>
          <w:rFonts w:ascii="Arial" w:hAnsi="Arial" w:cs="Arial"/>
        </w:rPr>
        <w:t xml:space="preserve">SDI Alliance, 2011: </w:t>
      </w:r>
      <w:r w:rsidRPr="00A0532A">
        <w:rPr>
          <w:rFonts w:ascii="Arial" w:hAnsi="Arial" w:cs="Arial"/>
          <w:i/>
        </w:rPr>
        <w:t>Langrug Settlement Enumeration Report</w:t>
      </w:r>
      <w:r w:rsidRPr="00A0532A">
        <w:rPr>
          <w:rFonts w:ascii="Arial" w:hAnsi="Arial" w:cs="Arial"/>
        </w:rPr>
        <w:t>, Informal Settlement Network,</w:t>
      </w:r>
    </w:p>
    <w:p w14:paraId="0EA57111" w14:textId="1E7ED498" w:rsidR="00100CFD" w:rsidRPr="00A0532A" w:rsidRDefault="00100CFD" w:rsidP="00100CFD">
      <w:pPr>
        <w:pStyle w:val="NoSpacing"/>
        <w:jc w:val="both"/>
        <w:rPr>
          <w:rFonts w:ascii="Arial" w:hAnsi="Arial" w:cs="Arial"/>
        </w:rPr>
      </w:pPr>
      <w:r w:rsidRPr="00A0532A">
        <w:rPr>
          <w:rFonts w:ascii="Arial" w:hAnsi="Arial" w:cs="Arial"/>
        </w:rPr>
        <w:t xml:space="preserve">Langrug Community Leadership and Community </w:t>
      </w:r>
      <w:r w:rsidR="008B47BF">
        <w:rPr>
          <w:rFonts w:ascii="Arial" w:hAnsi="Arial" w:cs="Arial"/>
        </w:rPr>
        <w:t>Organization</w:t>
      </w:r>
      <w:r w:rsidRPr="00A0532A">
        <w:rPr>
          <w:rFonts w:ascii="Arial" w:hAnsi="Arial" w:cs="Arial"/>
        </w:rPr>
        <w:t xml:space="preserve"> Resource Centre Cape Town, Franschoek, Stellenbosch </w:t>
      </w:r>
      <w:hyperlink r:id="rId72" w:history="1">
        <w:r w:rsidRPr="00A0532A">
          <w:rPr>
            <w:rStyle w:val="Hyperlink"/>
            <w:rFonts w:ascii="Arial" w:hAnsi="Arial" w:cs="Arial"/>
          </w:rPr>
          <w:t>http://sasdialliance.org.za/documents/</w:t>
        </w:r>
      </w:hyperlink>
      <w:r w:rsidRPr="00A0532A">
        <w:rPr>
          <w:rFonts w:ascii="Arial" w:hAnsi="Arial" w:cs="Arial"/>
        </w:rPr>
        <w:t xml:space="preserve"> accessed 27.03.2014</w:t>
      </w:r>
    </w:p>
    <w:p w14:paraId="7BEF57AA" w14:textId="77777777" w:rsidR="00100CFD" w:rsidRPr="00A0532A" w:rsidRDefault="00100CFD" w:rsidP="00100CFD">
      <w:pPr>
        <w:rPr>
          <w:rFonts w:cs="Arial"/>
          <w:szCs w:val="22"/>
        </w:rPr>
      </w:pPr>
    </w:p>
    <w:p w14:paraId="28030155" w14:textId="77777777" w:rsidR="00100CFD" w:rsidRPr="00A0532A" w:rsidRDefault="00100CFD" w:rsidP="00100CFD">
      <w:pPr>
        <w:rPr>
          <w:rStyle w:val="Hyperlink"/>
          <w:rFonts w:cs="Arial"/>
          <w:szCs w:val="22"/>
        </w:rPr>
      </w:pPr>
      <w:r w:rsidRPr="00A0532A">
        <w:rPr>
          <w:rFonts w:cs="Arial"/>
          <w:szCs w:val="22"/>
        </w:rPr>
        <w:lastRenderedPageBreak/>
        <w:t xml:space="preserve">SDI Alliance, 2011: </w:t>
      </w:r>
      <w:r w:rsidRPr="00A0532A">
        <w:rPr>
          <w:rFonts w:cs="Arial"/>
          <w:i/>
          <w:szCs w:val="22"/>
        </w:rPr>
        <w:t xml:space="preserve">‘This is my slum’ The upgrading of Langrug, </w:t>
      </w:r>
      <w:hyperlink r:id="rId73" w:history="1">
        <w:r w:rsidRPr="00A0532A">
          <w:rPr>
            <w:rStyle w:val="Hyperlink"/>
            <w:rFonts w:cs="Arial"/>
            <w:szCs w:val="22"/>
          </w:rPr>
          <w:t>http://www.sdinet.org/media/upload/documents/Langrug_Booklet.pdf accessed 29.04.2014</w:t>
        </w:r>
      </w:hyperlink>
    </w:p>
    <w:p w14:paraId="1C36208B" w14:textId="77777777" w:rsidR="00100CFD" w:rsidRPr="00A0532A" w:rsidRDefault="00100CFD" w:rsidP="00100CFD">
      <w:pPr>
        <w:pStyle w:val="NoSpacing"/>
        <w:jc w:val="both"/>
        <w:rPr>
          <w:rFonts w:ascii="Arial" w:hAnsi="Arial" w:cs="Arial"/>
        </w:rPr>
      </w:pPr>
      <w:r w:rsidRPr="00A0532A">
        <w:rPr>
          <w:rFonts w:ascii="Arial" w:hAnsi="Arial" w:cs="Arial"/>
        </w:rPr>
        <w:t xml:space="preserve">SDI Alliance, 2011: The politics of change at Lwazi, </w:t>
      </w:r>
      <w:hyperlink r:id="rId74" w:history="1">
        <w:r w:rsidRPr="00A0532A">
          <w:rPr>
            <w:rStyle w:val="Hyperlink"/>
            <w:rFonts w:ascii="Arial" w:hAnsi="Arial" w:cs="Arial"/>
          </w:rPr>
          <w:t>http://sasdialliance.org.za/the-politics-of-change-at-lwazi-park/</w:t>
        </w:r>
      </w:hyperlink>
      <w:r w:rsidRPr="00A0532A">
        <w:rPr>
          <w:rFonts w:ascii="Arial" w:hAnsi="Arial" w:cs="Arial"/>
        </w:rPr>
        <w:t xml:space="preserve"> accessed 01.05.2014 </w:t>
      </w:r>
    </w:p>
    <w:p w14:paraId="638B292B" w14:textId="77777777" w:rsidR="00100CFD" w:rsidRPr="00A0532A" w:rsidRDefault="00100CFD" w:rsidP="00100CFD">
      <w:pPr>
        <w:pStyle w:val="NoSpacing"/>
        <w:jc w:val="both"/>
        <w:rPr>
          <w:rFonts w:ascii="Arial" w:hAnsi="Arial" w:cs="Arial"/>
        </w:rPr>
      </w:pPr>
    </w:p>
    <w:p w14:paraId="6CB74B0F" w14:textId="77777777" w:rsidR="00100CFD" w:rsidRPr="00A0532A" w:rsidRDefault="00100CFD" w:rsidP="00100CFD">
      <w:pPr>
        <w:rPr>
          <w:rFonts w:cs="Arial"/>
          <w:szCs w:val="22"/>
        </w:rPr>
      </w:pPr>
      <w:r w:rsidRPr="00A0532A">
        <w:rPr>
          <w:rFonts w:cs="Arial"/>
          <w:szCs w:val="22"/>
        </w:rPr>
        <w:t xml:space="preserve">Skills Portal, 2012: </w:t>
      </w:r>
      <w:r w:rsidRPr="00A0532A">
        <w:rPr>
          <w:rFonts w:cs="Arial"/>
          <w:i/>
          <w:szCs w:val="22"/>
        </w:rPr>
        <w:t>How to upgrade informal settlements: Lessons from Langrug</w:t>
      </w:r>
      <w:r w:rsidRPr="00A0532A">
        <w:rPr>
          <w:rFonts w:cs="Arial"/>
          <w:szCs w:val="22"/>
        </w:rPr>
        <w:t xml:space="preserve">  </w:t>
      </w:r>
      <w:r w:rsidRPr="00A0532A">
        <w:rPr>
          <w:rFonts w:cs="Arial"/>
          <w:szCs w:val="22"/>
          <w:u w:val="single"/>
        </w:rPr>
        <w:t>http://www.urbanlandmark.org.za/downloads/clipping_sp_jul2012.pdf</w:t>
      </w:r>
      <w:r w:rsidRPr="00A0532A">
        <w:rPr>
          <w:rFonts w:cs="Arial"/>
          <w:szCs w:val="22"/>
        </w:rPr>
        <w:t xml:space="preserve"> accessed 29.04.2014 </w:t>
      </w:r>
    </w:p>
    <w:p w14:paraId="521F8EC8" w14:textId="77777777" w:rsidR="00100CFD" w:rsidRPr="00A0532A" w:rsidRDefault="00100CFD" w:rsidP="00100CFD">
      <w:pPr>
        <w:autoSpaceDE w:val="0"/>
        <w:autoSpaceDN w:val="0"/>
        <w:adjustRightInd w:val="0"/>
        <w:rPr>
          <w:rFonts w:cs="Arial"/>
          <w:szCs w:val="22"/>
        </w:rPr>
      </w:pPr>
      <w:r w:rsidRPr="00A0532A">
        <w:rPr>
          <w:rFonts w:cs="Arial"/>
          <w:bCs/>
          <w:szCs w:val="22"/>
        </w:rPr>
        <w:t xml:space="preserve">StatsSA, 2011: 2011 South African Census by Sub-place, Pretoria. </w:t>
      </w:r>
    </w:p>
    <w:p w14:paraId="1FB575C3" w14:textId="77777777" w:rsidR="00100CFD" w:rsidRPr="00A0532A" w:rsidRDefault="00100CFD" w:rsidP="00100CFD">
      <w:pPr>
        <w:pStyle w:val="NoSpacing"/>
        <w:jc w:val="both"/>
        <w:rPr>
          <w:rFonts w:ascii="Arial" w:hAnsi="Arial" w:cs="Arial"/>
        </w:rPr>
      </w:pPr>
    </w:p>
    <w:p w14:paraId="57C0493A" w14:textId="77777777" w:rsidR="00781CCB" w:rsidRPr="00A0532A" w:rsidRDefault="00781CCB" w:rsidP="00781CCB">
      <w:pPr>
        <w:rPr>
          <w:rFonts w:cs="Arial"/>
          <w:i/>
          <w:szCs w:val="22"/>
        </w:rPr>
      </w:pPr>
    </w:p>
    <w:sectPr w:rsidR="00781CCB" w:rsidRPr="00A0532A">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F634B3" w15:done="0"/>
  <w15:commentEx w15:paraId="2148D76F" w15:done="0"/>
  <w15:commentEx w15:paraId="2DA7C20D" w15:done="0"/>
  <w15:commentEx w15:paraId="480118FD" w15:done="0"/>
  <w15:commentEx w15:paraId="3F1D5B08" w15:done="0"/>
  <w15:commentEx w15:paraId="0C28155F" w15:done="0"/>
  <w15:commentEx w15:paraId="7D2D9C53" w15:done="0"/>
  <w15:commentEx w15:paraId="7B06B05A" w15:done="0"/>
  <w15:commentEx w15:paraId="5C0AC42B" w15:done="0"/>
  <w15:commentEx w15:paraId="4A2A04EA" w15:done="0"/>
  <w15:commentEx w15:paraId="414EB894" w15:done="0"/>
  <w15:commentEx w15:paraId="39F5464E" w15:done="0"/>
  <w15:commentEx w15:paraId="7D9DE83F" w15:done="0"/>
  <w15:commentEx w15:paraId="74E4DD38" w15:done="0"/>
  <w15:commentEx w15:paraId="28CA6BF6" w15:done="0"/>
  <w15:commentEx w15:paraId="7C79864A" w15:done="0"/>
  <w15:commentEx w15:paraId="743C3C0A" w15:done="0"/>
  <w15:commentEx w15:paraId="3DFCE3C6" w15:done="0"/>
  <w15:commentEx w15:paraId="04181930" w15:done="0"/>
  <w15:commentEx w15:paraId="6014EA19" w15:done="0"/>
  <w15:commentEx w15:paraId="203EAFF2" w15:done="0"/>
  <w15:commentEx w15:paraId="18E7F618" w15:done="0"/>
  <w15:commentEx w15:paraId="7C348EA0" w15:done="0"/>
  <w15:commentEx w15:paraId="4BBD86F4" w15:done="0"/>
  <w15:commentEx w15:paraId="7E4D1739" w15:done="0"/>
  <w15:commentEx w15:paraId="60F75DF0" w15:done="0"/>
  <w15:commentEx w15:paraId="1E1BE15B" w15:done="0"/>
  <w15:commentEx w15:paraId="25C3D559" w15:done="0"/>
  <w15:commentEx w15:paraId="60FBF0F4" w15:done="0"/>
  <w15:commentEx w15:paraId="10C096E1" w15:done="0"/>
  <w15:commentEx w15:paraId="4C521C45" w15:done="0"/>
  <w15:commentEx w15:paraId="111F9B38" w15:done="0"/>
  <w15:commentEx w15:paraId="3B697BF6" w15:done="0"/>
  <w15:commentEx w15:paraId="6BAF00A4" w15:done="0"/>
  <w15:commentEx w15:paraId="0176F3C6" w15:done="0"/>
  <w15:commentEx w15:paraId="136EB912" w15:done="0"/>
  <w15:commentEx w15:paraId="6D2481F2" w15:done="0"/>
  <w15:commentEx w15:paraId="3AF28038" w15:done="0"/>
  <w15:commentEx w15:paraId="638E22E0" w15:done="0"/>
  <w15:commentEx w15:paraId="311F34B6" w15:done="0"/>
  <w15:commentEx w15:paraId="0F5D8260" w15:done="0"/>
  <w15:commentEx w15:paraId="1B3371C7" w15:done="0"/>
  <w15:commentEx w15:paraId="27A57647" w15:done="0"/>
  <w15:commentEx w15:paraId="3D6C3F43" w15:done="0"/>
  <w15:commentEx w15:paraId="328442FF" w15:done="0"/>
  <w15:commentEx w15:paraId="7C1ABE86" w15:done="0"/>
  <w15:commentEx w15:paraId="60E8E8E7" w15:done="0"/>
  <w15:commentEx w15:paraId="1CEB89C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74AD3" w14:textId="77777777" w:rsidR="00DA241A" w:rsidRDefault="00DA241A" w:rsidP="00DF2EDC">
      <w:r>
        <w:separator/>
      </w:r>
    </w:p>
  </w:endnote>
  <w:endnote w:type="continuationSeparator" w:id="0">
    <w:p w14:paraId="64B850B2" w14:textId="77777777" w:rsidR="00DA241A" w:rsidRDefault="00DA241A" w:rsidP="00DF2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FuturaBT-Book">
    <w:altName w:val="Cambria"/>
    <w:panose1 w:val="00000000000000000000"/>
    <w:charset w:val="00"/>
    <w:family w:val="swiss"/>
    <w:notTrueType/>
    <w:pitch w:val="default"/>
    <w:sig w:usb0="00000003" w:usb1="00000000" w:usb2="00000000" w:usb3="00000000" w:csb0="00000001" w:csb1="00000000"/>
  </w:font>
  <w:font w:name="American Typewriter">
    <w:altName w:val="Arial"/>
    <w:panose1 w:val="02090604020004020304"/>
    <w:charset w:val="00"/>
    <w:family w:val="auto"/>
    <w:pitch w:val="variable"/>
    <w:sig w:usb0="A000006F" w:usb1="00000019" w:usb2="000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77957" w14:textId="77777777" w:rsidR="00DA241A" w:rsidRDefault="00DA241A" w:rsidP="00B428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76D0F3" w14:textId="77777777" w:rsidR="00DA241A" w:rsidRDefault="00DA241A" w:rsidP="00B428B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FAC6E" w14:textId="79BADCFF" w:rsidR="00DA241A" w:rsidRPr="00A65FFE" w:rsidRDefault="00DA241A" w:rsidP="008979F8">
    <w:pPr>
      <w:pStyle w:val="Footer"/>
      <w:tabs>
        <w:tab w:val="clear" w:pos="8640"/>
        <w:tab w:val="right" w:pos="7740"/>
      </w:tabs>
      <w:spacing w:before="600"/>
      <w:rPr>
        <w:rFonts w:cs="Arial"/>
        <w:sz w:val="16"/>
        <w:szCs w:val="16"/>
        <w:lang w:val="en-ZA"/>
      </w:rPr>
    </w:pPr>
    <w:r>
      <w:rPr>
        <w:rFonts w:cs="Arial"/>
        <w:sz w:val="16"/>
        <w:szCs w:val="16"/>
        <w:lang w:val="en-ZA"/>
      </w:rPr>
      <w:t>Final Document (Version 4.0 Client)</w:t>
    </w:r>
    <w:r w:rsidRPr="00A65FFE">
      <w:rPr>
        <w:rFonts w:cs="Arial"/>
        <w:sz w:val="16"/>
        <w:szCs w:val="16"/>
        <w:lang w:val="en-ZA"/>
      </w:rPr>
      <w:tab/>
    </w:r>
    <w:r w:rsidRPr="00A65FFE">
      <w:rPr>
        <w:rFonts w:cs="Arial"/>
        <w:sz w:val="16"/>
        <w:szCs w:val="16"/>
        <w:lang w:val="en-ZA"/>
      </w:rPr>
      <w:tab/>
    </w:r>
    <w:r>
      <w:rPr>
        <w:rFonts w:cs="Arial"/>
        <w:sz w:val="16"/>
        <w:szCs w:val="16"/>
        <w:lang w:val="en-ZA"/>
      </w:rPr>
      <w:tab/>
    </w:r>
    <w:r>
      <w:rPr>
        <w:rFonts w:cs="Arial"/>
        <w:sz w:val="16"/>
        <w:szCs w:val="16"/>
        <w:lang w:val="en-ZA"/>
      </w:rPr>
      <w:tab/>
    </w:r>
    <w:r w:rsidRPr="00A65FFE">
      <w:rPr>
        <w:rFonts w:cs="Arial"/>
        <w:b/>
        <w:sz w:val="16"/>
        <w:szCs w:val="16"/>
        <w:lang w:val="en-ZA"/>
      </w:rPr>
      <w:t xml:space="preserve">Page </w:t>
    </w:r>
    <w:r w:rsidRPr="00A65FFE">
      <w:rPr>
        <w:rStyle w:val="PageNumber"/>
        <w:rFonts w:cs="Arial"/>
        <w:b/>
        <w:sz w:val="16"/>
        <w:szCs w:val="16"/>
      </w:rPr>
      <w:fldChar w:fldCharType="begin"/>
    </w:r>
    <w:r w:rsidRPr="00A65FFE">
      <w:rPr>
        <w:rStyle w:val="PageNumber"/>
        <w:rFonts w:cs="Arial"/>
        <w:b/>
        <w:sz w:val="16"/>
        <w:szCs w:val="16"/>
      </w:rPr>
      <w:instrText xml:space="preserve"> PAGE </w:instrText>
    </w:r>
    <w:r w:rsidRPr="00A65FFE">
      <w:rPr>
        <w:rStyle w:val="PageNumber"/>
        <w:rFonts w:cs="Arial"/>
        <w:b/>
        <w:sz w:val="16"/>
        <w:szCs w:val="16"/>
      </w:rPr>
      <w:fldChar w:fldCharType="separate"/>
    </w:r>
    <w:r w:rsidR="0088259A">
      <w:rPr>
        <w:rStyle w:val="PageNumber"/>
        <w:rFonts w:cs="Arial"/>
        <w:b/>
        <w:noProof/>
        <w:sz w:val="16"/>
        <w:szCs w:val="16"/>
      </w:rPr>
      <w:t>129</w:t>
    </w:r>
    <w:r w:rsidRPr="00A65FFE">
      <w:rPr>
        <w:rStyle w:val="PageNumber"/>
        <w:rFonts w:cs="Arial"/>
        <w:b/>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AC6DC" w14:textId="77777777" w:rsidR="00DA241A" w:rsidRDefault="00DA241A">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EFF16" w14:textId="1AACBBA5" w:rsidR="00DA241A" w:rsidRPr="00A65FFE" w:rsidRDefault="00DA241A" w:rsidP="00BC414A">
    <w:pPr>
      <w:pStyle w:val="Footer"/>
      <w:tabs>
        <w:tab w:val="clear" w:pos="8640"/>
        <w:tab w:val="right" w:pos="7740"/>
      </w:tabs>
      <w:spacing w:before="600"/>
      <w:rPr>
        <w:rFonts w:cs="Arial"/>
        <w:sz w:val="16"/>
        <w:szCs w:val="16"/>
        <w:lang w:val="en-ZA"/>
      </w:rPr>
    </w:pPr>
    <w:r>
      <w:rPr>
        <w:rFonts w:cs="Arial"/>
        <w:sz w:val="16"/>
        <w:szCs w:val="16"/>
        <w:lang w:val="en-ZA"/>
      </w:rPr>
      <w:t xml:space="preserve">Final Document (Version 4.0 Client) </w:t>
    </w:r>
    <w:r w:rsidRPr="00A65FFE">
      <w:rPr>
        <w:rFonts w:cs="Arial"/>
        <w:sz w:val="16"/>
        <w:szCs w:val="16"/>
        <w:lang w:val="en-ZA"/>
      </w:rPr>
      <w:tab/>
    </w:r>
    <w:r w:rsidRPr="00A65FFE">
      <w:rPr>
        <w:rFonts w:cs="Arial"/>
        <w:sz w:val="16"/>
        <w:szCs w:val="16"/>
        <w:lang w:val="en-ZA"/>
      </w:rPr>
      <w:tab/>
    </w:r>
    <w:r>
      <w:rPr>
        <w:rFonts w:cs="Arial"/>
        <w:sz w:val="16"/>
        <w:szCs w:val="16"/>
        <w:lang w:val="en-ZA"/>
      </w:rPr>
      <w:tab/>
    </w:r>
    <w:r>
      <w:rPr>
        <w:rFonts w:cs="Arial"/>
        <w:sz w:val="16"/>
        <w:szCs w:val="16"/>
        <w:lang w:val="en-ZA"/>
      </w:rPr>
      <w:tab/>
    </w:r>
    <w:r w:rsidRPr="00A65FFE">
      <w:rPr>
        <w:rFonts w:cs="Arial"/>
        <w:b/>
        <w:sz w:val="16"/>
        <w:szCs w:val="16"/>
        <w:lang w:val="en-ZA"/>
      </w:rPr>
      <w:t xml:space="preserve">Page </w:t>
    </w:r>
    <w:r w:rsidRPr="00A65FFE">
      <w:rPr>
        <w:rStyle w:val="PageNumber"/>
        <w:rFonts w:cs="Arial"/>
        <w:b/>
        <w:sz w:val="16"/>
        <w:szCs w:val="16"/>
      </w:rPr>
      <w:fldChar w:fldCharType="begin"/>
    </w:r>
    <w:r w:rsidRPr="00A65FFE">
      <w:rPr>
        <w:rStyle w:val="PageNumber"/>
        <w:rFonts w:cs="Arial"/>
        <w:b/>
        <w:sz w:val="16"/>
        <w:szCs w:val="16"/>
      </w:rPr>
      <w:instrText xml:space="preserve"> PAGE </w:instrText>
    </w:r>
    <w:r w:rsidRPr="00A65FFE">
      <w:rPr>
        <w:rStyle w:val="PageNumber"/>
        <w:rFonts w:cs="Arial"/>
        <w:b/>
        <w:sz w:val="16"/>
        <w:szCs w:val="16"/>
      </w:rPr>
      <w:fldChar w:fldCharType="separate"/>
    </w:r>
    <w:r w:rsidR="0088259A">
      <w:rPr>
        <w:rStyle w:val="PageNumber"/>
        <w:rFonts w:cs="Arial"/>
        <w:b/>
        <w:noProof/>
        <w:sz w:val="16"/>
        <w:szCs w:val="16"/>
      </w:rPr>
      <w:t>142</w:t>
    </w:r>
    <w:r w:rsidRPr="00A65FFE">
      <w:rPr>
        <w:rStyle w:val="PageNumber"/>
        <w:rFonts w:cs="Arial"/>
        <w:b/>
        <w:sz w:val="16"/>
        <w:szCs w:val="16"/>
      </w:rPr>
      <w:fldChar w:fldCharType="end"/>
    </w:r>
  </w:p>
  <w:p w14:paraId="79469E40" w14:textId="772EBF4F" w:rsidR="00DA241A" w:rsidRDefault="00DA241A">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59B84" w14:textId="77777777" w:rsidR="00DA241A" w:rsidRDefault="00DA241A">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12C34" w14:textId="397597B3" w:rsidR="00DA241A" w:rsidRPr="00A65FFE" w:rsidRDefault="00DA241A" w:rsidP="00BC414A">
    <w:pPr>
      <w:pStyle w:val="Footer"/>
      <w:tabs>
        <w:tab w:val="clear" w:pos="8640"/>
        <w:tab w:val="right" w:pos="7740"/>
      </w:tabs>
      <w:spacing w:before="600"/>
      <w:rPr>
        <w:rFonts w:cs="Arial"/>
        <w:sz w:val="16"/>
        <w:szCs w:val="16"/>
        <w:lang w:val="en-ZA"/>
      </w:rPr>
    </w:pPr>
    <w:r>
      <w:rPr>
        <w:rFonts w:cs="Arial"/>
        <w:sz w:val="16"/>
        <w:szCs w:val="16"/>
        <w:lang w:val="en-ZA"/>
      </w:rPr>
      <w:t xml:space="preserve">Final Document (Version 4.0 Client) </w:t>
    </w:r>
    <w:r w:rsidRPr="00A65FFE">
      <w:rPr>
        <w:rFonts w:cs="Arial"/>
        <w:sz w:val="16"/>
        <w:szCs w:val="16"/>
        <w:lang w:val="en-ZA"/>
      </w:rPr>
      <w:tab/>
    </w:r>
    <w:r>
      <w:rPr>
        <w:rFonts w:cs="Arial"/>
        <w:sz w:val="16"/>
        <w:szCs w:val="16"/>
        <w:lang w:val="en-ZA"/>
      </w:rPr>
      <w:tab/>
    </w:r>
    <w:r>
      <w:rPr>
        <w:rFonts w:cs="Arial"/>
        <w:sz w:val="16"/>
        <w:szCs w:val="16"/>
        <w:lang w:val="en-ZA"/>
      </w:rPr>
      <w:tab/>
    </w:r>
    <w:r w:rsidRPr="00A65FFE">
      <w:rPr>
        <w:rFonts w:cs="Arial"/>
        <w:b/>
        <w:sz w:val="16"/>
        <w:szCs w:val="16"/>
        <w:lang w:val="en-ZA"/>
      </w:rPr>
      <w:t xml:space="preserve">Page </w:t>
    </w:r>
    <w:r w:rsidRPr="00A65FFE">
      <w:rPr>
        <w:rStyle w:val="PageNumber"/>
        <w:rFonts w:cs="Arial"/>
        <w:b/>
        <w:sz w:val="16"/>
        <w:szCs w:val="16"/>
      </w:rPr>
      <w:fldChar w:fldCharType="begin"/>
    </w:r>
    <w:r w:rsidRPr="00A65FFE">
      <w:rPr>
        <w:rStyle w:val="PageNumber"/>
        <w:rFonts w:cs="Arial"/>
        <w:b/>
        <w:sz w:val="16"/>
        <w:szCs w:val="16"/>
      </w:rPr>
      <w:instrText xml:space="preserve"> PAGE </w:instrText>
    </w:r>
    <w:r w:rsidRPr="00A65FFE">
      <w:rPr>
        <w:rStyle w:val="PageNumber"/>
        <w:rFonts w:cs="Arial"/>
        <w:b/>
        <w:sz w:val="16"/>
        <w:szCs w:val="16"/>
      </w:rPr>
      <w:fldChar w:fldCharType="separate"/>
    </w:r>
    <w:r w:rsidR="0088259A">
      <w:rPr>
        <w:rStyle w:val="PageNumber"/>
        <w:rFonts w:cs="Arial"/>
        <w:b/>
        <w:noProof/>
        <w:sz w:val="16"/>
        <w:szCs w:val="16"/>
      </w:rPr>
      <w:t>174</w:t>
    </w:r>
    <w:r w:rsidRPr="00A65FFE">
      <w:rPr>
        <w:rStyle w:val="PageNumber"/>
        <w:rFonts w:cs="Arial"/>
        <w:b/>
        <w:sz w:val="16"/>
        <w:szCs w:val="16"/>
      </w:rPr>
      <w:fldChar w:fldCharType="end"/>
    </w:r>
  </w:p>
  <w:p w14:paraId="199E3753" w14:textId="0EBEE292" w:rsidR="00DA241A" w:rsidRDefault="00DA241A" w:rsidP="00BC414A">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A04AA" w14:textId="77777777" w:rsidR="00DA241A" w:rsidRDefault="00DA241A" w:rsidP="00DF2EDC">
      <w:r>
        <w:separator/>
      </w:r>
    </w:p>
  </w:footnote>
  <w:footnote w:type="continuationSeparator" w:id="0">
    <w:p w14:paraId="23775F43" w14:textId="77777777" w:rsidR="00DA241A" w:rsidRDefault="00DA241A" w:rsidP="00DF2EDC">
      <w:r>
        <w:continuationSeparator/>
      </w:r>
    </w:p>
  </w:footnote>
  <w:footnote w:id="1">
    <w:p w14:paraId="3611E119" w14:textId="09CC0879" w:rsidR="00DA241A" w:rsidRDefault="00DA241A">
      <w:pPr>
        <w:pStyle w:val="FootnoteText"/>
      </w:pPr>
      <w:r>
        <w:rPr>
          <w:rStyle w:val="FootnoteReference"/>
        </w:rPr>
        <w:footnoteRef/>
      </w:r>
      <w:r>
        <w:t xml:space="preserve"> Note that at the time of writing, formal results were not yet released for these surveys. Information contained in this report is from initial results.</w:t>
      </w:r>
    </w:p>
  </w:footnote>
  <w:footnote w:id="2">
    <w:p w14:paraId="52823D52" w14:textId="54F8F227" w:rsidR="00DA241A" w:rsidRDefault="00DA241A">
      <w:pPr>
        <w:pStyle w:val="FootnoteText"/>
      </w:pPr>
      <w:r>
        <w:rPr>
          <w:rStyle w:val="FootnoteReference"/>
        </w:rPr>
        <w:footnoteRef/>
      </w:r>
      <w:r>
        <w:t xml:space="preserve"> Examples of this were given during the interviews conducted for this project, including NUSP officials, provincial, metropolitan and local municipality officials.</w:t>
      </w:r>
    </w:p>
  </w:footnote>
  <w:footnote w:id="3">
    <w:p w14:paraId="0D5EBB81" w14:textId="5C086A4F" w:rsidR="00DA241A" w:rsidRDefault="00DA241A">
      <w:pPr>
        <w:pStyle w:val="FootnoteText"/>
      </w:pPr>
      <w:r>
        <w:rPr>
          <w:rStyle w:val="FootnoteReference"/>
        </w:rPr>
        <w:footnoteRef/>
      </w:r>
      <w:r>
        <w:t xml:space="preserve"> NUSP (forthcoming): Initial results from profiling surveys of informal settlements in Rustenburg Local Municipality</w:t>
      </w:r>
    </w:p>
  </w:footnote>
  <w:footnote w:id="4">
    <w:p w14:paraId="31146778" w14:textId="77777777" w:rsidR="00DA241A" w:rsidRDefault="00DA241A" w:rsidP="00250EA9">
      <w:pPr>
        <w:pStyle w:val="FootnoteText"/>
        <w:spacing w:after="0" w:line="240" w:lineRule="auto"/>
      </w:pPr>
      <w:r w:rsidRPr="00250EA9">
        <w:rPr>
          <w:rStyle w:val="FootnoteReference"/>
          <w:sz w:val="18"/>
          <w:szCs w:val="18"/>
        </w:rPr>
        <w:footnoteRef/>
      </w:r>
      <w:r w:rsidRPr="00250EA9">
        <w:rPr>
          <w:sz w:val="18"/>
          <w:szCs w:val="18"/>
        </w:rPr>
        <w:t xml:space="preserve"> Outcome 8, Annexure A (p6): “Many informal settlements, by way of contrast[to the proliferation of marginalized and disconnected settlements] are well located with respect to social amenities and economic opportunities, but lack security of tenure and/or access to adequate basic and social services”</w:t>
      </w:r>
    </w:p>
  </w:footnote>
  <w:footnote w:id="5">
    <w:p w14:paraId="5E73865A" w14:textId="77777777" w:rsidR="00DA241A" w:rsidRPr="00250EA9" w:rsidRDefault="00DA241A" w:rsidP="004D0712">
      <w:pPr>
        <w:pStyle w:val="FootnoteText"/>
        <w:spacing w:after="0" w:line="240" w:lineRule="auto"/>
        <w:rPr>
          <w:sz w:val="18"/>
          <w:szCs w:val="18"/>
        </w:rPr>
      </w:pPr>
      <w:r w:rsidRPr="00250EA9">
        <w:rPr>
          <w:rStyle w:val="FootnoteReference"/>
          <w:sz w:val="18"/>
          <w:szCs w:val="18"/>
        </w:rPr>
        <w:footnoteRef/>
      </w:r>
      <w:r w:rsidRPr="00250EA9">
        <w:rPr>
          <w:sz w:val="18"/>
          <w:szCs w:val="18"/>
        </w:rPr>
        <w:t xml:space="preserve"> Output 1: Accelerated Delivery of Housing Opportunities; Output 2: Access to Basic Services; Output 3: Efficient Utilization of Land for Human Settlement</w:t>
      </w:r>
    </w:p>
  </w:footnote>
  <w:footnote w:id="6">
    <w:p w14:paraId="609B2758" w14:textId="4049ED20" w:rsidR="00DA241A" w:rsidRPr="00250EA9" w:rsidRDefault="00DA241A" w:rsidP="00250EA9">
      <w:pPr>
        <w:pStyle w:val="FootnoteText"/>
        <w:spacing w:after="0" w:line="240" w:lineRule="auto"/>
        <w:rPr>
          <w:sz w:val="18"/>
          <w:szCs w:val="18"/>
        </w:rPr>
      </w:pPr>
      <w:r w:rsidRPr="00250EA9">
        <w:rPr>
          <w:rStyle w:val="FootnoteReference"/>
          <w:sz w:val="18"/>
          <w:szCs w:val="18"/>
        </w:rPr>
        <w:footnoteRef/>
      </w:r>
      <w:r w:rsidRPr="00250EA9">
        <w:rPr>
          <w:sz w:val="18"/>
          <w:szCs w:val="18"/>
        </w:rPr>
        <w:t xml:space="preserve"> Rhizome Management Services (2014): Expenditure Performance Review – Outcome 8 Rapid Verification Study.</w:t>
      </w:r>
    </w:p>
  </w:footnote>
  <w:footnote w:id="7">
    <w:p w14:paraId="76D2EB2B" w14:textId="4EE14272" w:rsidR="00DA241A" w:rsidRPr="00250EA9" w:rsidRDefault="00DA241A" w:rsidP="00250EA9">
      <w:pPr>
        <w:spacing w:after="0"/>
        <w:rPr>
          <w:rFonts w:cs="Arial"/>
          <w:color w:val="244061" w:themeColor="accent1" w:themeShade="80"/>
          <w:sz w:val="18"/>
          <w:szCs w:val="18"/>
        </w:rPr>
      </w:pPr>
      <w:r w:rsidRPr="00250EA9">
        <w:rPr>
          <w:rStyle w:val="FootnoteReference"/>
          <w:sz w:val="18"/>
          <w:szCs w:val="18"/>
        </w:rPr>
        <w:footnoteRef/>
      </w:r>
      <w:r w:rsidRPr="00250EA9">
        <w:rPr>
          <w:sz w:val="18"/>
          <w:szCs w:val="18"/>
        </w:rPr>
        <w:t xml:space="preserve"> </w:t>
      </w:r>
      <w:r w:rsidRPr="00250EA9">
        <w:rPr>
          <w:rFonts w:cs="Arial"/>
          <w:sz w:val="18"/>
          <w:szCs w:val="18"/>
        </w:rPr>
        <w:t>Regarding house construction, two options exist. First, house building for the group accommodated in the TRA could commence, and the occupation of the newly constructed houses then vacates the TRA and creates space for the next block to be vacated and redeveloped. Second, and more favoured internationally, construction of wet core or house nucleus could happen on the new site, followed by reoccupation by households who typically will reassemble shelter using recovered materials in order to gain some form of shelter whilst the longer term process of consolidation commences.</w:t>
      </w:r>
    </w:p>
    <w:p w14:paraId="4E5BE204" w14:textId="6A195040" w:rsidR="00DA241A" w:rsidRDefault="00DA241A">
      <w:pPr>
        <w:pStyle w:val="FootnoteText"/>
      </w:pPr>
    </w:p>
  </w:footnote>
  <w:footnote w:id="8">
    <w:p w14:paraId="704FAB91" w14:textId="77777777" w:rsidR="00DA241A" w:rsidRPr="00250EA9" w:rsidRDefault="00DA241A" w:rsidP="00250EA9">
      <w:pPr>
        <w:pStyle w:val="FootnoteText"/>
        <w:spacing w:after="0" w:line="240" w:lineRule="auto"/>
        <w:rPr>
          <w:sz w:val="18"/>
          <w:szCs w:val="18"/>
        </w:rPr>
      </w:pPr>
      <w:r w:rsidRPr="00250EA9">
        <w:rPr>
          <w:rStyle w:val="FootnoteReference"/>
          <w:sz w:val="18"/>
          <w:szCs w:val="18"/>
        </w:rPr>
        <w:footnoteRef/>
      </w:r>
      <w:r w:rsidRPr="00250EA9">
        <w:rPr>
          <w:sz w:val="18"/>
          <w:szCs w:val="18"/>
        </w:rPr>
        <w:t xml:space="preserve"> Note that this creates a dilemma regarding the eligibility for house subsidies in Phase 4 as well.  While ‘conditions prescribed by the Department of Home Affairs’ are indicated as the qualification criterion, how this will be implemented is less clear, as is who will be eligible and who will not.</w:t>
      </w:r>
    </w:p>
  </w:footnote>
  <w:footnote w:id="9">
    <w:p w14:paraId="38519A22" w14:textId="77777777" w:rsidR="00DA241A" w:rsidRPr="00250EA9" w:rsidRDefault="00DA241A" w:rsidP="009A6835">
      <w:pPr>
        <w:pStyle w:val="FootnoteText"/>
        <w:spacing w:after="0" w:line="240" w:lineRule="auto"/>
        <w:rPr>
          <w:sz w:val="18"/>
          <w:szCs w:val="18"/>
        </w:rPr>
      </w:pPr>
      <w:r w:rsidRPr="00250EA9">
        <w:rPr>
          <w:rStyle w:val="FootnoteReference"/>
          <w:sz w:val="18"/>
          <w:szCs w:val="18"/>
        </w:rPr>
        <w:footnoteRef/>
      </w:r>
      <w:r w:rsidRPr="00250EA9">
        <w:rPr>
          <w:sz w:val="18"/>
          <w:szCs w:val="18"/>
        </w:rPr>
        <w:t xml:space="preserve"> It seems that the UISP provides the opportunity for such single person households to apply for the acquisition of individual ownership.</w:t>
      </w:r>
    </w:p>
  </w:footnote>
  <w:footnote w:id="10">
    <w:p w14:paraId="2D92E7B7" w14:textId="77777777" w:rsidR="00DA241A" w:rsidRDefault="00DA241A" w:rsidP="009A6835">
      <w:pPr>
        <w:spacing w:after="0"/>
      </w:pPr>
      <w:r w:rsidRPr="00250EA9">
        <w:rPr>
          <w:rStyle w:val="FootnoteReference"/>
          <w:rFonts w:eastAsia="Calibri"/>
          <w:sz w:val="18"/>
          <w:szCs w:val="18"/>
        </w:rPr>
        <w:footnoteRef/>
      </w:r>
      <w:r w:rsidRPr="00250EA9">
        <w:rPr>
          <w:sz w:val="18"/>
          <w:szCs w:val="18"/>
        </w:rPr>
        <w:t xml:space="preserve"> </w:t>
      </w:r>
      <w:r w:rsidRPr="00250EA9">
        <w:rPr>
          <w:rFonts w:eastAsia="Calibri"/>
          <w:sz w:val="18"/>
          <w:szCs w:val="18"/>
          <w:lang w:val="en-US"/>
        </w:rPr>
        <w:t xml:space="preserve">Households with incomes above R 3 500 may apply to own </w:t>
      </w:r>
      <w:r>
        <w:rPr>
          <w:rFonts w:eastAsia="Calibri"/>
          <w:sz w:val="18"/>
          <w:szCs w:val="18"/>
          <w:lang w:val="en-US"/>
        </w:rPr>
        <w:t>subsidized</w:t>
      </w:r>
      <w:r w:rsidRPr="00250EA9">
        <w:rPr>
          <w:rFonts w:eastAsia="Calibri"/>
          <w:sz w:val="18"/>
          <w:szCs w:val="18"/>
          <w:lang w:val="en-US"/>
        </w:rPr>
        <w:t xml:space="preserve"> houses, but they must purchase these units at development cost (that is, they will not be eligible for the top structure subsidy (Code, p68). These households may also apply for FLISP if they fall within the income parameters of that scheme.</w:t>
      </w:r>
    </w:p>
  </w:footnote>
  <w:footnote w:id="11">
    <w:p w14:paraId="77D01764" w14:textId="77777777" w:rsidR="00DA241A" w:rsidRPr="00250EA9" w:rsidRDefault="00DA241A" w:rsidP="009A6835">
      <w:pPr>
        <w:pStyle w:val="FootnoteText"/>
        <w:spacing w:after="0" w:line="240" w:lineRule="auto"/>
        <w:rPr>
          <w:sz w:val="18"/>
          <w:szCs w:val="18"/>
        </w:rPr>
      </w:pPr>
      <w:r w:rsidRPr="00250EA9">
        <w:rPr>
          <w:rStyle w:val="FootnoteReference"/>
          <w:sz w:val="18"/>
          <w:szCs w:val="18"/>
        </w:rPr>
        <w:footnoteRef/>
      </w:r>
      <w:r w:rsidRPr="00250EA9">
        <w:rPr>
          <w:sz w:val="18"/>
          <w:szCs w:val="18"/>
        </w:rPr>
        <w:t xml:space="preserve"> </w:t>
      </w:r>
      <w:r w:rsidRPr="00250EA9">
        <w:rPr>
          <w:rFonts w:cs="Arial"/>
          <w:sz w:val="18"/>
          <w:szCs w:val="18"/>
        </w:rPr>
        <w:t xml:space="preserve">Depending on the facts of each case, such persons may be allowed to occupy the services stands, acquire registered ownership of the stands they occupy or may elect to opt for rental accommodation in the area, if available. The beneficiaries in these category who will be allowed to acquire the individual stands in ownership could be required to pay a purchase price equal to the cost of development of the stand. This cost will comprise a land acquisition component, a component equal to the cost of the provision of the municipal engineering services and transfer costs. </w:t>
      </w:r>
    </w:p>
  </w:footnote>
  <w:footnote w:id="12">
    <w:p w14:paraId="307D2ED2" w14:textId="77777777" w:rsidR="00DA241A" w:rsidRPr="00250EA9" w:rsidRDefault="00DA241A" w:rsidP="00250EA9">
      <w:pPr>
        <w:pStyle w:val="FootnoteText"/>
        <w:spacing w:after="0" w:line="240" w:lineRule="auto"/>
        <w:rPr>
          <w:sz w:val="18"/>
          <w:szCs w:val="18"/>
        </w:rPr>
      </w:pPr>
      <w:r w:rsidRPr="00250EA9">
        <w:rPr>
          <w:rStyle w:val="FootnoteReference"/>
          <w:sz w:val="18"/>
          <w:szCs w:val="18"/>
        </w:rPr>
        <w:footnoteRef/>
      </w:r>
      <w:r w:rsidRPr="00250EA9">
        <w:rPr>
          <w:sz w:val="18"/>
          <w:szCs w:val="18"/>
        </w:rPr>
        <w:t xml:space="preserve"> Personal communication, Louis Van der Walt, National Department of Human Settlements, April 2014.</w:t>
      </w:r>
    </w:p>
  </w:footnote>
  <w:footnote w:id="13">
    <w:p w14:paraId="4D79F279" w14:textId="77777777" w:rsidR="00DA241A" w:rsidRDefault="00DA241A" w:rsidP="00250EA9">
      <w:pPr>
        <w:pStyle w:val="FootnoteText"/>
        <w:spacing w:after="0" w:line="240" w:lineRule="auto"/>
      </w:pPr>
      <w:r w:rsidRPr="00250EA9">
        <w:rPr>
          <w:rStyle w:val="FootnoteReference"/>
          <w:sz w:val="18"/>
          <w:szCs w:val="18"/>
        </w:rPr>
        <w:footnoteRef/>
      </w:r>
      <w:r w:rsidRPr="00250EA9">
        <w:rPr>
          <w:sz w:val="18"/>
          <w:szCs w:val="18"/>
        </w:rPr>
        <w:t xml:space="preserve"> </w:t>
      </w:r>
      <w:r w:rsidRPr="00250EA9">
        <w:rPr>
          <w:rFonts w:cs="Arial"/>
          <w:sz w:val="18"/>
          <w:szCs w:val="18"/>
        </w:rPr>
        <w:t>The Consolidation subsidy was intended to have a limited lifespan and p 11 of the code notes that “ The MEC (of each Provincial Department) will have discretion to announce the date upon which the programme will terminate in each province p 11</w:t>
      </w:r>
    </w:p>
  </w:footnote>
  <w:footnote w:id="14">
    <w:p w14:paraId="5A57F109" w14:textId="77777777" w:rsidR="00DA241A" w:rsidRPr="00250EA9" w:rsidRDefault="00DA241A" w:rsidP="00250EA9">
      <w:pPr>
        <w:pStyle w:val="FootnoteText"/>
        <w:spacing w:after="0" w:line="240" w:lineRule="auto"/>
        <w:rPr>
          <w:sz w:val="18"/>
          <w:szCs w:val="18"/>
        </w:rPr>
      </w:pPr>
      <w:r w:rsidRPr="00250EA9">
        <w:rPr>
          <w:rStyle w:val="FootnoteReference"/>
          <w:sz w:val="18"/>
          <w:szCs w:val="18"/>
        </w:rPr>
        <w:footnoteRef/>
      </w:r>
      <w:r w:rsidRPr="00250EA9">
        <w:rPr>
          <w:sz w:val="18"/>
          <w:szCs w:val="18"/>
        </w:rPr>
        <w:t xml:space="preserve"> </w:t>
      </w:r>
      <w:r w:rsidRPr="00250EA9">
        <w:rPr>
          <w:rFonts w:cs="Arial"/>
          <w:sz w:val="18"/>
          <w:szCs w:val="18"/>
        </w:rPr>
        <w:t>Definition of “owner builder” inserted by s.1(g) of Act No. 17 of 2007</w:t>
      </w:r>
    </w:p>
  </w:footnote>
  <w:footnote w:id="15">
    <w:p w14:paraId="7AC6C161" w14:textId="210A48FC" w:rsidR="00DA241A" w:rsidRPr="00250EA9" w:rsidRDefault="00DA241A" w:rsidP="00250EA9">
      <w:pPr>
        <w:pStyle w:val="FootnoteText"/>
        <w:spacing w:after="0" w:line="240" w:lineRule="auto"/>
        <w:rPr>
          <w:sz w:val="18"/>
          <w:szCs w:val="18"/>
        </w:rPr>
      </w:pPr>
      <w:r w:rsidRPr="00250EA9">
        <w:rPr>
          <w:rStyle w:val="FootnoteReference"/>
          <w:sz w:val="18"/>
          <w:szCs w:val="18"/>
        </w:rPr>
        <w:footnoteRef/>
      </w:r>
      <w:r w:rsidRPr="00250EA9">
        <w:rPr>
          <w:sz w:val="18"/>
          <w:szCs w:val="18"/>
        </w:rPr>
        <w:t xml:space="preserve"> This is the Gauteng Backyard Rental Programme, which </w:t>
      </w:r>
      <w:r w:rsidRPr="00F40485">
        <w:rPr>
          <w:sz w:val="18"/>
          <w:szCs w:val="18"/>
        </w:rPr>
        <w:t>subsidizes</w:t>
      </w:r>
      <w:r w:rsidRPr="00250EA9">
        <w:rPr>
          <w:sz w:val="18"/>
          <w:szCs w:val="18"/>
        </w:rPr>
        <w:t xml:space="preserve"> the replacement of poor quality backyard shacks with higher quality units.  </w:t>
      </w:r>
    </w:p>
  </w:footnote>
  <w:footnote w:id="16">
    <w:p w14:paraId="75BE1A78" w14:textId="77777777" w:rsidR="00DA241A" w:rsidRPr="00250EA9" w:rsidRDefault="00DA241A" w:rsidP="00540DD7">
      <w:pPr>
        <w:pStyle w:val="FootnoteText"/>
        <w:spacing w:after="0" w:line="240" w:lineRule="auto"/>
        <w:rPr>
          <w:sz w:val="18"/>
          <w:szCs w:val="18"/>
        </w:rPr>
      </w:pPr>
      <w:r w:rsidRPr="00250EA9">
        <w:rPr>
          <w:rStyle w:val="FootnoteReference"/>
          <w:sz w:val="18"/>
          <w:szCs w:val="18"/>
        </w:rPr>
        <w:footnoteRef/>
      </w:r>
      <w:r w:rsidRPr="00250EA9">
        <w:rPr>
          <w:sz w:val="18"/>
          <w:szCs w:val="18"/>
        </w:rPr>
        <w:t xml:space="preserve"> Consider, for instance, that the average UISP project is deemed to take five to seven years to implement.  Should a settlement plan and tenure regularization be possible within a year, this implies that between six and seven years of the project cycle is available to facilitate house improvement, so long as basic conditions for this are set.</w:t>
      </w:r>
    </w:p>
  </w:footnote>
  <w:footnote w:id="17">
    <w:p w14:paraId="77278CF2" w14:textId="77777777" w:rsidR="00DA241A" w:rsidRPr="00250EA9" w:rsidRDefault="00DA241A" w:rsidP="00E665CF">
      <w:pPr>
        <w:pStyle w:val="FootnoteText"/>
        <w:spacing w:after="0" w:line="240" w:lineRule="auto"/>
        <w:rPr>
          <w:sz w:val="18"/>
          <w:szCs w:val="18"/>
        </w:rPr>
      </w:pPr>
      <w:r w:rsidRPr="00250EA9">
        <w:rPr>
          <w:rStyle w:val="FootnoteReference"/>
          <w:sz w:val="18"/>
          <w:szCs w:val="18"/>
        </w:rPr>
        <w:footnoteRef/>
      </w:r>
      <w:r w:rsidRPr="00250EA9">
        <w:rPr>
          <w:sz w:val="18"/>
          <w:szCs w:val="18"/>
        </w:rPr>
        <w:t xml:space="preserve"> There is a more fundamental question that must be dealt with regarding whether South Africa’s Norms and Standards for Residential Structures are suitable for incremental home building activity.  In the drive to meet rising international norms and ‘green’ requirements, it is possible that highly detailed and onerous controls will have an opposite effect of stifling all building activity that cannot, initially, meet these standards.</w:t>
      </w:r>
    </w:p>
  </w:footnote>
  <w:footnote w:id="18">
    <w:p w14:paraId="38801AD9" w14:textId="2CD9BE22" w:rsidR="00DA241A" w:rsidRPr="00250EA9" w:rsidRDefault="00DA241A" w:rsidP="00250EA9">
      <w:pPr>
        <w:pStyle w:val="FootnoteText"/>
        <w:spacing w:after="0" w:line="240" w:lineRule="auto"/>
        <w:rPr>
          <w:sz w:val="18"/>
          <w:szCs w:val="18"/>
        </w:rPr>
      </w:pPr>
      <w:r w:rsidRPr="00250EA9">
        <w:rPr>
          <w:rStyle w:val="FootnoteReference"/>
          <w:sz w:val="18"/>
          <w:szCs w:val="18"/>
        </w:rPr>
        <w:footnoteRef/>
      </w:r>
      <w:r w:rsidRPr="00250EA9">
        <w:rPr>
          <w:sz w:val="18"/>
          <w:szCs w:val="18"/>
        </w:rPr>
        <w:t xml:space="preserve"> </w:t>
      </w:r>
      <w:r w:rsidRPr="00E259B9">
        <w:rPr>
          <w:sz w:val="18"/>
          <w:szCs w:val="18"/>
        </w:rPr>
        <w:t>During 2014, all individuals with negative credit records who have repaid outstanding debts</w:t>
      </w:r>
      <w:r w:rsidRPr="00250EA9">
        <w:rPr>
          <w:sz w:val="18"/>
          <w:szCs w:val="18"/>
        </w:rPr>
        <w:t xml:space="preserve"> will have their names erased from the Credit Bureaux. This in effect provides them with a ‘blank slate’ with respect to accessing future credit.</w:t>
      </w:r>
    </w:p>
  </w:footnote>
  <w:footnote w:id="19">
    <w:p w14:paraId="33CA194C" w14:textId="77777777" w:rsidR="00DA241A" w:rsidRPr="00250EA9" w:rsidRDefault="00DA241A" w:rsidP="00250EA9">
      <w:pPr>
        <w:pStyle w:val="FootnoteText"/>
        <w:spacing w:after="0" w:line="240" w:lineRule="auto"/>
        <w:rPr>
          <w:sz w:val="18"/>
          <w:szCs w:val="18"/>
        </w:rPr>
      </w:pPr>
      <w:r w:rsidRPr="00250EA9">
        <w:rPr>
          <w:rStyle w:val="FootnoteReference"/>
          <w:sz w:val="18"/>
          <w:szCs w:val="18"/>
        </w:rPr>
        <w:footnoteRef/>
      </w:r>
      <w:r w:rsidRPr="00250EA9">
        <w:rPr>
          <w:sz w:val="18"/>
          <w:szCs w:val="18"/>
        </w:rPr>
        <w:t xml:space="preserve"> Napier, M., 2002: Core housing, enablement and urban poverty The consolidation paths of households living in two South African settlements, Unpublished PhD Thesis, University of Newcastle Upon Tyne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61A8D" w14:textId="6663FA3D" w:rsidR="00DA241A" w:rsidRDefault="00DA241A" w:rsidP="008979F8">
    <w:pPr>
      <w:pStyle w:val="Header"/>
      <w:jc w:val="center"/>
      <w:rPr>
        <w:rFonts w:ascii="Arial" w:hAnsi="Arial" w:cs="Arial"/>
        <w:b/>
        <w:sz w:val="16"/>
      </w:rPr>
    </w:pPr>
    <w:r>
      <w:rPr>
        <w:rFonts w:ascii="Arial" w:hAnsi="Arial" w:cs="Arial"/>
        <w:b/>
        <w:sz w:val="16"/>
      </w:rPr>
      <w:t>Financing Housing Consolidation in Informal Settlement Upgrading Projects</w:t>
    </w:r>
  </w:p>
  <w:p w14:paraId="04EA00AD" w14:textId="68658B2E" w:rsidR="00DA241A" w:rsidRDefault="00DA241A" w:rsidP="008979F8">
    <w:pPr>
      <w:pStyle w:val="Header"/>
      <w:jc w:val="center"/>
    </w:pPr>
    <w:r>
      <w:rPr>
        <w:rFonts w:ascii="Arial" w:hAnsi="Arial" w:cs="Arial"/>
        <w:sz w:val="16"/>
      </w:rPr>
      <w:t>C Forster &amp; D Gardner</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DFCE1" w14:textId="77777777" w:rsidR="00DA241A" w:rsidRDefault="00DA241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7C39E" w14:textId="77777777" w:rsidR="00DA241A" w:rsidRDefault="00DA241A" w:rsidP="00E9048A">
    <w:pPr>
      <w:pStyle w:val="Header"/>
      <w:jc w:val="center"/>
      <w:rPr>
        <w:rFonts w:ascii="Arial" w:hAnsi="Arial" w:cs="Arial"/>
        <w:b/>
        <w:sz w:val="16"/>
      </w:rPr>
    </w:pPr>
    <w:r>
      <w:rPr>
        <w:rFonts w:ascii="Arial" w:hAnsi="Arial" w:cs="Arial"/>
        <w:b/>
        <w:sz w:val="16"/>
      </w:rPr>
      <w:t>Financing Housing Consolidation in Informal Settlement Upgrading Projects</w:t>
    </w:r>
  </w:p>
  <w:p w14:paraId="570F4B2B" w14:textId="7F1A6643" w:rsidR="00DA241A" w:rsidRPr="00BC414A" w:rsidRDefault="00DA241A" w:rsidP="00BC414A">
    <w:pPr>
      <w:pStyle w:val="Header"/>
      <w:jc w:val="center"/>
    </w:pPr>
    <w:r>
      <w:rPr>
        <w:rFonts w:ascii="Arial" w:hAnsi="Arial" w:cs="Arial"/>
        <w:sz w:val="16"/>
      </w:rPr>
      <w:t>C Forster &amp; D Gardner</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103F3" w14:textId="77777777" w:rsidR="00DA241A" w:rsidRDefault="00DA241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210EE"/>
    <w:multiLevelType w:val="hybridMultilevel"/>
    <w:tmpl w:val="F5C0717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2B33279"/>
    <w:multiLevelType w:val="hybridMultilevel"/>
    <w:tmpl w:val="A51E1072"/>
    <w:lvl w:ilvl="0" w:tplc="27E84D7E">
      <w:start w:val="1"/>
      <w:numFmt w:val="lowerRoman"/>
      <w:lvlText w:val="(%1)"/>
      <w:lvlJc w:val="left"/>
      <w:pPr>
        <w:ind w:left="1287" w:hanging="360"/>
      </w:pPr>
      <w:rPr>
        <w:rFonts w:hint="default"/>
        <w:b w:val="0"/>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2E4228D"/>
    <w:multiLevelType w:val="hybridMultilevel"/>
    <w:tmpl w:val="D0A01716"/>
    <w:lvl w:ilvl="0" w:tplc="37F0454E">
      <w:start w:val="1"/>
      <w:numFmt w:val="lowerRoman"/>
      <w:lvlText w:val="(%1)"/>
      <w:lvlJc w:val="left"/>
      <w:pPr>
        <w:ind w:left="1287" w:hanging="360"/>
      </w:pPr>
      <w:rPr>
        <w:rFonts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3045AFD"/>
    <w:multiLevelType w:val="hybridMultilevel"/>
    <w:tmpl w:val="C636946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F21C02"/>
    <w:multiLevelType w:val="hybridMultilevel"/>
    <w:tmpl w:val="514066F6"/>
    <w:lvl w:ilvl="0" w:tplc="08F62692">
      <w:start w:val="1"/>
      <w:numFmt w:val="lowerRoman"/>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47D515B"/>
    <w:multiLevelType w:val="multilevel"/>
    <w:tmpl w:val="86BC6B52"/>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510"/>
        </w:tabs>
        <w:ind w:left="510" w:hanging="510"/>
      </w:pPr>
      <w:rPr>
        <w:rFonts w:hint="default"/>
        <w:strike w:val="0"/>
      </w:rPr>
    </w:lvl>
    <w:lvl w:ilvl="2">
      <w:start w:val="1"/>
      <w:numFmt w:val="decimal"/>
      <w:pStyle w:val="Heading3"/>
      <w:lvlText w:val="%1.%2.%3"/>
      <w:lvlJc w:val="left"/>
      <w:pPr>
        <w:tabs>
          <w:tab w:val="num" w:pos="624"/>
        </w:tabs>
        <w:ind w:left="624" w:hanging="624"/>
      </w:pPr>
      <w:rPr>
        <w:rFonts w:hint="default"/>
      </w:rPr>
    </w:lvl>
    <w:lvl w:ilvl="3">
      <w:start w:val="1"/>
      <w:numFmt w:val="decimal"/>
      <w:lvlText w:val="%1.%2.%3.%4"/>
      <w:lvlJc w:val="left"/>
      <w:pPr>
        <w:tabs>
          <w:tab w:val="num" w:pos="425"/>
        </w:tabs>
        <w:ind w:left="822" w:hanging="397"/>
      </w:pPr>
      <w:rPr>
        <w:rFonts w:hint="default"/>
      </w:rPr>
    </w:lvl>
    <w:lvl w:ilvl="4">
      <w:start w:val="1"/>
      <w:numFmt w:val="decimal"/>
      <w:lvlText w:val="%1.%2.%3.%4.%5."/>
      <w:lvlJc w:val="left"/>
      <w:pPr>
        <w:tabs>
          <w:tab w:val="num" w:pos="4385"/>
        </w:tabs>
        <w:ind w:left="2657" w:hanging="792"/>
      </w:pPr>
      <w:rPr>
        <w:rFonts w:hint="default"/>
      </w:rPr>
    </w:lvl>
    <w:lvl w:ilvl="5">
      <w:start w:val="1"/>
      <w:numFmt w:val="decimal"/>
      <w:lvlText w:val="%1.%2.%3.%4.%5.%6."/>
      <w:lvlJc w:val="left"/>
      <w:pPr>
        <w:tabs>
          <w:tab w:val="num" w:pos="5105"/>
        </w:tabs>
        <w:ind w:left="3161" w:hanging="936"/>
      </w:pPr>
      <w:rPr>
        <w:rFonts w:hint="default"/>
      </w:rPr>
    </w:lvl>
    <w:lvl w:ilvl="6">
      <w:start w:val="1"/>
      <w:numFmt w:val="decimal"/>
      <w:lvlText w:val="%1.%2.%3.%4.%5.%6.%7."/>
      <w:lvlJc w:val="left"/>
      <w:pPr>
        <w:tabs>
          <w:tab w:val="num" w:pos="5825"/>
        </w:tabs>
        <w:ind w:left="3665" w:hanging="1080"/>
      </w:pPr>
      <w:rPr>
        <w:rFonts w:hint="default"/>
      </w:rPr>
    </w:lvl>
    <w:lvl w:ilvl="7">
      <w:start w:val="1"/>
      <w:numFmt w:val="decimal"/>
      <w:lvlText w:val="%1.%2.%3.%4.%5.%6.%7.%8."/>
      <w:lvlJc w:val="left"/>
      <w:pPr>
        <w:tabs>
          <w:tab w:val="num" w:pos="6905"/>
        </w:tabs>
        <w:ind w:left="4169" w:hanging="1224"/>
      </w:pPr>
      <w:rPr>
        <w:rFonts w:hint="default"/>
      </w:rPr>
    </w:lvl>
    <w:lvl w:ilvl="8">
      <w:start w:val="1"/>
      <w:numFmt w:val="decimal"/>
      <w:lvlText w:val="%1.%2.%3.%4.%5.%6.%7.%8.%9."/>
      <w:lvlJc w:val="left"/>
      <w:pPr>
        <w:tabs>
          <w:tab w:val="num" w:pos="7625"/>
        </w:tabs>
        <w:ind w:left="4745" w:hanging="1440"/>
      </w:pPr>
      <w:rPr>
        <w:rFonts w:hint="default"/>
      </w:rPr>
    </w:lvl>
  </w:abstractNum>
  <w:abstractNum w:abstractNumId="6">
    <w:nsid w:val="04C47B7D"/>
    <w:multiLevelType w:val="hybridMultilevel"/>
    <w:tmpl w:val="276A7F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4E61A12"/>
    <w:multiLevelType w:val="hybridMultilevel"/>
    <w:tmpl w:val="57944E6C"/>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5263AB3"/>
    <w:multiLevelType w:val="hybridMultilevel"/>
    <w:tmpl w:val="FD16E194"/>
    <w:lvl w:ilvl="0" w:tplc="04090017">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67E4274"/>
    <w:multiLevelType w:val="hybridMultilevel"/>
    <w:tmpl w:val="57A2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E600E2"/>
    <w:multiLevelType w:val="hybridMultilevel"/>
    <w:tmpl w:val="999A2AE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0B2B21FE"/>
    <w:multiLevelType w:val="hybridMultilevel"/>
    <w:tmpl w:val="083C3D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7">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1A7344"/>
    <w:multiLevelType w:val="hybridMultilevel"/>
    <w:tmpl w:val="7088A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314092"/>
    <w:multiLevelType w:val="hybridMultilevel"/>
    <w:tmpl w:val="C91EF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C25A24"/>
    <w:multiLevelType w:val="hybridMultilevel"/>
    <w:tmpl w:val="626C3BE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14703E4"/>
    <w:multiLevelType w:val="hybridMultilevel"/>
    <w:tmpl w:val="CC6282B2"/>
    <w:lvl w:ilvl="0" w:tplc="04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17B409B"/>
    <w:multiLevelType w:val="hybridMultilevel"/>
    <w:tmpl w:val="62C20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2311066"/>
    <w:multiLevelType w:val="hybridMultilevel"/>
    <w:tmpl w:val="D990F6D0"/>
    <w:lvl w:ilvl="0" w:tplc="0409000F">
      <w:start w:val="1"/>
      <w:numFmt w:val="decimal"/>
      <w:lvlText w:val="%1."/>
      <w:lvlJc w:val="left"/>
      <w:pPr>
        <w:ind w:left="360" w:hanging="360"/>
      </w:pPr>
    </w:lvl>
    <w:lvl w:ilvl="1" w:tplc="8F2CEFB4">
      <w:start w:val="1"/>
      <w:numFmt w:val="lowerLetter"/>
      <w:lvlText w:val="%2."/>
      <w:lvlJc w:val="left"/>
      <w:pPr>
        <w:ind w:left="1080" w:hanging="360"/>
      </w:pPr>
      <w:rPr>
        <w:b w:val="0"/>
      </w:rPr>
    </w:lvl>
    <w:lvl w:ilvl="2" w:tplc="1A4AD15C">
      <w:start w:val="1"/>
      <w:numFmt w:val="lowerRoman"/>
      <w:lvlText w:val="%3."/>
      <w:lvlJc w:val="right"/>
      <w:pPr>
        <w:ind w:left="1800" w:hanging="180"/>
      </w:pPr>
      <w:rPr>
        <w:b w:val="0"/>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5E4790D"/>
    <w:multiLevelType w:val="hybridMultilevel"/>
    <w:tmpl w:val="7C2E4C52"/>
    <w:lvl w:ilvl="0" w:tplc="04090001">
      <w:start w:val="1"/>
      <w:numFmt w:val="bullet"/>
      <w:lvlText w:val=""/>
      <w:lvlJc w:val="left"/>
      <w:pPr>
        <w:ind w:left="1440" w:hanging="360"/>
      </w:pPr>
      <w:rPr>
        <w:rFonts w:ascii="Symbol" w:hAnsi="Symbol" w:hint="default"/>
      </w:rPr>
    </w:lvl>
    <w:lvl w:ilvl="1" w:tplc="D1844F0E">
      <w:start w:val="1"/>
      <w:numFmt w:val="decimal"/>
      <w:lvlText w:val="%2."/>
      <w:lvlJc w:val="left"/>
      <w:pPr>
        <w:tabs>
          <w:tab w:val="num" w:pos="2160"/>
        </w:tabs>
        <w:ind w:left="2160" w:hanging="360"/>
      </w:pPr>
    </w:lvl>
    <w:lvl w:ilvl="2" w:tplc="29445E80" w:tentative="1">
      <w:start w:val="1"/>
      <w:numFmt w:val="decimal"/>
      <w:lvlText w:val="%3."/>
      <w:lvlJc w:val="left"/>
      <w:pPr>
        <w:tabs>
          <w:tab w:val="num" w:pos="2880"/>
        </w:tabs>
        <w:ind w:left="2880" w:hanging="360"/>
      </w:pPr>
    </w:lvl>
    <w:lvl w:ilvl="3" w:tplc="BB9848AE" w:tentative="1">
      <w:start w:val="1"/>
      <w:numFmt w:val="decimal"/>
      <w:lvlText w:val="%4."/>
      <w:lvlJc w:val="left"/>
      <w:pPr>
        <w:tabs>
          <w:tab w:val="num" w:pos="3600"/>
        </w:tabs>
        <w:ind w:left="3600" w:hanging="360"/>
      </w:pPr>
    </w:lvl>
    <w:lvl w:ilvl="4" w:tplc="9356C3E8" w:tentative="1">
      <w:start w:val="1"/>
      <w:numFmt w:val="decimal"/>
      <w:lvlText w:val="%5."/>
      <w:lvlJc w:val="left"/>
      <w:pPr>
        <w:tabs>
          <w:tab w:val="num" w:pos="4320"/>
        </w:tabs>
        <w:ind w:left="4320" w:hanging="360"/>
      </w:pPr>
    </w:lvl>
    <w:lvl w:ilvl="5" w:tplc="5846DEFE" w:tentative="1">
      <w:start w:val="1"/>
      <w:numFmt w:val="decimal"/>
      <w:lvlText w:val="%6."/>
      <w:lvlJc w:val="left"/>
      <w:pPr>
        <w:tabs>
          <w:tab w:val="num" w:pos="5040"/>
        </w:tabs>
        <w:ind w:left="5040" w:hanging="360"/>
      </w:pPr>
    </w:lvl>
    <w:lvl w:ilvl="6" w:tplc="62E69962" w:tentative="1">
      <w:start w:val="1"/>
      <w:numFmt w:val="decimal"/>
      <w:lvlText w:val="%7."/>
      <w:lvlJc w:val="left"/>
      <w:pPr>
        <w:tabs>
          <w:tab w:val="num" w:pos="5760"/>
        </w:tabs>
        <w:ind w:left="5760" w:hanging="360"/>
      </w:pPr>
    </w:lvl>
    <w:lvl w:ilvl="7" w:tplc="F37A2600" w:tentative="1">
      <w:start w:val="1"/>
      <w:numFmt w:val="decimal"/>
      <w:lvlText w:val="%8."/>
      <w:lvlJc w:val="left"/>
      <w:pPr>
        <w:tabs>
          <w:tab w:val="num" w:pos="6480"/>
        </w:tabs>
        <w:ind w:left="6480" w:hanging="360"/>
      </w:pPr>
    </w:lvl>
    <w:lvl w:ilvl="8" w:tplc="496C3ADC" w:tentative="1">
      <w:start w:val="1"/>
      <w:numFmt w:val="decimal"/>
      <w:lvlText w:val="%9."/>
      <w:lvlJc w:val="left"/>
      <w:pPr>
        <w:tabs>
          <w:tab w:val="num" w:pos="7200"/>
        </w:tabs>
        <w:ind w:left="7200" w:hanging="360"/>
      </w:pPr>
    </w:lvl>
  </w:abstractNum>
  <w:abstractNum w:abstractNumId="19">
    <w:nsid w:val="17B11E6A"/>
    <w:multiLevelType w:val="hybridMultilevel"/>
    <w:tmpl w:val="FA36823E"/>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0">
    <w:nsid w:val="17F83511"/>
    <w:multiLevelType w:val="hybridMultilevel"/>
    <w:tmpl w:val="FA485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DC360D"/>
    <w:multiLevelType w:val="hybridMultilevel"/>
    <w:tmpl w:val="12164892"/>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1D017822"/>
    <w:multiLevelType w:val="hybridMultilevel"/>
    <w:tmpl w:val="1E0AD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AF68FA"/>
    <w:multiLevelType w:val="hybridMultilevel"/>
    <w:tmpl w:val="2EA00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DFB5060"/>
    <w:multiLevelType w:val="hybridMultilevel"/>
    <w:tmpl w:val="733E7C7C"/>
    <w:lvl w:ilvl="0" w:tplc="A82C46B4">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F716D3F"/>
    <w:multiLevelType w:val="hybridMultilevel"/>
    <w:tmpl w:val="B2BA18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FDA24B3"/>
    <w:multiLevelType w:val="hybridMultilevel"/>
    <w:tmpl w:val="546C1A36"/>
    <w:lvl w:ilvl="0" w:tplc="35464976">
      <w:start w:val="1"/>
      <w:numFmt w:val="decimal"/>
      <w:lvlText w:val="%1."/>
      <w:lvlJc w:val="left"/>
      <w:pPr>
        <w:tabs>
          <w:tab w:val="num" w:pos="720"/>
        </w:tabs>
        <w:ind w:left="720" w:hanging="360"/>
      </w:pPr>
    </w:lvl>
    <w:lvl w:ilvl="1" w:tplc="04090001">
      <w:start w:val="1"/>
      <w:numFmt w:val="bullet"/>
      <w:lvlText w:val=""/>
      <w:lvlJc w:val="left"/>
      <w:pPr>
        <w:ind w:left="1440" w:hanging="360"/>
      </w:pPr>
      <w:rPr>
        <w:rFonts w:ascii="Symbol" w:hAnsi="Symbol" w:hint="default"/>
      </w:rPr>
    </w:lvl>
    <w:lvl w:ilvl="2" w:tplc="E0721F2E">
      <w:start w:val="1"/>
      <w:numFmt w:val="decimal"/>
      <w:lvlText w:val="%3."/>
      <w:lvlJc w:val="left"/>
      <w:pPr>
        <w:tabs>
          <w:tab w:val="num" w:pos="2160"/>
        </w:tabs>
        <w:ind w:left="2160" w:hanging="360"/>
      </w:pPr>
    </w:lvl>
    <w:lvl w:ilvl="3" w:tplc="8F8A07DC" w:tentative="1">
      <w:start w:val="1"/>
      <w:numFmt w:val="decimal"/>
      <w:lvlText w:val="%4."/>
      <w:lvlJc w:val="left"/>
      <w:pPr>
        <w:tabs>
          <w:tab w:val="num" w:pos="2880"/>
        </w:tabs>
        <w:ind w:left="2880" w:hanging="360"/>
      </w:pPr>
    </w:lvl>
    <w:lvl w:ilvl="4" w:tplc="E3E20BFE" w:tentative="1">
      <w:start w:val="1"/>
      <w:numFmt w:val="decimal"/>
      <w:lvlText w:val="%5."/>
      <w:lvlJc w:val="left"/>
      <w:pPr>
        <w:tabs>
          <w:tab w:val="num" w:pos="3600"/>
        </w:tabs>
        <w:ind w:left="3600" w:hanging="360"/>
      </w:pPr>
    </w:lvl>
    <w:lvl w:ilvl="5" w:tplc="77A690A0" w:tentative="1">
      <w:start w:val="1"/>
      <w:numFmt w:val="decimal"/>
      <w:lvlText w:val="%6."/>
      <w:lvlJc w:val="left"/>
      <w:pPr>
        <w:tabs>
          <w:tab w:val="num" w:pos="4320"/>
        </w:tabs>
        <w:ind w:left="4320" w:hanging="360"/>
      </w:pPr>
    </w:lvl>
    <w:lvl w:ilvl="6" w:tplc="C6182924" w:tentative="1">
      <w:start w:val="1"/>
      <w:numFmt w:val="decimal"/>
      <w:lvlText w:val="%7."/>
      <w:lvlJc w:val="left"/>
      <w:pPr>
        <w:tabs>
          <w:tab w:val="num" w:pos="5040"/>
        </w:tabs>
        <w:ind w:left="5040" w:hanging="360"/>
      </w:pPr>
    </w:lvl>
    <w:lvl w:ilvl="7" w:tplc="C16256C8" w:tentative="1">
      <w:start w:val="1"/>
      <w:numFmt w:val="decimal"/>
      <w:lvlText w:val="%8."/>
      <w:lvlJc w:val="left"/>
      <w:pPr>
        <w:tabs>
          <w:tab w:val="num" w:pos="5760"/>
        </w:tabs>
        <w:ind w:left="5760" w:hanging="360"/>
      </w:pPr>
    </w:lvl>
    <w:lvl w:ilvl="8" w:tplc="98102876" w:tentative="1">
      <w:start w:val="1"/>
      <w:numFmt w:val="decimal"/>
      <w:lvlText w:val="%9."/>
      <w:lvlJc w:val="left"/>
      <w:pPr>
        <w:tabs>
          <w:tab w:val="num" w:pos="6480"/>
        </w:tabs>
        <w:ind w:left="6480" w:hanging="360"/>
      </w:pPr>
    </w:lvl>
  </w:abstractNum>
  <w:abstractNum w:abstractNumId="27">
    <w:nsid w:val="20FA42CA"/>
    <w:multiLevelType w:val="hybridMultilevel"/>
    <w:tmpl w:val="0E5E83E8"/>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8">
    <w:nsid w:val="21E45073"/>
    <w:multiLevelType w:val="hybridMultilevel"/>
    <w:tmpl w:val="1F7298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22387FE0"/>
    <w:multiLevelType w:val="multilevel"/>
    <w:tmpl w:val="EC8695B4"/>
    <w:styleLink w:val="111111"/>
    <w:lvl w:ilvl="0">
      <w:start w:val="1"/>
      <w:numFmt w:val="decimal"/>
      <w:lvlText w:val="%1."/>
      <w:lvlJc w:val="left"/>
      <w:pPr>
        <w:ind w:left="360" w:hanging="360"/>
      </w:pPr>
      <w:rPr>
        <w:rFonts w:hint="default"/>
        <w:color w:val="auto"/>
        <w:sz w:val="32"/>
        <w:szCs w:val="32"/>
      </w:rPr>
    </w:lvl>
    <w:lvl w:ilvl="1">
      <w:start w:val="1"/>
      <w:numFmt w:val="decimal"/>
      <w:lvlText w:val="%1.%2."/>
      <w:lvlJc w:val="left"/>
      <w:pPr>
        <w:ind w:left="432" w:hanging="432"/>
      </w:pPr>
      <w:rPr>
        <w:rFonts w:hint="default"/>
        <w:strike w:val="0"/>
        <w:sz w:val="28"/>
        <w:szCs w:val="28"/>
      </w:rPr>
    </w:lvl>
    <w:lvl w:ilvl="2">
      <w:start w:val="1"/>
      <w:numFmt w:val="decimal"/>
      <w:lvlRestart w:val="0"/>
      <w:lvlText w:val="%1.%2.%3."/>
      <w:lvlJc w:val="left"/>
      <w:pPr>
        <w:ind w:left="1224" w:hanging="504"/>
      </w:pPr>
      <w:rPr>
        <w:rFonts w:hint="default"/>
        <w:b/>
        <w:bCs/>
        <w:i w:val="0"/>
        <w:iCs w:val="0"/>
        <w:color w:val="000000" w:themeColor="text1"/>
        <w:sz w:val="22"/>
        <w:szCs w:val="22"/>
        <w14:ligatures w14:val="none"/>
      </w:rPr>
    </w:lvl>
    <w:lvl w:ilvl="3">
      <w:start w:val="1"/>
      <w:numFmt w:val="decimal"/>
      <w:lvlText w:val="%1.%2.%3.%4."/>
      <w:lvlJc w:val="left"/>
      <w:pPr>
        <w:ind w:left="1728" w:hanging="648"/>
      </w:pPr>
      <w:rPr>
        <w:rFonts w:hint="default"/>
        <w:b/>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27D4ED7"/>
    <w:multiLevelType w:val="hybridMultilevel"/>
    <w:tmpl w:val="0C72C73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23FC2D4E"/>
    <w:multiLevelType w:val="hybridMultilevel"/>
    <w:tmpl w:val="757C7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24157B0B"/>
    <w:multiLevelType w:val="hybridMultilevel"/>
    <w:tmpl w:val="75C2E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774350F"/>
    <w:multiLevelType w:val="hybridMultilevel"/>
    <w:tmpl w:val="792278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F377BF3"/>
    <w:multiLevelType w:val="hybridMultilevel"/>
    <w:tmpl w:val="F9B8D12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FB902DC"/>
    <w:multiLevelType w:val="hybridMultilevel"/>
    <w:tmpl w:val="84F42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494A152">
      <w:start w:val="1"/>
      <w:numFmt w:val="lowerRoman"/>
      <w:lvlText w:val="%3."/>
      <w:lvlJc w:val="right"/>
      <w:pPr>
        <w:ind w:left="2160" w:hanging="180"/>
      </w:pPr>
      <w:rPr>
        <w:b w:val="0"/>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0AF69AE"/>
    <w:multiLevelType w:val="hybridMultilevel"/>
    <w:tmpl w:val="EE70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0D47BFC"/>
    <w:multiLevelType w:val="hybridMultilevel"/>
    <w:tmpl w:val="7FD0F68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4E730DF"/>
    <w:multiLevelType w:val="hybridMultilevel"/>
    <w:tmpl w:val="13B0A57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9">
    <w:nsid w:val="367F543F"/>
    <w:multiLevelType w:val="hybridMultilevel"/>
    <w:tmpl w:val="9092A62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76F4E56"/>
    <w:multiLevelType w:val="hybridMultilevel"/>
    <w:tmpl w:val="C840B600"/>
    <w:lvl w:ilvl="0" w:tplc="F0AA4CC6">
      <w:start w:val="1"/>
      <w:numFmt w:val="lowerRoman"/>
      <w:lvlText w:val="%1."/>
      <w:lvlJc w:val="left"/>
      <w:pPr>
        <w:ind w:left="838" w:hanging="720"/>
      </w:pPr>
      <w:rPr>
        <w:rFonts w:hint="default"/>
      </w:rPr>
    </w:lvl>
    <w:lvl w:ilvl="1" w:tplc="08090019" w:tentative="1">
      <w:start w:val="1"/>
      <w:numFmt w:val="lowerLetter"/>
      <w:lvlText w:val="%2."/>
      <w:lvlJc w:val="left"/>
      <w:pPr>
        <w:ind w:left="1198" w:hanging="360"/>
      </w:pPr>
    </w:lvl>
    <w:lvl w:ilvl="2" w:tplc="0809001B" w:tentative="1">
      <w:start w:val="1"/>
      <w:numFmt w:val="lowerRoman"/>
      <w:lvlText w:val="%3."/>
      <w:lvlJc w:val="right"/>
      <w:pPr>
        <w:ind w:left="1918" w:hanging="180"/>
      </w:pPr>
    </w:lvl>
    <w:lvl w:ilvl="3" w:tplc="0809000F" w:tentative="1">
      <w:start w:val="1"/>
      <w:numFmt w:val="decimal"/>
      <w:lvlText w:val="%4."/>
      <w:lvlJc w:val="left"/>
      <w:pPr>
        <w:ind w:left="2638" w:hanging="360"/>
      </w:pPr>
    </w:lvl>
    <w:lvl w:ilvl="4" w:tplc="08090019" w:tentative="1">
      <w:start w:val="1"/>
      <w:numFmt w:val="lowerLetter"/>
      <w:lvlText w:val="%5."/>
      <w:lvlJc w:val="left"/>
      <w:pPr>
        <w:ind w:left="3358" w:hanging="360"/>
      </w:pPr>
    </w:lvl>
    <w:lvl w:ilvl="5" w:tplc="0809001B" w:tentative="1">
      <w:start w:val="1"/>
      <w:numFmt w:val="lowerRoman"/>
      <w:lvlText w:val="%6."/>
      <w:lvlJc w:val="right"/>
      <w:pPr>
        <w:ind w:left="4078" w:hanging="180"/>
      </w:pPr>
    </w:lvl>
    <w:lvl w:ilvl="6" w:tplc="0809000F" w:tentative="1">
      <w:start w:val="1"/>
      <w:numFmt w:val="decimal"/>
      <w:lvlText w:val="%7."/>
      <w:lvlJc w:val="left"/>
      <w:pPr>
        <w:ind w:left="4798" w:hanging="360"/>
      </w:pPr>
    </w:lvl>
    <w:lvl w:ilvl="7" w:tplc="08090019" w:tentative="1">
      <w:start w:val="1"/>
      <w:numFmt w:val="lowerLetter"/>
      <w:lvlText w:val="%8."/>
      <w:lvlJc w:val="left"/>
      <w:pPr>
        <w:ind w:left="5518" w:hanging="360"/>
      </w:pPr>
    </w:lvl>
    <w:lvl w:ilvl="8" w:tplc="0809001B" w:tentative="1">
      <w:start w:val="1"/>
      <w:numFmt w:val="lowerRoman"/>
      <w:lvlText w:val="%9."/>
      <w:lvlJc w:val="right"/>
      <w:pPr>
        <w:ind w:left="6238" w:hanging="180"/>
      </w:pPr>
    </w:lvl>
  </w:abstractNum>
  <w:abstractNum w:abstractNumId="41">
    <w:nsid w:val="38780477"/>
    <w:multiLevelType w:val="hybridMultilevel"/>
    <w:tmpl w:val="1632D54A"/>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42">
    <w:nsid w:val="3BC24013"/>
    <w:multiLevelType w:val="hybridMultilevel"/>
    <w:tmpl w:val="C080894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3">
    <w:nsid w:val="3C886D5B"/>
    <w:multiLevelType w:val="hybridMultilevel"/>
    <w:tmpl w:val="2DF2F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593885"/>
    <w:multiLevelType w:val="hybridMultilevel"/>
    <w:tmpl w:val="EBAE089C"/>
    <w:lvl w:ilvl="0" w:tplc="04090001">
      <w:start w:val="1"/>
      <w:numFmt w:val="bullet"/>
      <w:lvlText w:val=""/>
      <w:lvlJc w:val="left"/>
      <w:pPr>
        <w:ind w:left="1208" w:hanging="360"/>
      </w:pPr>
      <w:rPr>
        <w:rFonts w:ascii="Symbol" w:hAnsi="Symbol" w:hint="default"/>
      </w:rPr>
    </w:lvl>
    <w:lvl w:ilvl="1" w:tplc="04090003">
      <w:start w:val="1"/>
      <w:numFmt w:val="bullet"/>
      <w:lvlText w:val="o"/>
      <w:lvlJc w:val="left"/>
      <w:pPr>
        <w:ind w:left="1928" w:hanging="360"/>
      </w:pPr>
      <w:rPr>
        <w:rFonts w:ascii="Courier New" w:hAnsi="Courier New" w:cs="Courier New" w:hint="default"/>
      </w:rPr>
    </w:lvl>
    <w:lvl w:ilvl="2" w:tplc="04090005" w:tentative="1">
      <w:start w:val="1"/>
      <w:numFmt w:val="bullet"/>
      <w:lvlText w:val=""/>
      <w:lvlJc w:val="left"/>
      <w:pPr>
        <w:ind w:left="2648" w:hanging="360"/>
      </w:pPr>
      <w:rPr>
        <w:rFonts w:ascii="Wingdings" w:hAnsi="Wingdings" w:hint="default"/>
      </w:rPr>
    </w:lvl>
    <w:lvl w:ilvl="3" w:tplc="04090001" w:tentative="1">
      <w:start w:val="1"/>
      <w:numFmt w:val="bullet"/>
      <w:lvlText w:val=""/>
      <w:lvlJc w:val="left"/>
      <w:pPr>
        <w:ind w:left="3368" w:hanging="360"/>
      </w:pPr>
      <w:rPr>
        <w:rFonts w:ascii="Symbol" w:hAnsi="Symbol" w:hint="default"/>
      </w:rPr>
    </w:lvl>
    <w:lvl w:ilvl="4" w:tplc="04090003" w:tentative="1">
      <w:start w:val="1"/>
      <w:numFmt w:val="bullet"/>
      <w:lvlText w:val="o"/>
      <w:lvlJc w:val="left"/>
      <w:pPr>
        <w:ind w:left="4088" w:hanging="360"/>
      </w:pPr>
      <w:rPr>
        <w:rFonts w:ascii="Courier New" w:hAnsi="Courier New" w:cs="Courier New" w:hint="default"/>
      </w:rPr>
    </w:lvl>
    <w:lvl w:ilvl="5" w:tplc="04090005" w:tentative="1">
      <w:start w:val="1"/>
      <w:numFmt w:val="bullet"/>
      <w:lvlText w:val=""/>
      <w:lvlJc w:val="left"/>
      <w:pPr>
        <w:ind w:left="4808" w:hanging="360"/>
      </w:pPr>
      <w:rPr>
        <w:rFonts w:ascii="Wingdings" w:hAnsi="Wingdings" w:hint="default"/>
      </w:rPr>
    </w:lvl>
    <w:lvl w:ilvl="6" w:tplc="04090001" w:tentative="1">
      <w:start w:val="1"/>
      <w:numFmt w:val="bullet"/>
      <w:lvlText w:val=""/>
      <w:lvlJc w:val="left"/>
      <w:pPr>
        <w:ind w:left="5528" w:hanging="360"/>
      </w:pPr>
      <w:rPr>
        <w:rFonts w:ascii="Symbol" w:hAnsi="Symbol" w:hint="default"/>
      </w:rPr>
    </w:lvl>
    <w:lvl w:ilvl="7" w:tplc="04090003" w:tentative="1">
      <w:start w:val="1"/>
      <w:numFmt w:val="bullet"/>
      <w:lvlText w:val="o"/>
      <w:lvlJc w:val="left"/>
      <w:pPr>
        <w:ind w:left="6248" w:hanging="360"/>
      </w:pPr>
      <w:rPr>
        <w:rFonts w:ascii="Courier New" w:hAnsi="Courier New" w:cs="Courier New" w:hint="default"/>
      </w:rPr>
    </w:lvl>
    <w:lvl w:ilvl="8" w:tplc="04090005" w:tentative="1">
      <w:start w:val="1"/>
      <w:numFmt w:val="bullet"/>
      <w:lvlText w:val=""/>
      <w:lvlJc w:val="left"/>
      <w:pPr>
        <w:ind w:left="6968" w:hanging="360"/>
      </w:pPr>
      <w:rPr>
        <w:rFonts w:ascii="Wingdings" w:hAnsi="Wingdings" w:hint="default"/>
      </w:rPr>
    </w:lvl>
  </w:abstractNum>
  <w:abstractNum w:abstractNumId="45">
    <w:nsid w:val="42C41F84"/>
    <w:multiLevelType w:val="hybridMultilevel"/>
    <w:tmpl w:val="7152D0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42F60FAB"/>
    <w:multiLevelType w:val="hybridMultilevel"/>
    <w:tmpl w:val="D8D61BE8"/>
    <w:lvl w:ilvl="0" w:tplc="A82C46B4">
      <w:start w:val="9"/>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2FD2856"/>
    <w:multiLevelType w:val="hybridMultilevel"/>
    <w:tmpl w:val="D9566882"/>
    <w:lvl w:ilvl="0" w:tplc="A5285F12">
      <w:start w:val="1"/>
      <w:numFmt w:val="decimal"/>
      <w:lvlText w:val="%1."/>
      <w:lvlJc w:val="left"/>
      <w:pPr>
        <w:tabs>
          <w:tab w:val="num" w:pos="720"/>
        </w:tabs>
        <w:ind w:left="720" w:hanging="360"/>
      </w:pPr>
    </w:lvl>
    <w:lvl w:ilvl="1" w:tplc="D1844F0E">
      <w:start w:val="1"/>
      <w:numFmt w:val="decimal"/>
      <w:lvlText w:val="%2."/>
      <w:lvlJc w:val="left"/>
      <w:pPr>
        <w:tabs>
          <w:tab w:val="num" w:pos="1440"/>
        </w:tabs>
        <w:ind w:left="1440" w:hanging="360"/>
      </w:pPr>
    </w:lvl>
    <w:lvl w:ilvl="2" w:tplc="29445E80">
      <w:start w:val="1"/>
      <w:numFmt w:val="decimal"/>
      <w:lvlText w:val="%3."/>
      <w:lvlJc w:val="left"/>
      <w:pPr>
        <w:tabs>
          <w:tab w:val="num" w:pos="2160"/>
        </w:tabs>
        <w:ind w:left="2160" w:hanging="360"/>
      </w:pPr>
    </w:lvl>
    <w:lvl w:ilvl="3" w:tplc="BB9848AE" w:tentative="1">
      <w:start w:val="1"/>
      <w:numFmt w:val="decimal"/>
      <w:lvlText w:val="%4."/>
      <w:lvlJc w:val="left"/>
      <w:pPr>
        <w:tabs>
          <w:tab w:val="num" w:pos="2880"/>
        </w:tabs>
        <w:ind w:left="2880" w:hanging="360"/>
      </w:pPr>
    </w:lvl>
    <w:lvl w:ilvl="4" w:tplc="9356C3E8" w:tentative="1">
      <w:start w:val="1"/>
      <w:numFmt w:val="decimal"/>
      <w:lvlText w:val="%5."/>
      <w:lvlJc w:val="left"/>
      <w:pPr>
        <w:tabs>
          <w:tab w:val="num" w:pos="3600"/>
        </w:tabs>
        <w:ind w:left="3600" w:hanging="360"/>
      </w:pPr>
    </w:lvl>
    <w:lvl w:ilvl="5" w:tplc="5846DEFE" w:tentative="1">
      <w:start w:val="1"/>
      <w:numFmt w:val="decimal"/>
      <w:lvlText w:val="%6."/>
      <w:lvlJc w:val="left"/>
      <w:pPr>
        <w:tabs>
          <w:tab w:val="num" w:pos="4320"/>
        </w:tabs>
        <w:ind w:left="4320" w:hanging="360"/>
      </w:pPr>
    </w:lvl>
    <w:lvl w:ilvl="6" w:tplc="62E69962" w:tentative="1">
      <w:start w:val="1"/>
      <w:numFmt w:val="decimal"/>
      <w:lvlText w:val="%7."/>
      <w:lvlJc w:val="left"/>
      <w:pPr>
        <w:tabs>
          <w:tab w:val="num" w:pos="5040"/>
        </w:tabs>
        <w:ind w:left="5040" w:hanging="360"/>
      </w:pPr>
    </w:lvl>
    <w:lvl w:ilvl="7" w:tplc="F37A2600" w:tentative="1">
      <w:start w:val="1"/>
      <w:numFmt w:val="decimal"/>
      <w:lvlText w:val="%8."/>
      <w:lvlJc w:val="left"/>
      <w:pPr>
        <w:tabs>
          <w:tab w:val="num" w:pos="5760"/>
        </w:tabs>
        <w:ind w:left="5760" w:hanging="360"/>
      </w:pPr>
    </w:lvl>
    <w:lvl w:ilvl="8" w:tplc="496C3ADC" w:tentative="1">
      <w:start w:val="1"/>
      <w:numFmt w:val="decimal"/>
      <w:lvlText w:val="%9."/>
      <w:lvlJc w:val="left"/>
      <w:pPr>
        <w:tabs>
          <w:tab w:val="num" w:pos="6480"/>
        </w:tabs>
        <w:ind w:left="6480" w:hanging="360"/>
      </w:pPr>
    </w:lvl>
  </w:abstractNum>
  <w:abstractNum w:abstractNumId="48">
    <w:nsid w:val="430551A3"/>
    <w:multiLevelType w:val="hybridMultilevel"/>
    <w:tmpl w:val="24F65004"/>
    <w:lvl w:ilvl="0" w:tplc="0809001B">
      <w:start w:val="1"/>
      <w:numFmt w:val="lowerRoman"/>
      <w:lvlText w:val="%1."/>
      <w:lvlJc w:val="right"/>
      <w:pPr>
        <w:ind w:left="1209" w:hanging="360"/>
      </w:pPr>
      <w:rPr>
        <w:rFonts w:hint="default"/>
      </w:rPr>
    </w:lvl>
    <w:lvl w:ilvl="1" w:tplc="04090003" w:tentative="1">
      <w:start w:val="1"/>
      <w:numFmt w:val="bullet"/>
      <w:lvlText w:val="o"/>
      <w:lvlJc w:val="left"/>
      <w:pPr>
        <w:ind w:left="1929" w:hanging="360"/>
      </w:pPr>
      <w:rPr>
        <w:rFonts w:ascii="Courier New" w:hAnsi="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49">
    <w:nsid w:val="43401F3F"/>
    <w:multiLevelType w:val="hybridMultilevel"/>
    <w:tmpl w:val="B1E635C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4954809"/>
    <w:multiLevelType w:val="hybridMultilevel"/>
    <w:tmpl w:val="A380CFF2"/>
    <w:lvl w:ilvl="0" w:tplc="37F0454E">
      <w:start w:val="1"/>
      <w:numFmt w:val="lowerRoman"/>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46492AE0"/>
    <w:multiLevelType w:val="hybridMultilevel"/>
    <w:tmpl w:val="D0A01716"/>
    <w:lvl w:ilvl="0" w:tplc="37F0454E">
      <w:start w:val="1"/>
      <w:numFmt w:val="lowerRoman"/>
      <w:lvlText w:val="(%1)"/>
      <w:lvlJc w:val="left"/>
      <w:pPr>
        <w:ind w:left="1440" w:hanging="360"/>
      </w:pPr>
      <w:rPr>
        <w:rFonts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nsid w:val="47526430"/>
    <w:multiLevelType w:val="hybridMultilevel"/>
    <w:tmpl w:val="5E98443A"/>
    <w:lvl w:ilvl="0" w:tplc="0409000F">
      <w:start w:val="1"/>
      <w:numFmt w:val="decimal"/>
      <w:lvlText w:val="%1."/>
      <w:lvlJc w:val="left"/>
      <w:pPr>
        <w:ind w:left="720" w:hanging="360"/>
      </w:pPr>
    </w:lvl>
    <w:lvl w:ilvl="1" w:tplc="A9000AD0">
      <w:start w:val="1"/>
      <w:numFmt w:val="lowerLetter"/>
      <w:lvlText w:val="%2."/>
      <w:lvlJc w:val="left"/>
      <w:pPr>
        <w:ind w:left="1440" w:hanging="360"/>
      </w:pPr>
      <w:rPr>
        <w:b w:val="0"/>
      </w:rPr>
    </w:lvl>
    <w:lvl w:ilvl="2" w:tplc="C3A66EAA">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8DB4959"/>
    <w:multiLevelType w:val="hybridMultilevel"/>
    <w:tmpl w:val="4A24DB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4A6F49D2"/>
    <w:multiLevelType w:val="hybridMultilevel"/>
    <w:tmpl w:val="8F3ED8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AD81106"/>
    <w:multiLevelType w:val="hybridMultilevel"/>
    <w:tmpl w:val="714A8EA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6">
    <w:nsid w:val="4DC8415A"/>
    <w:multiLevelType w:val="hybridMultilevel"/>
    <w:tmpl w:val="BD4A41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nsid w:val="4E6379ED"/>
    <w:multiLevelType w:val="hybridMultilevel"/>
    <w:tmpl w:val="21DA1C98"/>
    <w:lvl w:ilvl="0" w:tplc="37F0454E">
      <w:start w:val="1"/>
      <w:numFmt w:val="lowerRoman"/>
      <w:lvlText w:val="(%1)"/>
      <w:lvlJc w:val="left"/>
      <w:pPr>
        <w:ind w:left="1208" w:hanging="720"/>
      </w:pPr>
      <w:rPr>
        <w:rFonts w:hint="default"/>
      </w:rPr>
    </w:lvl>
    <w:lvl w:ilvl="1" w:tplc="04090019" w:tentative="1">
      <w:start w:val="1"/>
      <w:numFmt w:val="lowerLetter"/>
      <w:lvlText w:val="%2."/>
      <w:lvlJc w:val="left"/>
      <w:pPr>
        <w:ind w:left="1568" w:hanging="360"/>
      </w:pPr>
    </w:lvl>
    <w:lvl w:ilvl="2" w:tplc="0409001B" w:tentative="1">
      <w:start w:val="1"/>
      <w:numFmt w:val="lowerRoman"/>
      <w:lvlText w:val="%3."/>
      <w:lvlJc w:val="right"/>
      <w:pPr>
        <w:ind w:left="2288" w:hanging="180"/>
      </w:pPr>
    </w:lvl>
    <w:lvl w:ilvl="3" w:tplc="0409000F" w:tentative="1">
      <w:start w:val="1"/>
      <w:numFmt w:val="decimal"/>
      <w:lvlText w:val="%4."/>
      <w:lvlJc w:val="left"/>
      <w:pPr>
        <w:ind w:left="3008" w:hanging="360"/>
      </w:pPr>
    </w:lvl>
    <w:lvl w:ilvl="4" w:tplc="04090019" w:tentative="1">
      <w:start w:val="1"/>
      <w:numFmt w:val="lowerLetter"/>
      <w:lvlText w:val="%5."/>
      <w:lvlJc w:val="left"/>
      <w:pPr>
        <w:ind w:left="3728" w:hanging="360"/>
      </w:pPr>
    </w:lvl>
    <w:lvl w:ilvl="5" w:tplc="0409001B" w:tentative="1">
      <w:start w:val="1"/>
      <w:numFmt w:val="lowerRoman"/>
      <w:lvlText w:val="%6."/>
      <w:lvlJc w:val="right"/>
      <w:pPr>
        <w:ind w:left="4448" w:hanging="180"/>
      </w:pPr>
    </w:lvl>
    <w:lvl w:ilvl="6" w:tplc="0409000F" w:tentative="1">
      <w:start w:val="1"/>
      <w:numFmt w:val="decimal"/>
      <w:lvlText w:val="%7."/>
      <w:lvlJc w:val="left"/>
      <w:pPr>
        <w:ind w:left="5168" w:hanging="360"/>
      </w:pPr>
    </w:lvl>
    <w:lvl w:ilvl="7" w:tplc="04090019" w:tentative="1">
      <w:start w:val="1"/>
      <w:numFmt w:val="lowerLetter"/>
      <w:lvlText w:val="%8."/>
      <w:lvlJc w:val="left"/>
      <w:pPr>
        <w:ind w:left="5888" w:hanging="360"/>
      </w:pPr>
    </w:lvl>
    <w:lvl w:ilvl="8" w:tplc="0409001B" w:tentative="1">
      <w:start w:val="1"/>
      <w:numFmt w:val="lowerRoman"/>
      <w:lvlText w:val="%9."/>
      <w:lvlJc w:val="right"/>
      <w:pPr>
        <w:ind w:left="6608" w:hanging="180"/>
      </w:pPr>
    </w:lvl>
  </w:abstractNum>
  <w:abstractNum w:abstractNumId="58">
    <w:nsid w:val="54463B57"/>
    <w:multiLevelType w:val="hybridMultilevel"/>
    <w:tmpl w:val="5D3EAC5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9">
    <w:nsid w:val="54A57B6A"/>
    <w:multiLevelType w:val="hybridMultilevel"/>
    <w:tmpl w:val="DE108E74"/>
    <w:lvl w:ilvl="0" w:tplc="37F0454E">
      <w:start w:val="1"/>
      <w:numFmt w:val="lowerRoman"/>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55AD0980"/>
    <w:multiLevelType w:val="hybridMultilevel"/>
    <w:tmpl w:val="55D66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73303D6"/>
    <w:multiLevelType w:val="hybridMultilevel"/>
    <w:tmpl w:val="D0A01716"/>
    <w:lvl w:ilvl="0" w:tplc="37F0454E">
      <w:start w:val="1"/>
      <w:numFmt w:val="lowerRoman"/>
      <w:lvlText w:val="(%1)"/>
      <w:lvlJc w:val="left"/>
      <w:pPr>
        <w:ind w:left="1440" w:hanging="360"/>
      </w:pPr>
      <w:rPr>
        <w:rFonts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2">
    <w:nsid w:val="5B336C9C"/>
    <w:multiLevelType w:val="hybridMultilevel"/>
    <w:tmpl w:val="E50826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61A53A2B"/>
    <w:multiLevelType w:val="hybridMultilevel"/>
    <w:tmpl w:val="7330917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65E37DAF"/>
    <w:multiLevelType w:val="hybridMultilevel"/>
    <w:tmpl w:val="533CBA78"/>
    <w:lvl w:ilvl="0" w:tplc="E4A04FDE">
      <w:start w:val="1"/>
      <w:numFmt w:val="lowerRoman"/>
      <w:lvlText w:val="(%1)"/>
      <w:lvlJc w:val="left"/>
      <w:pPr>
        <w:ind w:left="1208" w:hanging="720"/>
      </w:pPr>
      <w:rPr>
        <w:rFonts w:hint="default"/>
      </w:rPr>
    </w:lvl>
    <w:lvl w:ilvl="1" w:tplc="04090019">
      <w:start w:val="1"/>
      <w:numFmt w:val="lowerLetter"/>
      <w:lvlText w:val="%2."/>
      <w:lvlJc w:val="left"/>
      <w:pPr>
        <w:ind w:left="1568" w:hanging="360"/>
      </w:pPr>
    </w:lvl>
    <w:lvl w:ilvl="2" w:tplc="0409001B" w:tentative="1">
      <w:start w:val="1"/>
      <w:numFmt w:val="lowerRoman"/>
      <w:lvlText w:val="%3."/>
      <w:lvlJc w:val="right"/>
      <w:pPr>
        <w:ind w:left="2288" w:hanging="180"/>
      </w:pPr>
    </w:lvl>
    <w:lvl w:ilvl="3" w:tplc="0409000F" w:tentative="1">
      <w:start w:val="1"/>
      <w:numFmt w:val="decimal"/>
      <w:lvlText w:val="%4."/>
      <w:lvlJc w:val="left"/>
      <w:pPr>
        <w:ind w:left="3008" w:hanging="360"/>
      </w:pPr>
    </w:lvl>
    <w:lvl w:ilvl="4" w:tplc="04090019" w:tentative="1">
      <w:start w:val="1"/>
      <w:numFmt w:val="lowerLetter"/>
      <w:lvlText w:val="%5."/>
      <w:lvlJc w:val="left"/>
      <w:pPr>
        <w:ind w:left="3728" w:hanging="360"/>
      </w:pPr>
    </w:lvl>
    <w:lvl w:ilvl="5" w:tplc="0409001B" w:tentative="1">
      <w:start w:val="1"/>
      <w:numFmt w:val="lowerRoman"/>
      <w:lvlText w:val="%6."/>
      <w:lvlJc w:val="right"/>
      <w:pPr>
        <w:ind w:left="4448" w:hanging="180"/>
      </w:pPr>
    </w:lvl>
    <w:lvl w:ilvl="6" w:tplc="0409000F" w:tentative="1">
      <w:start w:val="1"/>
      <w:numFmt w:val="decimal"/>
      <w:lvlText w:val="%7."/>
      <w:lvlJc w:val="left"/>
      <w:pPr>
        <w:ind w:left="5168" w:hanging="360"/>
      </w:pPr>
    </w:lvl>
    <w:lvl w:ilvl="7" w:tplc="04090019" w:tentative="1">
      <w:start w:val="1"/>
      <w:numFmt w:val="lowerLetter"/>
      <w:lvlText w:val="%8."/>
      <w:lvlJc w:val="left"/>
      <w:pPr>
        <w:ind w:left="5888" w:hanging="360"/>
      </w:pPr>
    </w:lvl>
    <w:lvl w:ilvl="8" w:tplc="0409001B" w:tentative="1">
      <w:start w:val="1"/>
      <w:numFmt w:val="lowerRoman"/>
      <w:lvlText w:val="%9."/>
      <w:lvlJc w:val="right"/>
      <w:pPr>
        <w:ind w:left="6608" w:hanging="180"/>
      </w:pPr>
    </w:lvl>
  </w:abstractNum>
  <w:abstractNum w:abstractNumId="65">
    <w:nsid w:val="681F2C9F"/>
    <w:multiLevelType w:val="hybridMultilevel"/>
    <w:tmpl w:val="2F9257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684F70EE"/>
    <w:multiLevelType w:val="hybridMultilevel"/>
    <w:tmpl w:val="6B1206B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nsid w:val="6BCC4AC4"/>
    <w:multiLevelType w:val="hybridMultilevel"/>
    <w:tmpl w:val="EBA6004C"/>
    <w:lvl w:ilvl="0" w:tplc="22903EAA">
      <w:start w:val="1"/>
      <w:numFmt w:val="decimal"/>
      <w:lvlText w:val="%1."/>
      <w:lvlJc w:val="left"/>
      <w:pPr>
        <w:tabs>
          <w:tab w:val="num" w:pos="720"/>
        </w:tabs>
        <w:ind w:left="720" w:hanging="360"/>
      </w:pPr>
    </w:lvl>
    <w:lvl w:ilvl="1" w:tplc="04090001">
      <w:start w:val="1"/>
      <w:numFmt w:val="bullet"/>
      <w:lvlText w:val=""/>
      <w:lvlJc w:val="left"/>
      <w:pPr>
        <w:ind w:left="870" w:hanging="360"/>
      </w:pPr>
      <w:rPr>
        <w:rFonts w:ascii="Symbol" w:hAnsi="Symbol" w:hint="default"/>
      </w:rPr>
    </w:lvl>
    <w:lvl w:ilvl="2" w:tplc="A30C7E18">
      <w:start w:val="983"/>
      <w:numFmt w:val="bullet"/>
      <w:lvlText w:val="•"/>
      <w:lvlJc w:val="left"/>
      <w:pPr>
        <w:tabs>
          <w:tab w:val="num" w:pos="2160"/>
        </w:tabs>
        <w:ind w:left="2160" w:hanging="360"/>
      </w:pPr>
      <w:rPr>
        <w:rFonts w:ascii="Arial" w:hAnsi="Arial" w:hint="default"/>
      </w:rPr>
    </w:lvl>
    <w:lvl w:ilvl="3" w:tplc="0706D176">
      <w:start w:val="1"/>
      <w:numFmt w:val="decimal"/>
      <w:lvlText w:val="%4."/>
      <w:lvlJc w:val="left"/>
      <w:pPr>
        <w:tabs>
          <w:tab w:val="num" w:pos="2880"/>
        </w:tabs>
        <w:ind w:left="2880" w:hanging="360"/>
      </w:pPr>
    </w:lvl>
    <w:lvl w:ilvl="4" w:tplc="49FC9C82" w:tentative="1">
      <w:start w:val="1"/>
      <w:numFmt w:val="decimal"/>
      <w:lvlText w:val="%5."/>
      <w:lvlJc w:val="left"/>
      <w:pPr>
        <w:tabs>
          <w:tab w:val="num" w:pos="3600"/>
        </w:tabs>
        <w:ind w:left="3600" w:hanging="360"/>
      </w:pPr>
    </w:lvl>
    <w:lvl w:ilvl="5" w:tplc="CCA44404" w:tentative="1">
      <w:start w:val="1"/>
      <w:numFmt w:val="decimal"/>
      <w:lvlText w:val="%6."/>
      <w:lvlJc w:val="left"/>
      <w:pPr>
        <w:tabs>
          <w:tab w:val="num" w:pos="4320"/>
        </w:tabs>
        <w:ind w:left="4320" w:hanging="360"/>
      </w:pPr>
    </w:lvl>
    <w:lvl w:ilvl="6" w:tplc="AAA28900" w:tentative="1">
      <w:start w:val="1"/>
      <w:numFmt w:val="decimal"/>
      <w:lvlText w:val="%7."/>
      <w:lvlJc w:val="left"/>
      <w:pPr>
        <w:tabs>
          <w:tab w:val="num" w:pos="5040"/>
        </w:tabs>
        <w:ind w:left="5040" w:hanging="360"/>
      </w:pPr>
    </w:lvl>
    <w:lvl w:ilvl="7" w:tplc="5C6AC322" w:tentative="1">
      <w:start w:val="1"/>
      <w:numFmt w:val="decimal"/>
      <w:lvlText w:val="%8."/>
      <w:lvlJc w:val="left"/>
      <w:pPr>
        <w:tabs>
          <w:tab w:val="num" w:pos="5760"/>
        </w:tabs>
        <w:ind w:left="5760" w:hanging="360"/>
      </w:pPr>
    </w:lvl>
    <w:lvl w:ilvl="8" w:tplc="A886D144" w:tentative="1">
      <w:start w:val="1"/>
      <w:numFmt w:val="decimal"/>
      <w:lvlText w:val="%9."/>
      <w:lvlJc w:val="left"/>
      <w:pPr>
        <w:tabs>
          <w:tab w:val="num" w:pos="6480"/>
        </w:tabs>
        <w:ind w:left="6480" w:hanging="360"/>
      </w:pPr>
    </w:lvl>
  </w:abstractNum>
  <w:abstractNum w:abstractNumId="68">
    <w:nsid w:val="70413B40"/>
    <w:multiLevelType w:val="hybridMultilevel"/>
    <w:tmpl w:val="900ECDAE"/>
    <w:lvl w:ilvl="0" w:tplc="04090001">
      <w:start w:val="1"/>
      <w:numFmt w:val="bullet"/>
      <w:lvlText w:val=""/>
      <w:lvlJc w:val="left"/>
      <w:pPr>
        <w:ind w:left="1307" w:hanging="360"/>
      </w:pPr>
      <w:rPr>
        <w:rFonts w:ascii="Symbol" w:hAnsi="Symbol" w:hint="default"/>
      </w:rPr>
    </w:lvl>
    <w:lvl w:ilvl="1" w:tplc="04090003" w:tentative="1">
      <w:start w:val="1"/>
      <w:numFmt w:val="bullet"/>
      <w:lvlText w:val="o"/>
      <w:lvlJc w:val="left"/>
      <w:pPr>
        <w:ind w:left="2027" w:hanging="360"/>
      </w:pPr>
      <w:rPr>
        <w:rFonts w:ascii="Courier New" w:hAnsi="Courier New" w:hint="default"/>
      </w:rPr>
    </w:lvl>
    <w:lvl w:ilvl="2" w:tplc="04090005" w:tentative="1">
      <w:start w:val="1"/>
      <w:numFmt w:val="bullet"/>
      <w:lvlText w:val=""/>
      <w:lvlJc w:val="left"/>
      <w:pPr>
        <w:ind w:left="2747" w:hanging="360"/>
      </w:pPr>
      <w:rPr>
        <w:rFonts w:ascii="Wingdings" w:hAnsi="Wingdings" w:hint="default"/>
      </w:rPr>
    </w:lvl>
    <w:lvl w:ilvl="3" w:tplc="04090001" w:tentative="1">
      <w:start w:val="1"/>
      <w:numFmt w:val="bullet"/>
      <w:lvlText w:val=""/>
      <w:lvlJc w:val="left"/>
      <w:pPr>
        <w:ind w:left="3467" w:hanging="360"/>
      </w:pPr>
      <w:rPr>
        <w:rFonts w:ascii="Symbol" w:hAnsi="Symbol" w:hint="default"/>
      </w:rPr>
    </w:lvl>
    <w:lvl w:ilvl="4" w:tplc="04090003" w:tentative="1">
      <w:start w:val="1"/>
      <w:numFmt w:val="bullet"/>
      <w:lvlText w:val="o"/>
      <w:lvlJc w:val="left"/>
      <w:pPr>
        <w:ind w:left="4187" w:hanging="360"/>
      </w:pPr>
      <w:rPr>
        <w:rFonts w:ascii="Courier New" w:hAnsi="Courier New" w:hint="default"/>
      </w:rPr>
    </w:lvl>
    <w:lvl w:ilvl="5" w:tplc="04090005" w:tentative="1">
      <w:start w:val="1"/>
      <w:numFmt w:val="bullet"/>
      <w:lvlText w:val=""/>
      <w:lvlJc w:val="left"/>
      <w:pPr>
        <w:ind w:left="4907" w:hanging="360"/>
      </w:pPr>
      <w:rPr>
        <w:rFonts w:ascii="Wingdings" w:hAnsi="Wingdings" w:hint="default"/>
      </w:rPr>
    </w:lvl>
    <w:lvl w:ilvl="6" w:tplc="04090001" w:tentative="1">
      <w:start w:val="1"/>
      <w:numFmt w:val="bullet"/>
      <w:lvlText w:val=""/>
      <w:lvlJc w:val="left"/>
      <w:pPr>
        <w:ind w:left="5627" w:hanging="360"/>
      </w:pPr>
      <w:rPr>
        <w:rFonts w:ascii="Symbol" w:hAnsi="Symbol" w:hint="default"/>
      </w:rPr>
    </w:lvl>
    <w:lvl w:ilvl="7" w:tplc="04090003" w:tentative="1">
      <w:start w:val="1"/>
      <w:numFmt w:val="bullet"/>
      <w:lvlText w:val="o"/>
      <w:lvlJc w:val="left"/>
      <w:pPr>
        <w:ind w:left="6347" w:hanging="360"/>
      </w:pPr>
      <w:rPr>
        <w:rFonts w:ascii="Courier New" w:hAnsi="Courier New" w:hint="default"/>
      </w:rPr>
    </w:lvl>
    <w:lvl w:ilvl="8" w:tplc="04090005" w:tentative="1">
      <w:start w:val="1"/>
      <w:numFmt w:val="bullet"/>
      <w:lvlText w:val=""/>
      <w:lvlJc w:val="left"/>
      <w:pPr>
        <w:ind w:left="7067" w:hanging="360"/>
      </w:pPr>
      <w:rPr>
        <w:rFonts w:ascii="Wingdings" w:hAnsi="Wingdings" w:hint="default"/>
      </w:rPr>
    </w:lvl>
  </w:abstractNum>
  <w:abstractNum w:abstractNumId="69">
    <w:nsid w:val="752E3B36"/>
    <w:multiLevelType w:val="hybridMultilevel"/>
    <w:tmpl w:val="B224C5E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7B140B4A"/>
    <w:multiLevelType w:val="hybridMultilevel"/>
    <w:tmpl w:val="B41AF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C1D2DD9"/>
    <w:multiLevelType w:val="hybridMultilevel"/>
    <w:tmpl w:val="AB88F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CE10E12"/>
    <w:multiLevelType w:val="hybridMultilevel"/>
    <w:tmpl w:val="CFC6693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E542519"/>
    <w:multiLevelType w:val="hybridMultilevel"/>
    <w:tmpl w:val="DCEA93B2"/>
    <w:lvl w:ilvl="0" w:tplc="04090001">
      <w:start w:val="1"/>
      <w:numFmt w:val="bullet"/>
      <w:lvlText w:val=""/>
      <w:lvlJc w:val="left"/>
      <w:pPr>
        <w:ind w:left="870" w:hanging="360"/>
      </w:pPr>
      <w:rPr>
        <w:rFonts w:ascii="Symbol" w:hAnsi="Symbol" w:hint="default"/>
      </w:rPr>
    </w:lvl>
    <w:lvl w:ilvl="1" w:tplc="04090003">
      <w:start w:val="1"/>
      <w:numFmt w:val="bullet"/>
      <w:lvlText w:val="o"/>
      <w:lvlJc w:val="left"/>
      <w:pPr>
        <w:ind w:left="1590" w:hanging="360"/>
      </w:pPr>
      <w:rPr>
        <w:rFonts w:ascii="Courier New" w:hAnsi="Courier New" w:cs="Courier New" w:hint="default"/>
      </w:rPr>
    </w:lvl>
    <w:lvl w:ilvl="2" w:tplc="04090005">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74">
    <w:nsid w:val="7EAC5F69"/>
    <w:multiLevelType w:val="hybridMultilevel"/>
    <w:tmpl w:val="D04C96F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5">
    <w:nsid w:val="7EC351D3"/>
    <w:multiLevelType w:val="hybridMultilevel"/>
    <w:tmpl w:val="B1F20FE2"/>
    <w:lvl w:ilvl="0" w:tplc="0409000F">
      <w:start w:val="1"/>
      <w:numFmt w:val="decimal"/>
      <w:lvlText w:val="%1."/>
      <w:lvlJc w:val="left"/>
      <w:pPr>
        <w:ind w:left="1287" w:hanging="360"/>
      </w:pPr>
      <w:rPr>
        <w:rFonts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6">
    <w:nsid w:val="7FAA7D06"/>
    <w:multiLevelType w:val="hybridMultilevel"/>
    <w:tmpl w:val="4CE07F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58"/>
  </w:num>
  <w:num w:numId="3">
    <w:abstractNumId w:val="38"/>
  </w:num>
  <w:num w:numId="4">
    <w:abstractNumId w:val="68"/>
  </w:num>
  <w:num w:numId="5">
    <w:abstractNumId w:val="73"/>
  </w:num>
  <w:num w:numId="6">
    <w:abstractNumId w:val="41"/>
  </w:num>
  <w:num w:numId="7">
    <w:abstractNumId w:val="21"/>
  </w:num>
  <w:num w:numId="8">
    <w:abstractNumId w:val="69"/>
  </w:num>
  <w:num w:numId="9">
    <w:abstractNumId w:val="43"/>
  </w:num>
  <w:num w:numId="10">
    <w:abstractNumId w:val="27"/>
  </w:num>
  <w:num w:numId="11">
    <w:abstractNumId w:val="66"/>
  </w:num>
  <w:num w:numId="12">
    <w:abstractNumId w:val="10"/>
  </w:num>
  <w:num w:numId="13">
    <w:abstractNumId w:val="12"/>
  </w:num>
  <w:num w:numId="14">
    <w:abstractNumId w:val="71"/>
  </w:num>
  <w:num w:numId="15">
    <w:abstractNumId w:val="0"/>
  </w:num>
  <w:num w:numId="16">
    <w:abstractNumId w:val="74"/>
  </w:num>
  <w:num w:numId="17">
    <w:abstractNumId w:val="28"/>
  </w:num>
  <w:num w:numId="18">
    <w:abstractNumId w:val="9"/>
  </w:num>
  <w:num w:numId="19">
    <w:abstractNumId w:val="57"/>
  </w:num>
  <w:num w:numId="20">
    <w:abstractNumId w:val="64"/>
  </w:num>
  <w:num w:numId="21">
    <w:abstractNumId w:val="30"/>
  </w:num>
  <w:num w:numId="22">
    <w:abstractNumId w:val="14"/>
  </w:num>
  <w:num w:numId="23">
    <w:abstractNumId w:val="24"/>
  </w:num>
  <w:num w:numId="24">
    <w:abstractNumId w:val="46"/>
  </w:num>
  <w:num w:numId="25">
    <w:abstractNumId w:val="7"/>
  </w:num>
  <w:num w:numId="26">
    <w:abstractNumId w:val="6"/>
  </w:num>
  <w:num w:numId="27">
    <w:abstractNumId w:val="40"/>
  </w:num>
  <w:num w:numId="28">
    <w:abstractNumId w:val="19"/>
  </w:num>
  <w:num w:numId="29">
    <w:abstractNumId w:val="4"/>
  </w:num>
  <w:num w:numId="30">
    <w:abstractNumId w:val="44"/>
  </w:num>
  <w:num w:numId="31">
    <w:abstractNumId w:val="59"/>
  </w:num>
  <w:num w:numId="32">
    <w:abstractNumId w:val="50"/>
  </w:num>
  <w:num w:numId="33">
    <w:abstractNumId w:val="56"/>
  </w:num>
  <w:num w:numId="34">
    <w:abstractNumId w:val="1"/>
  </w:num>
  <w:num w:numId="35">
    <w:abstractNumId w:val="23"/>
  </w:num>
  <w:num w:numId="36">
    <w:abstractNumId w:val="55"/>
  </w:num>
  <w:num w:numId="37">
    <w:abstractNumId w:val="61"/>
  </w:num>
  <w:num w:numId="38">
    <w:abstractNumId w:val="2"/>
  </w:num>
  <w:num w:numId="39">
    <w:abstractNumId w:val="22"/>
  </w:num>
  <w:num w:numId="40">
    <w:abstractNumId w:val="51"/>
  </w:num>
  <w:num w:numId="41">
    <w:abstractNumId w:val="32"/>
  </w:num>
  <w:num w:numId="42">
    <w:abstractNumId w:val="36"/>
  </w:num>
  <w:num w:numId="43">
    <w:abstractNumId w:val="60"/>
  </w:num>
  <w:num w:numId="44">
    <w:abstractNumId w:val="34"/>
  </w:num>
  <w:num w:numId="45">
    <w:abstractNumId w:val="39"/>
  </w:num>
  <w:num w:numId="46">
    <w:abstractNumId w:val="3"/>
  </w:num>
  <w:num w:numId="47">
    <w:abstractNumId w:val="37"/>
  </w:num>
  <w:num w:numId="48">
    <w:abstractNumId w:val="54"/>
  </w:num>
  <w:num w:numId="49">
    <w:abstractNumId w:val="16"/>
  </w:num>
  <w:num w:numId="50">
    <w:abstractNumId w:val="15"/>
  </w:num>
  <w:num w:numId="51">
    <w:abstractNumId w:val="48"/>
  </w:num>
  <w:num w:numId="52">
    <w:abstractNumId w:val="29"/>
  </w:num>
  <w:num w:numId="53">
    <w:abstractNumId w:val="5"/>
  </w:num>
  <w:num w:numId="54">
    <w:abstractNumId w:val="13"/>
  </w:num>
  <w:num w:numId="55">
    <w:abstractNumId w:val="47"/>
  </w:num>
  <w:num w:numId="56">
    <w:abstractNumId w:val="67"/>
  </w:num>
  <w:num w:numId="57">
    <w:abstractNumId w:val="25"/>
  </w:num>
  <w:num w:numId="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num>
  <w:num w:numId="60">
    <w:abstractNumId w:val="53"/>
  </w:num>
  <w:num w:numId="61">
    <w:abstractNumId w:val="35"/>
  </w:num>
  <w:num w:numId="62">
    <w:abstractNumId w:val="52"/>
  </w:num>
  <w:num w:numId="63">
    <w:abstractNumId w:val="49"/>
  </w:num>
  <w:num w:numId="64">
    <w:abstractNumId w:val="17"/>
  </w:num>
  <w:num w:numId="65">
    <w:abstractNumId w:val="76"/>
  </w:num>
  <w:num w:numId="66">
    <w:abstractNumId w:val="65"/>
  </w:num>
  <w:num w:numId="67">
    <w:abstractNumId w:val="26"/>
  </w:num>
  <w:num w:numId="68">
    <w:abstractNumId w:val="18"/>
  </w:num>
  <w:num w:numId="69">
    <w:abstractNumId w:val="62"/>
  </w:num>
  <w:num w:numId="70">
    <w:abstractNumId w:val="8"/>
  </w:num>
  <w:num w:numId="71">
    <w:abstractNumId w:val="31"/>
  </w:num>
  <w:num w:numId="72">
    <w:abstractNumId w:val="42"/>
  </w:num>
  <w:num w:numId="73">
    <w:abstractNumId w:val="70"/>
  </w:num>
  <w:num w:numId="74">
    <w:abstractNumId w:val="20"/>
  </w:num>
  <w:num w:numId="75">
    <w:abstractNumId w:val="63"/>
  </w:num>
  <w:num w:numId="76">
    <w:abstractNumId w:val="5"/>
  </w:num>
  <w:num w:numId="77">
    <w:abstractNumId w:val="72"/>
  </w:num>
  <w:num w:numId="78">
    <w:abstractNumId w:val="75"/>
  </w:num>
  <w:num w:numId="79">
    <w:abstractNumId w:val="33"/>
  </w:num>
  <w:numIdMacAtCleanup w:val="7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got Rubin">
    <w15:presenceInfo w15:providerId="None" w15:userId="Margot Rub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865"/>
    <w:rsid w:val="00000302"/>
    <w:rsid w:val="00001F4E"/>
    <w:rsid w:val="00001FCF"/>
    <w:rsid w:val="000020CB"/>
    <w:rsid w:val="00003331"/>
    <w:rsid w:val="000056C2"/>
    <w:rsid w:val="000075A8"/>
    <w:rsid w:val="00011164"/>
    <w:rsid w:val="00014D61"/>
    <w:rsid w:val="000155D2"/>
    <w:rsid w:val="00021A78"/>
    <w:rsid w:val="00021BE2"/>
    <w:rsid w:val="000243BB"/>
    <w:rsid w:val="000344E2"/>
    <w:rsid w:val="00035902"/>
    <w:rsid w:val="0003615B"/>
    <w:rsid w:val="000374B2"/>
    <w:rsid w:val="00040651"/>
    <w:rsid w:val="00040AB7"/>
    <w:rsid w:val="00040BA3"/>
    <w:rsid w:val="0004536C"/>
    <w:rsid w:val="00046001"/>
    <w:rsid w:val="00050BA8"/>
    <w:rsid w:val="0005267E"/>
    <w:rsid w:val="00052696"/>
    <w:rsid w:val="00052722"/>
    <w:rsid w:val="00054A0E"/>
    <w:rsid w:val="00057891"/>
    <w:rsid w:val="00057B9E"/>
    <w:rsid w:val="00061509"/>
    <w:rsid w:val="00061D5C"/>
    <w:rsid w:val="00062591"/>
    <w:rsid w:val="000625F4"/>
    <w:rsid w:val="00064FF6"/>
    <w:rsid w:val="000652A6"/>
    <w:rsid w:val="00066892"/>
    <w:rsid w:val="0006731B"/>
    <w:rsid w:val="0007025C"/>
    <w:rsid w:val="0007325C"/>
    <w:rsid w:val="000732BD"/>
    <w:rsid w:val="0008061D"/>
    <w:rsid w:val="0008088A"/>
    <w:rsid w:val="00083319"/>
    <w:rsid w:val="00083E8C"/>
    <w:rsid w:val="00084D93"/>
    <w:rsid w:val="00084FCE"/>
    <w:rsid w:val="000952EA"/>
    <w:rsid w:val="000963B5"/>
    <w:rsid w:val="000A2432"/>
    <w:rsid w:val="000A3935"/>
    <w:rsid w:val="000A5C3F"/>
    <w:rsid w:val="000A5E50"/>
    <w:rsid w:val="000A7707"/>
    <w:rsid w:val="000B0456"/>
    <w:rsid w:val="000B081C"/>
    <w:rsid w:val="000B1613"/>
    <w:rsid w:val="000B16AF"/>
    <w:rsid w:val="000B44D8"/>
    <w:rsid w:val="000B7A21"/>
    <w:rsid w:val="000C480D"/>
    <w:rsid w:val="000C5F13"/>
    <w:rsid w:val="000C610A"/>
    <w:rsid w:val="000C640A"/>
    <w:rsid w:val="000D0B27"/>
    <w:rsid w:val="000D3EF5"/>
    <w:rsid w:val="000D4188"/>
    <w:rsid w:val="000D49CA"/>
    <w:rsid w:val="000D6ACD"/>
    <w:rsid w:val="000D76B2"/>
    <w:rsid w:val="000E1474"/>
    <w:rsid w:val="000E1926"/>
    <w:rsid w:val="000E207C"/>
    <w:rsid w:val="000E31C5"/>
    <w:rsid w:val="000E343E"/>
    <w:rsid w:val="000E53F6"/>
    <w:rsid w:val="000F09B3"/>
    <w:rsid w:val="000F1605"/>
    <w:rsid w:val="000F28EF"/>
    <w:rsid w:val="000F2975"/>
    <w:rsid w:val="000F38D3"/>
    <w:rsid w:val="000F42B7"/>
    <w:rsid w:val="000F4B01"/>
    <w:rsid w:val="000F69A3"/>
    <w:rsid w:val="000F6CD0"/>
    <w:rsid w:val="000F6F85"/>
    <w:rsid w:val="00100CAF"/>
    <w:rsid w:val="00100CFD"/>
    <w:rsid w:val="001033E7"/>
    <w:rsid w:val="00103A8F"/>
    <w:rsid w:val="0010545B"/>
    <w:rsid w:val="0010607B"/>
    <w:rsid w:val="0010608C"/>
    <w:rsid w:val="00107423"/>
    <w:rsid w:val="0011229C"/>
    <w:rsid w:val="001123A2"/>
    <w:rsid w:val="001160A7"/>
    <w:rsid w:val="0011625C"/>
    <w:rsid w:val="00126636"/>
    <w:rsid w:val="00126E91"/>
    <w:rsid w:val="0012796D"/>
    <w:rsid w:val="0013046C"/>
    <w:rsid w:val="00131AE7"/>
    <w:rsid w:val="0013506E"/>
    <w:rsid w:val="001368C4"/>
    <w:rsid w:val="00136C37"/>
    <w:rsid w:val="001379A1"/>
    <w:rsid w:val="00137D77"/>
    <w:rsid w:val="0014189A"/>
    <w:rsid w:val="00141EE5"/>
    <w:rsid w:val="00141F09"/>
    <w:rsid w:val="00142083"/>
    <w:rsid w:val="0014253B"/>
    <w:rsid w:val="00142C60"/>
    <w:rsid w:val="00143EBC"/>
    <w:rsid w:val="0014429F"/>
    <w:rsid w:val="0014517D"/>
    <w:rsid w:val="001526B3"/>
    <w:rsid w:val="001559B9"/>
    <w:rsid w:val="00156C79"/>
    <w:rsid w:val="001607A1"/>
    <w:rsid w:val="001619C6"/>
    <w:rsid w:val="00161C43"/>
    <w:rsid w:val="001621BE"/>
    <w:rsid w:val="001667E9"/>
    <w:rsid w:val="00166AC7"/>
    <w:rsid w:val="00167539"/>
    <w:rsid w:val="00170819"/>
    <w:rsid w:val="001757FE"/>
    <w:rsid w:val="00176337"/>
    <w:rsid w:val="00176C7A"/>
    <w:rsid w:val="00184D73"/>
    <w:rsid w:val="00186475"/>
    <w:rsid w:val="001869B6"/>
    <w:rsid w:val="001902D5"/>
    <w:rsid w:val="00190708"/>
    <w:rsid w:val="001909C7"/>
    <w:rsid w:val="00191822"/>
    <w:rsid w:val="00191DBD"/>
    <w:rsid w:val="00192FB4"/>
    <w:rsid w:val="00194AD9"/>
    <w:rsid w:val="00194DC2"/>
    <w:rsid w:val="00195F84"/>
    <w:rsid w:val="00196B83"/>
    <w:rsid w:val="00196BAA"/>
    <w:rsid w:val="001A3846"/>
    <w:rsid w:val="001A5F90"/>
    <w:rsid w:val="001A73E5"/>
    <w:rsid w:val="001B1E91"/>
    <w:rsid w:val="001B4999"/>
    <w:rsid w:val="001B68AD"/>
    <w:rsid w:val="001B6D28"/>
    <w:rsid w:val="001B7FB6"/>
    <w:rsid w:val="001C4213"/>
    <w:rsid w:val="001C5146"/>
    <w:rsid w:val="001D178D"/>
    <w:rsid w:val="001D2788"/>
    <w:rsid w:val="001D2B72"/>
    <w:rsid w:val="001D590D"/>
    <w:rsid w:val="001D5A94"/>
    <w:rsid w:val="001D6DC0"/>
    <w:rsid w:val="001E4391"/>
    <w:rsid w:val="001E5944"/>
    <w:rsid w:val="001E688A"/>
    <w:rsid w:val="001E771E"/>
    <w:rsid w:val="001E7EFE"/>
    <w:rsid w:val="001F0B18"/>
    <w:rsid w:val="001F2608"/>
    <w:rsid w:val="001F294C"/>
    <w:rsid w:val="001F4739"/>
    <w:rsid w:val="001F48DD"/>
    <w:rsid w:val="001F6C55"/>
    <w:rsid w:val="001F721D"/>
    <w:rsid w:val="00210E1D"/>
    <w:rsid w:val="002134FB"/>
    <w:rsid w:val="00216BD3"/>
    <w:rsid w:val="00217568"/>
    <w:rsid w:val="002179A3"/>
    <w:rsid w:val="00220C7D"/>
    <w:rsid w:val="00222541"/>
    <w:rsid w:val="00230FE7"/>
    <w:rsid w:val="00233976"/>
    <w:rsid w:val="002339EC"/>
    <w:rsid w:val="00235012"/>
    <w:rsid w:val="002401FF"/>
    <w:rsid w:val="00241D3F"/>
    <w:rsid w:val="00241EAC"/>
    <w:rsid w:val="00242179"/>
    <w:rsid w:val="00242CE6"/>
    <w:rsid w:val="00243E62"/>
    <w:rsid w:val="00245E1B"/>
    <w:rsid w:val="00250008"/>
    <w:rsid w:val="002508F6"/>
    <w:rsid w:val="00250EA9"/>
    <w:rsid w:val="00251378"/>
    <w:rsid w:val="00253AA9"/>
    <w:rsid w:val="00253D7A"/>
    <w:rsid w:val="00260F40"/>
    <w:rsid w:val="00262948"/>
    <w:rsid w:val="00263297"/>
    <w:rsid w:val="002643D0"/>
    <w:rsid w:val="00271021"/>
    <w:rsid w:val="0027220D"/>
    <w:rsid w:val="00273043"/>
    <w:rsid w:val="002730E5"/>
    <w:rsid w:val="00273CF7"/>
    <w:rsid w:val="00273D5E"/>
    <w:rsid w:val="00277244"/>
    <w:rsid w:val="002805E4"/>
    <w:rsid w:val="00281B73"/>
    <w:rsid w:val="00284385"/>
    <w:rsid w:val="00284A24"/>
    <w:rsid w:val="002863C8"/>
    <w:rsid w:val="00286622"/>
    <w:rsid w:val="00291B06"/>
    <w:rsid w:val="002926A9"/>
    <w:rsid w:val="002931D6"/>
    <w:rsid w:val="0029467A"/>
    <w:rsid w:val="002948F8"/>
    <w:rsid w:val="002A05AF"/>
    <w:rsid w:val="002A0C94"/>
    <w:rsid w:val="002A220C"/>
    <w:rsid w:val="002A4CAD"/>
    <w:rsid w:val="002A5085"/>
    <w:rsid w:val="002A673F"/>
    <w:rsid w:val="002B1E1E"/>
    <w:rsid w:val="002B30E0"/>
    <w:rsid w:val="002B3C10"/>
    <w:rsid w:val="002B45DA"/>
    <w:rsid w:val="002B51E3"/>
    <w:rsid w:val="002B5DF5"/>
    <w:rsid w:val="002B6055"/>
    <w:rsid w:val="002B62B0"/>
    <w:rsid w:val="002B6C4C"/>
    <w:rsid w:val="002B7221"/>
    <w:rsid w:val="002C07C7"/>
    <w:rsid w:val="002C20B8"/>
    <w:rsid w:val="002C464F"/>
    <w:rsid w:val="002C4865"/>
    <w:rsid w:val="002C51D2"/>
    <w:rsid w:val="002C5995"/>
    <w:rsid w:val="002C75F1"/>
    <w:rsid w:val="002D0302"/>
    <w:rsid w:val="002D1589"/>
    <w:rsid w:val="002D1AE4"/>
    <w:rsid w:val="002D2FCC"/>
    <w:rsid w:val="002D3192"/>
    <w:rsid w:val="002D548D"/>
    <w:rsid w:val="002E0082"/>
    <w:rsid w:val="002E51F3"/>
    <w:rsid w:val="002E5753"/>
    <w:rsid w:val="002E6824"/>
    <w:rsid w:val="002E7F1E"/>
    <w:rsid w:val="002F3D90"/>
    <w:rsid w:val="002F509F"/>
    <w:rsid w:val="002F63A8"/>
    <w:rsid w:val="00301C02"/>
    <w:rsid w:val="00302E3F"/>
    <w:rsid w:val="0030385C"/>
    <w:rsid w:val="00307D7B"/>
    <w:rsid w:val="003108B0"/>
    <w:rsid w:val="003109EC"/>
    <w:rsid w:val="003117F8"/>
    <w:rsid w:val="0031267D"/>
    <w:rsid w:val="0031311A"/>
    <w:rsid w:val="003133E5"/>
    <w:rsid w:val="0031561D"/>
    <w:rsid w:val="00317923"/>
    <w:rsid w:val="00320032"/>
    <w:rsid w:val="00320489"/>
    <w:rsid w:val="00321E3F"/>
    <w:rsid w:val="0032263F"/>
    <w:rsid w:val="00322A0F"/>
    <w:rsid w:val="00326B01"/>
    <w:rsid w:val="00330A52"/>
    <w:rsid w:val="00331596"/>
    <w:rsid w:val="003320C1"/>
    <w:rsid w:val="00332789"/>
    <w:rsid w:val="00334D3E"/>
    <w:rsid w:val="00335289"/>
    <w:rsid w:val="00335E49"/>
    <w:rsid w:val="00337264"/>
    <w:rsid w:val="0033754E"/>
    <w:rsid w:val="00337D31"/>
    <w:rsid w:val="003401CC"/>
    <w:rsid w:val="003405AD"/>
    <w:rsid w:val="00343DBB"/>
    <w:rsid w:val="00346507"/>
    <w:rsid w:val="00346D39"/>
    <w:rsid w:val="003526D2"/>
    <w:rsid w:val="00355BA7"/>
    <w:rsid w:val="00357D07"/>
    <w:rsid w:val="00360F63"/>
    <w:rsid w:val="00364C0C"/>
    <w:rsid w:val="003668CF"/>
    <w:rsid w:val="003675FA"/>
    <w:rsid w:val="00370484"/>
    <w:rsid w:val="00372438"/>
    <w:rsid w:val="00372B1F"/>
    <w:rsid w:val="00374A93"/>
    <w:rsid w:val="00381EB7"/>
    <w:rsid w:val="003821AE"/>
    <w:rsid w:val="00382483"/>
    <w:rsid w:val="00384B44"/>
    <w:rsid w:val="00387481"/>
    <w:rsid w:val="00391BAE"/>
    <w:rsid w:val="00393459"/>
    <w:rsid w:val="0039384F"/>
    <w:rsid w:val="00393FDE"/>
    <w:rsid w:val="00396A5F"/>
    <w:rsid w:val="003A0CCC"/>
    <w:rsid w:val="003A1B4A"/>
    <w:rsid w:val="003A320F"/>
    <w:rsid w:val="003A3EAE"/>
    <w:rsid w:val="003A5C78"/>
    <w:rsid w:val="003A6161"/>
    <w:rsid w:val="003A65E2"/>
    <w:rsid w:val="003A79D7"/>
    <w:rsid w:val="003B0578"/>
    <w:rsid w:val="003B1281"/>
    <w:rsid w:val="003B298A"/>
    <w:rsid w:val="003B31F7"/>
    <w:rsid w:val="003B5B58"/>
    <w:rsid w:val="003B5BEF"/>
    <w:rsid w:val="003B7D01"/>
    <w:rsid w:val="003B7FF0"/>
    <w:rsid w:val="003C3D94"/>
    <w:rsid w:val="003C49AD"/>
    <w:rsid w:val="003C6937"/>
    <w:rsid w:val="003C6F9F"/>
    <w:rsid w:val="003C79E6"/>
    <w:rsid w:val="003C7C18"/>
    <w:rsid w:val="003C7C54"/>
    <w:rsid w:val="003D1ABB"/>
    <w:rsid w:val="003D69E1"/>
    <w:rsid w:val="003E1774"/>
    <w:rsid w:val="003E3EA7"/>
    <w:rsid w:val="003E4B15"/>
    <w:rsid w:val="003E5F94"/>
    <w:rsid w:val="003E6AE6"/>
    <w:rsid w:val="003E6D3F"/>
    <w:rsid w:val="003E713B"/>
    <w:rsid w:val="003E72D7"/>
    <w:rsid w:val="003F0062"/>
    <w:rsid w:val="003F0243"/>
    <w:rsid w:val="003F326C"/>
    <w:rsid w:val="003F4E5C"/>
    <w:rsid w:val="003F5CE4"/>
    <w:rsid w:val="003F5D05"/>
    <w:rsid w:val="00402496"/>
    <w:rsid w:val="004101B3"/>
    <w:rsid w:val="00410C4A"/>
    <w:rsid w:val="00413A49"/>
    <w:rsid w:val="00414FBE"/>
    <w:rsid w:val="00417BEE"/>
    <w:rsid w:val="00420735"/>
    <w:rsid w:val="00421F93"/>
    <w:rsid w:val="00426268"/>
    <w:rsid w:val="00431C22"/>
    <w:rsid w:val="00433EC5"/>
    <w:rsid w:val="00437D2E"/>
    <w:rsid w:val="0044136C"/>
    <w:rsid w:val="00441AA0"/>
    <w:rsid w:val="00443B00"/>
    <w:rsid w:val="0044620C"/>
    <w:rsid w:val="004464A4"/>
    <w:rsid w:val="0045043A"/>
    <w:rsid w:val="00451B34"/>
    <w:rsid w:val="00456055"/>
    <w:rsid w:val="00456AAB"/>
    <w:rsid w:val="004627E3"/>
    <w:rsid w:val="00465497"/>
    <w:rsid w:val="00466F6B"/>
    <w:rsid w:val="004710B9"/>
    <w:rsid w:val="0047233F"/>
    <w:rsid w:val="0047269C"/>
    <w:rsid w:val="00474335"/>
    <w:rsid w:val="0047610A"/>
    <w:rsid w:val="0047631F"/>
    <w:rsid w:val="00476CF5"/>
    <w:rsid w:val="004778E3"/>
    <w:rsid w:val="0048042D"/>
    <w:rsid w:val="00480B16"/>
    <w:rsid w:val="00480DDA"/>
    <w:rsid w:val="00487A94"/>
    <w:rsid w:val="00490FF6"/>
    <w:rsid w:val="004919D5"/>
    <w:rsid w:val="0049589D"/>
    <w:rsid w:val="0049645C"/>
    <w:rsid w:val="004A04E3"/>
    <w:rsid w:val="004A0831"/>
    <w:rsid w:val="004A2E64"/>
    <w:rsid w:val="004A4135"/>
    <w:rsid w:val="004A5167"/>
    <w:rsid w:val="004A5492"/>
    <w:rsid w:val="004A6CCD"/>
    <w:rsid w:val="004A741D"/>
    <w:rsid w:val="004A74A7"/>
    <w:rsid w:val="004A7761"/>
    <w:rsid w:val="004B09E0"/>
    <w:rsid w:val="004B0FEF"/>
    <w:rsid w:val="004B100A"/>
    <w:rsid w:val="004B422E"/>
    <w:rsid w:val="004B5A4C"/>
    <w:rsid w:val="004B65F4"/>
    <w:rsid w:val="004B6E5F"/>
    <w:rsid w:val="004B7456"/>
    <w:rsid w:val="004C0139"/>
    <w:rsid w:val="004C2AA5"/>
    <w:rsid w:val="004C31F4"/>
    <w:rsid w:val="004C3415"/>
    <w:rsid w:val="004C5522"/>
    <w:rsid w:val="004C620F"/>
    <w:rsid w:val="004C6311"/>
    <w:rsid w:val="004C7359"/>
    <w:rsid w:val="004D0712"/>
    <w:rsid w:val="004D0E8E"/>
    <w:rsid w:val="004D0F66"/>
    <w:rsid w:val="004D100C"/>
    <w:rsid w:val="004D17F8"/>
    <w:rsid w:val="004D6789"/>
    <w:rsid w:val="004E1AEE"/>
    <w:rsid w:val="004E304F"/>
    <w:rsid w:val="004E41B3"/>
    <w:rsid w:val="004E4BE3"/>
    <w:rsid w:val="004F0009"/>
    <w:rsid w:val="004F035C"/>
    <w:rsid w:val="004F25C3"/>
    <w:rsid w:val="004F578B"/>
    <w:rsid w:val="004F7551"/>
    <w:rsid w:val="005018C4"/>
    <w:rsid w:val="00501AE9"/>
    <w:rsid w:val="00504BB6"/>
    <w:rsid w:val="0050595E"/>
    <w:rsid w:val="005076D8"/>
    <w:rsid w:val="00511934"/>
    <w:rsid w:val="005123D5"/>
    <w:rsid w:val="0051411E"/>
    <w:rsid w:val="00514932"/>
    <w:rsid w:val="00514F80"/>
    <w:rsid w:val="00515B1B"/>
    <w:rsid w:val="00515BD2"/>
    <w:rsid w:val="00516FCC"/>
    <w:rsid w:val="005179C2"/>
    <w:rsid w:val="00517B1B"/>
    <w:rsid w:val="00517FA5"/>
    <w:rsid w:val="005200FB"/>
    <w:rsid w:val="0052012E"/>
    <w:rsid w:val="005201F1"/>
    <w:rsid w:val="005212AA"/>
    <w:rsid w:val="005269D1"/>
    <w:rsid w:val="00531F39"/>
    <w:rsid w:val="00532C33"/>
    <w:rsid w:val="00534A7D"/>
    <w:rsid w:val="00535055"/>
    <w:rsid w:val="005364F1"/>
    <w:rsid w:val="005366A5"/>
    <w:rsid w:val="00536764"/>
    <w:rsid w:val="00537B47"/>
    <w:rsid w:val="00537DD9"/>
    <w:rsid w:val="00540DD7"/>
    <w:rsid w:val="00543C67"/>
    <w:rsid w:val="00544DB1"/>
    <w:rsid w:val="00546AEA"/>
    <w:rsid w:val="00546BEB"/>
    <w:rsid w:val="005475E1"/>
    <w:rsid w:val="00551583"/>
    <w:rsid w:val="0055245B"/>
    <w:rsid w:val="00552937"/>
    <w:rsid w:val="00553E7A"/>
    <w:rsid w:val="0055572B"/>
    <w:rsid w:val="0055634E"/>
    <w:rsid w:val="00557D32"/>
    <w:rsid w:val="00561A36"/>
    <w:rsid w:val="005637E3"/>
    <w:rsid w:val="00564FF8"/>
    <w:rsid w:val="00565B32"/>
    <w:rsid w:val="00565B77"/>
    <w:rsid w:val="0056640D"/>
    <w:rsid w:val="00570688"/>
    <w:rsid w:val="00571811"/>
    <w:rsid w:val="005728A4"/>
    <w:rsid w:val="00574545"/>
    <w:rsid w:val="00574F32"/>
    <w:rsid w:val="00576D51"/>
    <w:rsid w:val="00580083"/>
    <w:rsid w:val="005832D2"/>
    <w:rsid w:val="00583FB7"/>
    <w:rsid w:val="00584087"/>
    <w:rsid w:val="00584B71"/>
    <w:rsid w:val="005869C6"/>
    <w:rsid w:val="005872C6"/>
    <w:rsid w:val="005878B8"/>
    <w:rsid w:val="005915D0"/>
    <w:rsid w:val="00594F85"/>
    <w:rsid w:val="0059522A"/>
    <w:rsid w:val="00595DF4"/>
    <w:rsid w:val="00595F62"/>
    <w:rsid w:val="005A027D"/>
    <w:rsid w:val="005A1343"/>
    <w:rsid w:val="005A32BC"/>
    <w:rsid w:val="005A36B6"/>
    <w:rsid w:val="005A7B45"/>
    <w:rsid w:val="005B3987"/>
    <w:rsid w:val="005B4A3F"/>
    <w:rsid w:val="005B76C2"/>
    <w:rsid w:val="005C077C"/>
    <w:rsid w:val="005C1395"/>
    <w:rsid w:val="005C4C53"/>
    <w:rsid w:val="005C5BDF"/>
    <w:rsid w:val="005C6AB4"/>
    <w:rsid w:val="005D075C"/>
    <w:rsid w:val="005D15CE"/>
    <w:rsid w:val="005D1BD8"/>
    <w:rsid w:val="005D2B59"/>
    <w:rsid w:val="005D358F"/>
    <w:rsid w:val="005D4986"/>
    <w:rsid w:val="005E5B04"/>
    <w:rsid w:val="005E7A1C"/>
    <w:rsid w:val="005F010E"/>
    <w:rsid w:val="005F0B89"/>
    <w:rsid w:val="005F182F"/>
    <w:rsid w:val="005F1BBF"/>
    <w:rsid w:val="005F279C"/>
    <w:rsid w:val="005F280F"/>
    <w:rsid w:val="005F67F9"/>
    <w:rsid w:val="005F6F7A"/>
    <w:rsid w:val="00600F05"/>
    <w:rsid w:val="00601070"/>
    <w:rsid w:val="00601241"/>
    <w:rsid w:val="00606744"/>
    <w:rsid w:val="006079F0"/>
    <w:rsid w:val="0061017F"/>
    <w:rsid w:val="0061049B"/>
    <w:rsid w:val="00610810"/>
    <w:rsid w:val="00610EE7"/>
    <w:rsid w:val="00611382"/>
    <w:rsid w:val="00613C95"/>
    <w:rsid w:val="00617152"/>
    <w:rsid w:val="00617B48"/>
    <w:rsid w:val="0062202C"/>
    <w:rsid w:val="006222A4"/>
    <w:rsid w:val="0062251C"/>
    <w:rsid w:val="006227D9"/>
    <w:rsid w:val="00623415"/>
    <w:rsid w:val="00623922"/>
    <w:rsid w:val="00625EBC"/>
    <w:rsid w:val="00627039"/>
    <w:rsid w:val="0062711D"/>
    <w:rsid w:val="006275BD"/>
    <w:rsid w:val="0063022C"/>
    <w:rsid w:val="00636084"/>
    <w:rsid w:val="0064017E"/>
    <w:rsid w:val="00640B30"/>
    <w:rsid w:val="006443CF"/>
    <w:rsid w:val="00645B6C"/>
    <w:rsid w:val="0064756D"/>
    <w:rsid w:val="00650303"/>
    <w:rsid w:val="00653E25"/>
    <w:rsid w:val="00660630"/>
    <w:rsid w:val="00660CE1"/>
    <w:rsid w:val="0066614D"/>
    <w:rsid w:val="00666EA1"/>
    <w:rsid w:val="00672DEF"/>
    <w:rsid w:val="006741EE"/>
    <w:rsid w:val="006745DE"/>
    <w:rsid w:val="00675719"/>
    <w:rsid w:val="006765AF"/>
    <w:rsid w:val="00677546"/>
    <w:rsid w:val="00680E75"/>
    <w:rsid w:val="00681E64"/>
    <w:rsid w:val="006852BF"/>
    <w:rsid w:val="00687379"/>
    <w:rsid w:val="00695AD7"/>
    <w:rsid w:val="0069618B"/>
    <w:rsid w:val="0069727A"/>
    <w:rsid w:val="006A235B"/>
    <w:rsid w:val="006A5AD2"/>
    <w:rsid w:val="006A5AE1"/>
    <w:rsid w:val="006A5CAB"/>
    <w:rsid w:val="006A605F"/>
    <w:rsid w:val="006A6ECB"/>
    <w:rsid w:val="006B0D50"/>
    <w:rsid w:val="006B22EE"/>
    <w:rsid w:val="006B5614"/>
    <w:rsid w:val="006B7A34"/>
    <w:rsid w:val="006C3843"/>
    <w:rsid w:val="006C4D3C"/>
    <w:rsid w:val="006C5E22"/>
    <w:rsid w:val="006C62D7"/>
    <w:rsid w:val="006C6A82"/>
    <w:rsid w:val="006C7351"/>
    <w:rsid w:val="006C73C0"/>
    <w:rsid w:val="006C760F"/>
    <w:rsid w:val="006D0BC2"/>
    <w:rsid w:val="006D2861"/>
    <w:rsid w:val="006D2888"/>
    <w:rsid w:val="006D7D38"/>
    <w:rsid w:val="006E0875"/>
    <w:rsid w:val="006E1686"/>
    <w:rsid w:val="006E19F0"/>
    <w:rsid w:val="006E1BE2"/>
    <w:rsid w:val="006E2673"/>
    <w:rsid w:val="006E3B73"/>
    <w:rsid w:val="006E4627"/>
    <w:rsid w:val="006E5C14"/>
    <w:rsid w:val="006F1F6B"/>
    <w:rsid w:val="006F420F"/>
    <w:rsid w:val="006F73F2"/>
    <w:rsid w:val="007006C3"/>
    <w:rsid w:val="00702FD2"/>
    <w:rsid w:val="00703106"/>
    <w:rsid w:val="00712C5B"/>
    <w:rsid w:val="00713A71"/>
    <w:rsid w:val="007154FA"/>
    <w:rsid w:val="007157D6"/>
    <w:rsid w:val="00717EFB"/>
    <w:rsid w:val="00722008"/>
    <w:rsid w:val="007229A3"/>
    <w:rsid w:val="0072461A"/>
    <w:rsid w:val="0072496C"/>
    <w:rsid w:val="007260C4"/>
    <w:rsid w:val="007273E8"/>
    <w:rsid w:val="007274A0"/>
    <w:rsid w:val="00727BFC"/>
    <w:rsid w:val="00727F0B"/>
    <w:rsid w:val="0073044D"/>
    <w:rsid w:val="0073278A"/>
    <w:rsid w:val="00732EBE"/>
    <w:rsid w:val="00733FA6"/>
    <w:rsid w:val="0073577D"/>
    <w:rsid w:val="00737406"/>
    <w:rsid w:val="007415F4"/>
    <w:rsid w:val="007416B7"/>
    <w:rsid w:val="007435F1"/>
    <w:rsid w:val="007438B1"/>
    <w:rsid w:val="00743971"/>
    <w:rsid w:val="00743D44"/>
    <w:rsid w:val="00743DA8"/>
    <w:rsid w:val="00745CAC"/>
    <w:rsid w:val="00745F4B"/>
    <w:rsid w:val="00745FFE"/>
    <w:rsid w:val="00747701"/>
    <w:rsid w:val="007512C4"/>
    <w:rsid w:val="0075152C"/>
    <w:rsid w:val="00752B30"/>
    <w:rsid w:val="0075486E"/>
    <w:rsid w:val="00754B24"/>
    <w:rsid w:val="00754D73"/>
    <w:rsid w:val="00755B23"/>
    <w:rsid w:val="007569D7"/>
    <w:rsid w:val="007569FE"/>
    <w:rsid w:val="0076057B"/>
    <w:rsid w:val="00761462"/>
    <w:rsid w:val="00764541"/>
    <w:rsid w:val="007712CF"/>
    <w:rsid w:val="0077509A"/>
    <w:rsid w:val="00776D1F"/>
    <w:rsid w:val="00777E03"/>
    <w:rsid w:val="007816AB"/>
    <w:rsid w:val="0078173F"/>
    <w:rsid w:val="00781CCB"/>
    <w:rsid w:val="00783110"/>
    <w:rsid w:val="00783F0E"/>
    <w:rsid w:val="00787412"/>
    <w:rsid w:val="00787791"/>
    <w:rsid w:val="007913E9"/>
    <w:rsid w:val="00791849"/>
    <w:rsid w:val="00791942"/>
    <w:rsid w:val="00791AEA"/>
    <w:rsid w:val="007A36D8"/>
    <w:rsid w:val="007A6CAA"/>
    <w:rsid w:val="007A7171"/>
    <w:rsid w:val="007B0A08"/>
    <w:rsid w:val="007B3EEB"/>
    <w:rsid w:val="007B4211"/>
    <w:rsid w:val="007B5CF1"/>
    <w:rsid w:val="007C0BB7"/>
    <w:rsid w:val="007C13ED"/>
    <w:rsid w:val="007C5BBE"/>
    <w:rsid w:val="007C5FD1"/>
    <w:rsid w:val="007C6363"/>
    <w:rsid w:val="007C7E52"/>
    <w:rsid w:val="007D2AF6"/>
    <w:rsid w:val="007D4855"/>
    <w:rsid w:val="007D6235"/>
    <w:rsid w:val="007D653E"/>
    <w:rsid w:val="007D7062"/>
    <w:rsid w:val="007D7F25"/>
    <w:rsid w:val="007E1D2C"/>
    <w:rsid w:val="007E2E7D"/>
    <w:rsid w:val="007F0AED"/>
    <w:rsid w:val="007F0CD3"/>
    <w:rsid w:val="007F3D06"/>
    <w:rsid w:val="007F4614"/>
    <w:rsid w:val="007F7B79"/>
    <w:rsid w:val="008015A7"/>
    <w:rsid w:val="008045AD"/>
    <w:rsid w:val="00805116"/>
    <w:rsid w:val="00806F39"/>
    <w:rsid w:val="008079A8"/>
    <w:rsid w:val="008111C4"/>
    <w:rsid w:val="00814A84"/>
    <w:rsid w:val="00816817"/>
    <w:rsid w:val="00820579"/>
    <w:rsid w:val="00820855"/>
    <w:rsid w:val="00820865"/>
    <w:rsid w:val="0082281F"/>
    <w:rsid w:val="00823BC6"/>
    <w:rsid w:val="00825D41"/>
    <w:rsid w:val="0082696F"/>
    <w:rsid w:val="008302BA"/>
    <w:rsid w:val="008323F7"/>
    <w:rsid w:val="00835AD3"/>
    <w:rsid w:val="00841EA5"/>
    <w:rsid w:val="00841F39"/>
    <w:rsid w:val="00841FAD"/>
    <w:rsid w:val="00843982"/>
    <w:rsid w:val="00843C3F"/>
    <w:rsid w:val="0084459C"/>
    <w:rsid w:val="00846943"/>
    <w:rsid w:val="00852B3D"/>
    <w:rsid w:val="00853BCE"/>
    <w:rsid w:val="00853F5A"/>
    <w:rsid w:val="00860666"/>
    <w:rsid w:val="0086078A"/>
    <w:rsid w:val="0086327C"/>
    <w:rsid w:val="00863CC5"/>
    <w:rsid w:val="00863E1F"/>
    <w:rsid w:val="00864852"/>
    <w:rsid w:val="00864E7E"/>
    <w:rsid w:val="00870290"/>
    <w:rsid w:val="00874DD4"/>
    <w:rsid w:val="008779E8"/>
    <w:rsid w:val="00877DDA"/>
    <w:rsid w:val="008805A3"/>
    <w:rsid w:val="008818BE"/>
    <w:rsid w:val="008819FE"/>
    <w:rsid w:val="00882136"/>
    <w:rsid w:val="0088259A"/>
    <w:rsid w:val="00883CDB"/>
    <w:rsid w:val="00883D13"/>
    <w:rsid w:val="0088632F"/>
    <w:rsid w:val="0088693A"/>
    <w:rsid w:val="0088738E"/>
    <w:rsid w:val="00890F73"/>
    <w:rsid w:val="0089336E"/>
    <w:rsid w:val="00894940"/>
    <w:rsid w:val="0089567C"/>
    <w:rsid w:val="008977F1"/>
    <w:rsid w:val="008979F8"/>
    <w:rsid w:val="008A6BC0"/>
    <w:rsid w:val="008A72A2"/>
    <w:rsid w:val="008A73D4"/>
    <w:rsid w:val="008B08C9"/>
    <w:rsid w:val="008B38C8"/>
    <w:rsid w:val="008B3A2A"/>
    <w:rsid w:val="008B3D18"/>
    <w:rsid w:val="008B47BF"/>
    <w:rsid w:val="008B4F2C"/>
    <w:rsid w:val="008B5A4C"/>
    <w:rsid w:val="008B660C"/>
    <w:rsid w:val="008B7412"/>
    <w:rsid w:val="008C10C6"/>
    <w:rsid w:val="008C45F2"/>
    <w:rsid w:val="008C63A1"/>
    <w:rsid w:val="008D0669"/>
    <w:rsid w:val="008D1D52"/>
    <w:rsid w:val="008D48F9"/>
    <w:rsid w:val="008D607E"/>
    <w:rsid w:val="008D7B57"/>
    <w:rsid w:val="008D7B77"/>
    <w:rsid w:val="008E0069"/>
    <w:rsid w:val="008E01CF"/>
    <w:rsid w:val="008E15A0"/>
    <w:rsid w:val="008E1AAC"/>
    <w:rsid w:val="008E235F"/>
    <w:rsid w:val="008E39E7"/>
    <w:rsid w:val="008E5B4F"/>
    <w:rsid w:val="008E5BD1"/>
    <w:rsid w:val="008F0CF3"/>
    <w:rsid w:val="008F10EE"/>
    <w:rsid w:val="008F2D68"/>
    <w:rsid w:val="008F460F"/>
    <w:rsid w:val="008F49CC"/>
    <w:rsid w:val="008F6F49"/>
    <w:rsid w:val="008F76A0"/>
    <w:rsid w:val="00900230"/>
    <w:rsid w:val="00901148"/>
    <w:rsid w:val="00902A76"/>
    <w:rsid w:val="009047BA"/>
    <w:rsid w:val="0090573D"/>
    <w:rsid w:val="00914CB0"/>
    <w:rsid w:val="00915CC1"/>
    <w:rsid w:val="00916B75"/>
    <w:rsid w:val="00916C0D"/>
    <w:rsid w:val="00917A63"/>
    <w:rsid w:val="009226E5"/>
    <w:rsid w:val="00925310"/>
    <w:rsid w:val="009260F4"/>
    <w:rsid w:val="00926ED4"/>
    <w:rsid w:val="009273D0"/>
    <w:rsid w:val="00933F81"/>
    <w:rsid w:val="00934101"/>
    <w:rsid w:val="009357E6"/>
    <w:rsid w:val="00937ADE"/>
    <w:rsid w:val="00937F9B"/>
    <w:rsid w:val="0094088B"/>
    <w:rsid w:val="00940A54"/>
    <w:rsid w:val="009452C5"/>
    <w:rsid w:val="00945463"/>
    <w:rsid w:val="009456B7"/>
    <w:rsid w:val="00945DDF"/>
    <w:rsid w:val="00946353"/>
    <w:rsid w:val="009506C1"/>
    <w:rsid w:val="00955FF5"/>
    <w:rsid w:val="0095686B"/>
    <w:rsid w:val="009569CA"/>
    <w:rsid w:val="00960DB4"/>
    <w:rsid w:val="00964223"/>
    <w:rsid w:val="0096547E"/>
    <w:rsid w:val="00965C80"/>
    <w:rsid w:val="00966BA4"/>
    <w:rsid w:val="0097084C"/>
    <w:rsid w:val="00970E1A"/>
    <w:rsid w:val="00972091"/>
    <w:rsid w:val="0097283F"/>
    <w:rsid w:val="0097412E"/>
    <w:rsid w:val="00974E6C"/>
    <w:rsid w:val="009762E8"/>
    <w:rsid w:val="00977744"/>
    <w:rsid w:val="009777F5"/>
    <w:rsid w:val="009805A7"/>
    <w:rsid w:val="00980DD0"/>
    <w:rsid w:val="009828FA"/>
    <w:rsid w:val="009834FE"/>
    <w:rsid w:val="00984872"/>
    <w:rsid w:val="00984D57"/>
    <w:rsid w:val="00986E61"/>
    <w:rsid w:val="00987847"/>
    <w:rsid w:val="00990DE0"/>
    <w:rsid w:val="0099409D"/>
    <w:rsid w:val="00995AD2"/>
    <w:rsid w:val="009965E5"/>
    <w:rsid w:val="009969DB"/>
    <w:rsid w:val="009969FD"/>
    <w:rsid w:val="009975A5"/>
    <w:rsid w:val="009A117D"/>
    <w:rsid w:val="009A2CAB"/>
    <w:rsid w:val="009A316A"/>
    <w:rsid w:val="009A5895"/>
    <w:rsid w:val="009A66AC"/>
    <w:rsid w:val="009A6719"/>
    <w:rsid w:val="009A6835"/>
    <w:rsid w:val="009A6BFF"/>
    <w:rsid w:val="009A7599"/>
    <w:rsid w:val="009A7B14"/>
    <w:rsid w:val="009A7E9B"/>
    <w:rsid w:val="009B3287"/>
    <w:rsid w:val="009B445A"/>
    <w:rsid w:val="009B58BB"/>
    <w:rsid w:val="009B62F1"/>
    <w:rsid w:val="009C07F4"/>
    <w:rsid w:val="009C36A6"/>
    <w:rsid w:val="009C50BD"/>
    <w:rsid w:val="009C5513"/>
    <w:rsid w:val="009D020F"/>
    <w:rsid w:val="009D375A"/>
    <w:rsid w:val="009D3CCE"/>
    <w:rsid w:val="009D4DA2"/>
    <w:rsid w:val="009D570F"/>
    <w:rsid w:val="009E1D06"/>
    <w:rsid w:val="009E34D6"/>
    <w:rsid w:val="009E516A"/>
    <w:rsid w:val="009E7A69"/>
    <w:rsid w:val="009F0D0F"/>
    <w:rsid w:val="009F18CE"/>
    <w:rsid w:val="009F555F"/>
    <w:rsid w:val="009F75BE"/>
    <w:rsid w:val="00A00A0A"/>
    <w:rsid w:val="00A00EE6"/>
    <w:rsid w:val="00A01D1F"/>
    <w:rsid w:val="00A0532A"/>
    <w:rsid w:val="00A05680"/>
    <w:rsid w:val="00A06E18"/>
    <w:rsid w:val="00A1234D"/>
    <w:rsid w:val="00A13140"/>
    <w:rsid w:val="00A14BBF"/>
    <w:rsid w:val="00A1582C"/>
    <w:rsid w:val="00A17C00"/>
    <w:rsid w:val="00A204E3"/>
    <w:rsid w:val="00A21F56"/>
    <w:rsid w:val="00A2355F"/>
    <w:rsid w:val="00A23852"/>
    <w:rsid w:val="00A23C2F"/>
    <w:rsid w:val="00A241DE"/>
    <w:rsid w:val="00A2512E"/>
    <w:rsid w:val="00A257E9"/>
    <w:rsid w:val="00A25CD4"/>
    <w:rsid w:val="00A25EF0"/>
    <w:rsid w:val="00A2742F"/>
    <w:rsid w:val="00A27ACF"/>
    <w:rsid w:val="00A31431"/>
    <w:rsid w:val="00A32C3A"/>
    <w:rsid w:val="00A330C0"/>
    <w:rsid w:val="00A341FE"/>
    <w:rsid w:val="00A34ADD"/>
    <w:rsid w:val="00A34CEC"/>
    <w:rsid w:val="00A36A03"/>
    <w:rsid w:val="00A4087D"/>
    <w:rsid w:val="00A40E18"/>
    <w:rsid w:val="00A40EAF"/>
    <w:rsid w:val="00A40F5B"/>
    <w:rsid w:val="00A41CD8"/>
    <w:rsid w:val="00A41E82"/>
    <w:rsid w:val="00A42835"/>
    <w:rsid w:val="00A431B9"/>
    <w:rsid w:val="00A475B9"/>
    <w:rsid w:val="00A5259D"/>
    <w:rsid w:val="00A54041"/>
    <w:rsid w:val="00A564D6"/>
    <w:rsid w:val="00A56F66"/>
    <w:rsid w:val="00A57031"/>
    <w:rsid w:val="00A571FE"/>
    <w:rsid w:val="00A618AB"/>
    <w:rsid w:val="00A61910"/>
    <w:rsid w:val="00A61CFD"/>
    <w:rsid w:val="00A6499C"/>
    <w:rsid w:val="00A6534B"/>
    <w:rsid w:val="00A6659A"/>
    <w:rsid w:val="00A72125"/>
    <w:rsid w:val="00A73740"/>
    <w:rsid w:val="00A73ADC"/>
    <w:rsid w:val="00A73C25"/>
    <w:rsid w:val="00A76BF9"/>
    <w:rsid w:val="00A76C50"/>
    <w:rsid w:val="00A80C51"/>
    <w:rsid w:val="00A82B82"/>
    <w:rsid w:val="00A83261"/>
    <w:rsid w:val="00A84D64"/>
    <w:rsid w:val="00A874BF"/>
    <w:rsid w:val="00A8761D"/>
    <w:rsid w:val="00A87FF8"/>
    <w:rsid w:val="00A9048F"/>
    <w:rsid w:val="00A911E7"/>
    <w:rsid w:val="00A914EF"/>
    <w:rsid w:val="00A94C96"/>
    <w:rsid w:val="00A964FD"/>
    <w:rsid w:val="00A965D8"/>
    <w:rsid w:val="00AA2820"/>
    <w:rsid w:val="00AA3071"/>
    <w:rsid w:val="00AA3953"/>
    <w:rsid w:val="00AA5B85"/>
    <w:rsid w:val="00AA6005"/>
    <w:rsid w:val="00AB1FD3"/>
    <w:rsid w:val="00AB242A"/>
    <w:rsid w:val="00AB4952"/>
    <w:rsid w:val="00AB5984"/>
    <w:rsid w:val="00AB64A1"/>
    <w:rsid w:val="00AB65FE"/>
    <w:rsid w:val="00AB6CE0"/>
    <w:rsid w:val="00AC0768"/>
    <w:rsid w:val="00AC2AD3"/>
    <w:rsid w:val="00AC3E0D"/>
    <w:rsid w:val="00AC4F0D"/>
    <w:rsid w:val="00AD108A"/>
    <w:rsid w:val="00AD15A1"/>
    <w:rsid w:val="00AD2D27"/>
    <w:rsid w:val="00AE1A8A"/>
    <w:rsid w:val="00AE286C"/>
    <w:rsid w:val="00AE3C6A"/>
    <w:rsid w:val="00AE526D"/>
    <w:rsid w:val="00AE5EF1"/>
    <w:rsid w:val="00AF2466"/>
    <w:rsid w:val="00AF2EFE"/>
    <w:rsid w:val="00AF3CEB"/>
    <w:rsid w:val="00B00057"/>
    <w:rsid w:val="00B0299D"/>
    <w:rsid w:val="00B03E6C"/>
    <w:rsid w:val="00B1077B"/>
    <w:rsid w:val="00B12D8A"/>
    <w:rsid w:val="00B1369E"/>
    <w:rsid w:val="00B14BEF"/>
    <w:rsid w:val="00B15CDD"/>
    <w:rsid w:val="00B22707"/>
    <w:rsid w:val="00B25624"/>
    <w:rsid w:val="00B25ECA"/>
    <w:rsid w:val="00B25FA0"/>
    <w:rsid w:val="00B27095"/>
    <w:rsid w:val="00B27F21"/>
    <w:rsid w:val="00B309B2"/>
    <w:rsid w:val="00B31EA3"/>
    <w:rsid w:val="00B32DEA"/>
    <w:rsid w:val="00B36ADC"/>
    <w:rsid w:val="00B376B9"/>
    <w:rsid w:val="00B37B6E"/>
    <w:rsid w:val="00B41322"/>
    <w:rsid w:val="00B428B5"/>
    <w:rsid w:val="00B42FD9"/>
    <w:rsid w:val="00B452CD"/>
    <w:rsid w:val="00B46F10"/>
    <w:rsid w:val="00B50E99"/>
    <w:rsid w:val="00B51315"/>
    <w:rsid w:val="00B51E88"/>
    <w:rsid w:val="00B53E36"/>
    <w:rsid w:val="00B542E8"/>
    <w:rsid w:val="00B55E77"/>
    <w:rsid w:val="00B56305"/>
    <w:rsid w:val="00B576CA"/>
    <w:rsid w:val="00B64057"/>
    <w:rsid w:val="00B6520E"/>
    <w:rsid w:val="00B66F7D"/>
    <w:rsid w:val="00B71E15"/>
    <w:rsid w:val="00B730A0"/>
    <w:rsid w:val="00B7325D"/>
    <w:rsid w:val="00B744BD"/>
    <w:rsid w:val="00B74CA4"/>
    <w:rsid w:val="00B74D4C"/>
    <w:rsid w:val="00B7500D"/>
    <w:rsid w:val="00B75CC0"/>
    <w:rsid w:val="00B77C15"/>
    <w:rsid w:val="00B817B7"/>
    <w:rsid w:val="00B81A0E"/>
    <w:rsid w:val="00B82577"/>
    <w:rsid w:val="00B83557"/>
    <w:rsid w:val="00B85758"/>
    <w:rsid w:val="00B86077"/>
    <w:rsid w:val="00B90C3D"/>
    <w:rsid w:val="00B91143"/>
    <w:rsid w:val="00B94BD9"/>
    <w:rsid w:val="00BA09E0"/>
    <w:rsid w:val="00BA0F4E"/>
    <w:rsid w:val="00BA1D66"/>
    <w:rsid w:val="00BA2B00"/>
    <w:rsid w:val="00BA3C58"/>
    <w:rsid w:val="00BA546A"/>
    <w:rsid w:val="00BA5B97"/>
    <w:rsid w:val="00BA6D16"/>
    <w:rsid w:val="00BB0A07"/>
    <w:rsid w:val="00BB1066"/>
    <w:rsid w:val="00BB36BE"/>
    <w:rsid w:val="00BB4664"/>
    <w:rsid w:val="00BC414A"/>
    <w:rsid w:val="00BC4745"/>
    <w:rsid w:val="00BC5E2F"/>
    <w:rsid w:val="00BC7D65"/>
    <w:rsid w:val="00BD1707"/>
    <w:rsid w:val="00BD2EB3"/>
    <w:rsid w:val="00BD4388"/>
    <w:rsid w:val="00BE3F37"/>
    <w:rsid w:val="00BE57D5"/>
    <w:rsid w:val="00BE5BFD"/>
    <w:rsid w:val="00BE69ED"/>
    <w:rsid w:val="00BF0503"/>
    <w:rsid w:val="00BF1D37"/>
    <w:rsid w:val="00BF1F88"/>
    <w:rsid w:val="00BF2849"/>
    <w:rsid w:val="00BF30EB"/>
    <w:rsid w:val="00BF4F76"/>
    <w:rsid w:val="00BF50FC"/>
    <w:rsid w:val="00BF6F23"/>
    <w:rsid w:val="00C00084"/>
    <w:rsid w:val="00C005F0"/>
    <w:rsid w:val="00C03269"/>
    <w:rsid w:val="00C03ED7"/>
    <w:rsid w:val="00C0461F"/>
    <w:rsid w:val="00C058F2"/>
    <w:rsid w:val="00C06575"/>
    <w:rsid w:val="00C07175"/>
    <w:rsid w:val="00C07B44"/>
    <w:rsid w:val="00C15D3B"/>
    <w:rsid w:val="00C21521"/>
    <w:rsid w:val="00C22EB7"/>
    <w:rsid w:val="00C24962"/>
    <w:rsid w:val="00C25D79"/>
    <w:rsid w:val="00C273B1"/>
    <w:rsid w:val="00C30664"/>
    <w:rsid w:val="00C33895"/>
    <w:rsid w:val="00C344F8"/>
    <w:rsid w:val="00C44C25"/>
    <w:rsid w:val="00C4577C"/>
    <w:rsid w:val="00C45EC3"/>
    <w:rsid w:val="00C45F7D"/>
    <w:rsid w:val="00C46DD9"/>
    <w:rsid w:val="00C50463"/>
    <w:rsid w:val="00C52E98"/>
    <w:rsid w:val="00C545EC"/>
    <w:rsid w:val="00C563B8"/>
    <w:rsid w:val="00C627F7"/>
    <w:rsid w:val="00C645E5"/>
    <w:rsid w:val="00C64CEA"/>
    <w:rsid w:val="00C64E0A"/>
    <w:rsid w:val="00C6794F"/>
    <w:rsid w:val="00C679CA"/>
    <w:rsid w:val="00C70883"/>
    <w:rsid w:val="00C74AD8"/>
    <w:rsid w:val="00C74EC9"/>
    <w:rsid w:val="00C75D69"/>
    <w:rsid w:val="00C76D1C"/>
    <w:rsid w:val="00C80313"/>
    <w:rsid w:val="00C810D9"/>
    <w:rsid w:val="00C81B40"/>
    <w:rsid w:val="00C830C0"/>
    <w:rsid w:val="00C83373"/>
    <w:rsid w:val="00C839FA"/>
    <w:rsid w:val="00C83FC5"/>
    <w:rsid w:val="00C906BB"/>
    <w:rsid w:val="00C91F0D"/>
    <w:rsid w:val="00C93211"/>
    <w:rsid w:val="00C937C5"/>
    <w:rsid w:val="00C94358"/>
    <w:rsid w:val="00C95705"/>
    <w:rsid w:val="00CA093E"/>
    <w:rsid w:val="00CA190A"/>
    <w:rsid w:val="00CA7378"/>
    <w:rsid w:val="00CA765E"/>
    <w:rsid w:val="00CB01A7"/>
    <w:rsid w:val="00CB0720"/>
    <w:rsid w:val="00CB1A48"/>
    <w:rsid w:val="00CB4490"/>
    <w:rsid w:val="00CC2CEC"/>
    <w:rsid w:val="00CC2D09"/>
    <w:rsid w:val="00CC4AE9"/>
    <w:rsid w:val="00CC659B"/>
    <w:rsid w:val="00CC67C7"/>
    <w:rsid w:val="00CC6B4F"/>
    <w:rsid w:val="00CC6CFD"/>
    <w:rsid w:val="00CD090D"/>
    <w:rsid w:val="00CD19A9"/>
    <w:rsid w:val="00CD2B5A"/>
    <w:rsid w:val="00CD305D"/>
    <w:rsid w:val="00CD50F6"/>
    <w:rsid w:val="00CD53AA"/>
    <w:rsid w:val="00CD54A2"/>
    <w:rsid w:val="00CD6996"/>
    <w:rsid w:val="00CD7EE3"/>
    <w:rsid w:val="00CE368F"/>
    <w:rsid w:val="00CE5FF8"/>
    <w:rsid w:val="00CF1919"/>
    <w:rsid w:val="00CF32D9"/>
    <w:rsid w:val="00CF3A8D"/>
    <w:rsid w:val="00CF3F66"/>
    <w:rsid w:val="00CF3F6C"/>
    <w:rsid w:val="00CF4B7A"/>
    <w:rsid w:val="00CF6221"/>
    <w:rsid w:val="00CF67CA"/>
    <w:rsid w:val="00D03A17"/>
    <w:rsid w:val="00D03B6B"/>
    <w:rsid w:val="00D056B9"/>
    <w:rsid w:val="00D12509"/>
    <w:rsid w:val="00D12A82"/>
    <w:rsid w:val="00D13E50"/>
    <w:rsid w:val="00D1497D"/>
    <w:rsid w:val="00D156AE"/>
    <w:rsid w:val="00D15DCC"/>
    <w:rsid w:val="00D16A64"/>
    <w:rsid w:val="00D16FD4"/>
    <w:rsid w:val="00D21E8D"/>
    <w:rsid w:val="00D23908"/>
    <w:rsid w:val="00D249AC"/>
    <w:rsid w:val="00D24B33"/>
    <w:rsid w:val="00D265F2"/>
    <w:rsid w:val="00D27135"/>
    <w:rsid w:val="00D27A0A"/>
    <w:rsid w:val="00D33431"/>
    <w:rsid w:val="00D34CCE"/>
    <w:rsid w:val="00D35ECB"/>
    <w:rsid w:val="00D41046"/>
    <w:rsid w:val="00D44018"/>
    <w:rsid w:val="00D452ED"/>
    <w:rsid w:val="00D45639"/>
    <w:rsid w:val="00D518AD"/>
    <w:rsid w:val="00D520DF"/>
    <w:rsid w:val="00D539B2"/>
    <w:rsid w:val="00D57D78"/>
    <w:rsid w:val="00D60E99"/>
    <w:rsid w:val="00D61521"/>
    <w:rsid w:val="00D63D37"/>
    <w:rsid w:val="00D647F4"/>
    <w:rsid w:val="00D65E78"/>
    <w:rsid w:val="00D66B71"/>
    <w:rsid w:val="00D67546"/>
    <w:rsid w:val="00D72555"/>
    <w:rsid w:val="00D77D0C"/>
    <w:rsid w:val="00D80C41"/>
    <w:rsid w:val="00D814AA"/>
    <w:rsid w:val="00D81C50"/>
    <w:rsid w:val="00D82895"/>
    <w:rsid w:val="00D8533D"/>
    <w:rsid w:val="00D855D2"/>
    <w:rsid w:val="00D85FD3"/>
    <w:rsid w:val="00D87E13"/>
    <w:rsid w:val="00D91C9F"/>
    <w:rsid w:val="00D92B24"/>
    <w:rsid w:val="00DA241A"/>
    <w:rsid w:val="00DA3887"/>
    <w:rsid w:val="00DA3B1C"/>
    <w:rsid w:val="00DA4876"/>
    <w:rsid w:val="00DA56D5"/>
    <w:rsid w:val="00DA63D4"/>
    <w:rsid w:val="00DA7085"/>
    <w:rsid w:val="00DA7D28"/>
    <w:rsid w:val="00DB038D"/>
    <w:rsid w:val="00DB3A2B"/>
    <w:rsid w:val="00DB3B80"/>
    <w:rsid w:val="00DB4B26"/>
    <w:rsid w:val="00DB6A8F"/>
    <w:rsid w:val="00DB7115"/>
    <w:rsid w:val="00DB72DB"/>
    <w:rsid w:val="00DB7398"/>
    <w:rsid w:val="00DB73F4"/>
    <w:rsid w:val="00DC13E1"/>
    <w:rsid w:val="00DC1EA1"/>
    <w:rsid w:val="00DC2312"/>
    <w:rsid w:val="00DC584C"/>
    <w:rsid w:val="00DC5889"/>
    <w:rsid w:val="00DC7349"/>
    <w:rsid w:val="00DD072E"/>
    <w:rsid w:val="00DD13C3"/>
    <w:rsid w:val="00DD478B"/>
    <w:rsid w:val="00DD5478"/>
    <w:rsid w:val="00DD667A"/>
    <w:rsid w:val="00DE0169"/>
    <w:rsid w:val="00DE1AF8"/>
    <w:rsid w:val="00DE20FA"/>
    <w:rsid w:val="00DE50B2"/>
    <w:rsid w:val="00DE5F82"/>
    <w:rsid w:val="00DE7D1D"/>
    <w:rsid w:val="00DF14CB"/>
    <w:rsid w:val="00DF2EDC"/>
    <w:rsid w:val="00DF7E07"/>
    <w:rsid w:val="00E0039C"/>
    <w:rsid w:val="00E01192"/>
    <w:rsid w:val="00E01C9B"/>
    <w:rsid w:val="00E03184"/>
    <w:rsid w:val="00E03B3C"/>
    <w:rsid w:val="00E04AD0"/>
    <w:rsid w:val="00E11203"/>
    <w:rsid w:val="00E11477"/>
    <w:rsid w:val="00E12157"/>
    <w:rsid w:val="00E127D0"/>
    <w:rsid w:val="00E12FAF"/>
    <w:rsid w:val="00E133FC"/>
    <w:rsid w:val="00E13BC0"/>
    <w:rsid w:val="00E149C2"/>
    <w:rsid w:val="00E16624"/>
    <w:rsid w:val="00E16A0D"/>
    <w:rsid w:val="00E1711F"/>
    <w:rsid w:val="00E2211D"/>
    <w:rsid w:val="00E245A4"/>
    <w:rsid w:val="00E24D72"/>
    <w:rsid w:val="00E259B9"/>
    <w:rsid w:val="00E25C9D"/>
    <w:rsid w:val="00E25DCA"/>
    <w:rsid w:val="00E31F03"/>
    <w:rsid w:val="00E32EAE"/>
    <w:rsid w:val="00E35612"/>
    <w:rsid w:val="00E36368"/>
    <w:rsid w:val="00E365AC"/>
    <w:rsid w:val="00E36A89"/>
    <w:rsid w:val="00E36AD0"/>
    <w:rsid w:val="00E429B6"/>
    <w:rsid w:val="00E42B76"/>
    <w:rsid w:val="00E43AF6"/>
    <w:rsid w:val="00E45CA9"/>
    <w:rsid w:val="00E46357"/>
    <w:rsid w:val="00E46A3F"/>
    <w:rsid w:val="00E47C0F"/>
    <w:rsid w:val="00E5029C"/>
    <w:rsid w:val="00E51632"/>
    <w:rsid w:val="00E570BA"/>
    <w:rsid w:val="00E61FDD"/>
    <w:rsid w:val="00E62261"/>
    <w:rsid w:val="00E655C6"/>
    <w:rsid w:val="00E6582B"/>
    <w:rsid w:val="00E665CF"/>
    <w:rsid w:val="00E67269"/>
    <w:rsid w:val="00E71BD6"/>
    <w:rsid w:val="00E72361"/>
    <w:rsid w:val="00E732E9"/>
    <w:rsid w:val="00E73E81"/>
    <w:rsid w:val="00E74714"/>
    <w:rsid w:val="00E74D28"/>
    <w:rsid w:val="00E74E0C"/>
    <w:rsid w:val="00E75AB1"/>
    <w:rsid w:val="00E7667F"/>
    <w:rsid w:val="00E81DB5"/>
    <w:rsid w:val="00E82D0B"/>
    <w:rsid w:val="00E839C8"/>
    <w:rsid w:val="00E840F7"/>
    <w:rsid w:val="00E8596D"/>
    <w:rsid w:val="00E871C2"/>
    <w:rsid w:val="00E87B00"/>
    <w:rsid w:val="00E9048A"/>
    <w:rsid w:val="00E9242E"/>
    <w:rsid w:val="00E92BF1"/>
    <w:rsid w:val="00E95279"/>
    <w:rsid w:val="00EA14D0"/>
    <w:rsid w:val="00EA4360"/>
    <w:rsid w:val="00EB0B63"/>
    <w:rsid w:val="00EB1686"/>
    <w:rsid w:val="00EB4670"/>
    <w:rsid w:val="00EB4A83"/>
    <w:rsid w:val="00EB50D3"/>
    <w:rsid w:val="00EB672D"/>
    <w:rsid w:val="00EB7218"/>
    <w:rsid w:val="00EB7C8E"/>
    <w:rsid w:val="00EC0A74"/>
    <w:rsid w:val="00EC1273"/>
    <w:rsid w:val="00EC1C2B"/>
    <w:rsid w:val="00EC21E7"/>
    <w:rsid w:val="00EC25DC"/>
    <w:rsid w:val="00EC324F"/>
    <w:rsid w:val="00EC45B0"/>
    <w:rsid w:val="00EC4C5E"/>
    <w:rsid w:val="00EC50C0"/>
    <w:rsid w:val="00ED1324"/>
    <w:rsid w:val="00ED30C6"/>
    <w:rsid w:val="00ED343F"/>
    <w:rsid w:val="00ED3E9D"/>
    <w:rsid w:val="00ED6CF7"/>
    <w:rsid w:val="00EE1613"/>
    <w:rsid w:val="00EE37B4"/>
    <w:rsid w:val="00EE4B47"/>
    <w:rsid w:val="00EE4D39"/>
    <w:rsid w:val="00EE76D1"/>
    <w:rsid w:val="00EE7F92"/>
    <w:rsid w:val="00EF1BFF"/>
    <w:rsid w:val="00EF2B43"/>
    <w:rsid w:val="00EF7F76"/>
    <w:rsid w:val="00F018B0"/>
    <w:rsid w:val="00F03488"/>
    <w:rsid w:val="00F03EA5"/>
    <w:rsid w:val="00F0437B"/>
    <w:rsid w:val="00F04BBD"/>
    <w:rsid w:val="00F06F0F"/>
    <w:rsid w:val="00F07081"/>
    <w:rsid w:val="00F0718F"/>
    <w:rsid w:val="00F1198B"/>
    <w:rsid w:val="00F1226A"/>
    <w:rsid w:val="00F13FDC"/>
    <w:rsid w:val="00F15077"/>
    <w:rsid w:val="00F216F4"/>
    <w:rsid w:val="00F248FD"/>
    <w:rsid w:val="00F24A4F"/>
    <w:rsid w:val="00F26D47"/>
    <w:rsid w:val="00F31561"/>
    <w:rsid w:val="00F34864"/>
    <w:rsid w:val="00F34B1C"/>
    <w:rsid w:val="00F34FB3"/>
    <w:rsid w:val="00F40485"/>
    <w:rsid w:val="00F4112E"/>
    <w:rsid w:val="00F41C47"/>
    <w:rsid w:val="00F42499"/>
    <w:rsid w:val="00F42C2D"/>
    <w:rsid w:val="00F42F49"/>
    <w:rsid w:val="00F46047"/>
    <w:rsid w:val="00F47561"/>
    <w:rsid w:val="00F52E9A"/>
    <w:rsid w:val="00F60533"/>
    <w:rsid w:val="00F64654"/>
    <w:rsid w:val="00F65276"/>
    <w:rsid w:val="00F654D4"/>
    <w:rsid w:val="00F65720"/>
    <w:rsid w:val="00F6578B"/>
    <w:rsid w:val="00F66CC4"/>
    <w:rsid w:val="00F707B1"/>
    <w:rsid w:val="00F72649"/>
    <w:rsid w:val="00F733F1"/>
    <w:rsid w:val="00F73758"/>
    <w:rsid w:val="00F7693F"/>
    <w:rsid w:val="00F81259"/>
    <w:rsid w:val="00F82CCA"/>
    <w:rsid w:val="00F82DDE"/>
    <w:rsid w:val="00F83372"/>
    <w:rsid w:val="00F8342F"/>
    <w:rsid w:val="00F8348E"/>
    <w:rsid w:val="00F83921"/>
    <w:rsid w:val="00F83D8D"/>
    <w:rsid w:val="00F845C0"/>
    <w:rsid w:val="00F8635A"/>
    <w:rsid w:val="00F91A5E"/>
    <w:rsid w:val="00F95A9C"/>
    <w:rsid w:val="00F95AE3"/>
    <w:rsid w:val="00F95D0F"/>
    <w:rsid w:val="00F963BA"/>
    <w:rsid w:val="00FA19BD"/>
    <w:rsid w:val="00FA1AA8"/>
    <w:rsid w:val="00FA2A88"/>
    <w:rsid w:val="00FA4CE8"/>
    <w:rsid w:val="00FA7DF5"/>
    <w:rsid w:val="00FB37AB"/>
    <w:rsid w:val="00FB58D9"/>
    <w:rsid w:val="00FB6D6E"/>
    <w:rsid w:val="00FC3F8D"/>
    <w:rsid w:val="00FC5CE4"/>
    <w:rsid w:val="00FC6E85"/>
    <w:rsid w:val="00FC777E"/>
    <w:rsid w:val="00FD0D43"/>
    <w:rsid w:val="00FD0EEE"/>
    <w:rsid w:val="00FD15CC"/>
    <w:rsid w:val="00FD2D6A"/>
    <w:rsid w:val="00FD49B9"/>
    <w:rsid w:val="00FD4A5C"/>
    <w:rsid w:val="00FD5A75"/>
    <w:rsid w:val="00FE112A"/>
    <w:rsid w:val="00FE16AF"/>
    <w:rsid w:val="00FE1D31"/>
    <w:rsid w:val="00FE4203"/>
    <w:rsid w:val="00FE51EF"/>
    <w:rsid w:val="00FE6F97"/>
    <w:rsid w:val="00FF07A5"/>
    <w:rsid w:val="00FF09F8"/>
    <w:rsid w:val="00FF18C1"/>
    <w:rsid w:val="00FF382B"/>
    <w:rsid w:val="00FF3F21"/>
    <w:rsid w:val="00FF69EF"/>
    <w:rsid w:val="00FF6A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4A5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E7D"/>
    <w:pPr>
      <w:spacing w:after="120" w:line="240" w:lineRule="auto"/>
      <w:jc w:val="both"/>
    </w:pPr>
    <w:rPr>
      <w:rFonts w:ascii="Arial" w:eastAsia="Times New Roman" w:hAnsi="Arial" w:cs="Times New Roman"/>
      <w:szCs w:val="24"/>
      <w:lang w:val="en-GB"/>
    </w:rPr>
  </w:style>
  <w:style w:type="paragraph" w:styleId="Heading1">
    <w:name w:val="heading 1"/>
    <w:basedOn w:val="Normal"/>
    <w:next w:val="Normal"/>
    <w:link w:val="Heading1Char"/>
    <w:uiPriority w:val="9"/>
    <w:qFormat/>
    <w:rsid w:val="00A94C96"/>
    <w:pPr>
      <w:keepNext/>
      <w:keepLines/>
      <w:numPr>
        <w:numId w:val="53"/>
      </w:numPr>
      <w:spacing w:before="480"/>
      <w:outlineLvl w:val="0"/>
    </w:pPr>
    <w:rPr>
      <w:rFonts w:ascii="Arial Bold" w:eastAsiaTheme="majorEastAsia" w:hAnsi="Arial Bold" w:cstheme="majorBidi"/>
      <w:b/>
      <w:bCs/>
      <w:smallCaps/>
      <w:color w:val="000000" w:themeColor="text1"/>
      <w:sz w:val="36"/>
      <w:szCs w:val="36"/>
    </w:rPr>
  </w:style>
  <w:style w:type="paragraph" w:styleId="Heading2">
    <w:name w:val="heading 2"/>
    <w:aliases w:val="X Heading 2"/>
    <w:basedOn w:val="Normal"/>
    <w:next w:val="Normal"/>
    <w:link w:val="Heading2Char"/>
    <w:autoRedefine/>
    <w:qFormat/>
    <w:rsid w:val="00540DD7"/>
    <w:pPr>
      <w:keepNext/>
      <w:numPr>
        <w:ilvl w:val="1"/>
        <w:numId w:val="53"/>
      </w:numPr>
      <w:spacing w:before="360"/>
      <w:outlineLvl w:val="1"/>
    </w:pPr>
    <w:rPr>
      <w:rFonts w:ascii="Arial Bold" w:hAnsi="Arial Bold" w:cs="Arial"/>
      <w:b/>
      <w:bCs/>
      <w:spacing w:val="-6"/>
      <w:sz w:val="28"/>
      <w:szCs w:val="28"/>
    </w:rPr>
  </w:style>
  <w:style w:type="paragraph" w:styleId="Heading3">
    <w:name w:val="heading 3"/>
    <w:basedOn w:val="Normal"/>
    <w:next w:val="Normal"/>
    <w:link w:val="Heading3Char"/>
    <w:uiPriority w:val="9"/>
    <w:qFormat/>
    <w:rsid w:val="00A94C96"/>
    <w:pPr>
      <w:numPr>
        <w:ilvl w:val="2"/>
        <w:numId w:val="53"/>
      </w:numPr>
      <w:spacing w:before="240" w:after="240"/>
      <w:outlineLvl w:val="2"/>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X Heading 2 Char"/>
    <w:basedOn w:val="DefaultParagraphFont"/>
    <w:link w:val="Heading2"/>
    <w:rsid w:val="00540DD7"/>
    <w:rPr>
      <w:rFonts w:ascii="Arial Bold" w:eastAsia="Times New Roman" w:hAnsi="Arial Bold" w:cs="Arial"/>
      <w:b/>
      <w:bCs/>
      <w:spacing w:val="-6"/>
      <w:sz w:val="28"/>
      <w:szCs w:val="28"/>
      <w:lang w:val="en-GB"/>
    </w:rPr>
  </w:style>
  <w:style w:type="character" w:customStyle="1" w:styleId="Heading3Char">
    <w:name w:val="Heading 3 Char"/>
    <w:basedOn w:val="DefaultParagraphFont"/>
    <w:link w:val="Heading3"/>
    <w:uiPriority w:val="9"/>
    <w:rsid w:val="00A94C96"/>
    <w:rPr>
      <w:rFonts w:ascii="Arial" w:eastAsia="Times New Roman" w:hAnsi="Arial" w:cs="Times New Roman"/>
      <w:b/>
      <w:bCs/>
      <w:sz w:val="24"/>
      <w:szCs w:val="24"/>
      <w:lang w:val="en-GB"/>
    </w:rPr>
  </w:style>
  <w:style w:type="paragraph" w:styleId="ListParagraph">
    <w:name w:val="List Paragraph"/>
    <w:basedOn w:val="Normal"/>
    <w:uiPriority w:val="34"/>
    <w:qFormat/>
    <w:rsid w:val="00DF2EDC"/>
    <w:pPr>
      <w:spacing w:after="200" w:line="360" w:lineRule="auto"/>
      <w:ind w:left="720"/>
      <w:contextualSpacing/>
    </w:pPr>
    <w:rPr>
      <w:rFonts w:eastAsia="Calibri"/>
      <w:szCs w:val="22"/>
      <w:lang w:val="en-US"/>
    </w:rPr>
  </w:style>
  <w:style w:type="paragraph" w:styleId="FootnoteText">
    <w:name w:val="footnote text"/>
    <w:basedOn w:val="Normal"/>
    <w:link w:val="FootnoteTextChar"/>
    <w:uiPriority w:val="99"/>
    <w:rsid w:val="00DF2EDC"/>
    <w:pPr>
      <w:spacing w:after="200" w:line="360" w:lineRule="auto"/>
    </w:pPr>
    <w:rPr>
      <w:rFonts w:eastAsia="Calibri"/>
      <w:sz w:val="20"/>
      <w:szCs w:val="20"/>
      <w:lang w:val="en-US"/>
    </w:rPr>
  </w:style>
  <w:style w:type="character" w:customStyle="1" w:styleId="FootnoteTextChar">
    <w:name w:val="Footnote Text Char"/>
    <w:basedOn w:val="DefaultParagraphFont"/>
    <w:link w:val="FootnoteText"/>
    <w:uiPriority w:val="99"/>
    <w:rsid w:val="00DF2EDC"/>
    <w:rPr>
      <w:rFonts w:ascii="Arial" w:eastAsia="Calibri" w:hAnsi="Arial" w:cs="Times New Roman"/>
      <w:sz w:val="20"/>
      <w:szCs w:val="20"/>
    </w:rPr>
  </w:style>
  <w:style w:type="character" w:styleId="FootnoteReference">
    <w:name w:val="footnote reference"/>
    <w:basedOn w:val="DefaultParagraphFont"/>
    <w:uiPriority w:val="99"/>
    <w:semiHidden/>
    <w:rsid w:val="00DF2EDC"/>
    <w:rPr>
      <w:rFonts w:cs="Times New Roman"/>
      <w:vertAlign w:val="superscript"/>
    </w:rPr>
  </w:style>
  <w:style w:type="paragraph" w:styleId="NoSpacing">
    <w:name w:val="No Spacing"/>
    <w:link w:val="NoSpacingChar"/>
    <w:qFormat/>
    <w:rsid w:val="00DF2EDC"/>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DF2EDC"/>
    <w:rPr>
      <w:rFonts w:ascii="Tahoma" w:hAnsi="Tahoma" w:cs="Tahoma"/>
      <w:sz w:val="16"/>
      <w:szCs w:val="16"/>
    </w:rPr>
  </w:style>
  <w:style w:type="character" w:customStyle="1" w:styleId="BalloonTextChar">
    <w:name w:val="Balloon Text Char"/>
    <w:basedOn w:val="DefaultParagraphFont"/>
    <w:link w:val="BalloonText"/>
    <w:uiPriority w:val="99"/>
    <w:semiHidden/>
    <w:rsid w:val="00DF2EDC"/>
    <w:rPr>
      <w:rFonts w:ascii="Tahoma" w:eastAsia="Times New Roman" w:hAnsi="Tahoma" w:cs="Tahoma"/>
      <w:sz w:val="16"/>
      <w:szCs w:val="16"/>
      <w:lang w:val="en-GB"/>
    </w:rPr>
  </w:style>
  <w:style w:type="paragraph" w:styleId="Header">
    <w:name w:val="header"/>
    <w:basedOn w:val="Normal"/>
    <w:link w:val="HeaderChar"/>
    <w:uiPriority w:val="99"/>
    <w:unhideWhenUsed/>
    <w:rsid w:val="000A3935"/>
    <w:pPr>
      <w:tabs>
        <w:tab w:val="center" w:pos="4513"/>
        <w:tab w:val="right" w:pos="9026"/>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0A3935"/>
    <w:rPr>
      <w:lang w:val="en-GB"/>
    </w:rPr>
  </w:style>
  <w:style w:type="paragraph" w:styleId="Caption">
    <w:name w:val="caption"/>
    <w:aliases w:val="Caption Char1 Char,Caption Char Char Char,Caption Char1 Char Char Char,Caption Char Char Char Char Char,Caption Char Char1 Char,Caption Char1 Char1,Caption Char Char Char1,Caption Char1,Caption Char Char,Caption Char1 Char Char"/>
    <w:basedOn w:val="Normal"/>
    <w:next w:val="Normal"/>
    <w:link w:val="CaptionChar"/>
    <w:autoRedefine/>
    <w:unhideWhenUsed/>
    <w:qFormat/>
    <w:rsid w:val="00CF1919"/>
    <w:pPr>
      <w:spacing w:after="0" w:line="276" w:lineRule="auto"/>
    </w:pPr>
    <w:rPr>
      <w:b/>
      <w:iCs/>
      <w:szCs w:val="22"/>
    </w:rPr>
  </w:style>
  <w:style w:type="paragraph" w:styleId="Footer">
    <w:name w:val="footer"/>
    <w:basedOn w:val="Normal"/>
    <w:link w:val="FooterChar"/>
    <w:uiPriority w:val="99"/>
    <w:rsid w:val="002A0C94"/>
    <w:pPr>
      <w:tabs>
        <w:tab w:val="center" w:pos="4320"/>
        <w:tab w:val="right" w:pos="8640"/>
      </w:tabs>
    </w:pPr>
  </w:style>
  <w:style w:type="character" w:customStyle="1" w:styleId="FooterChar">
    <w:name w:val="Footer Char"/>
    <w:basedOn w:val="DefaultParagraphFont"/>
    <w:link w:val="Footer"/>
    <w:uiPriority w:val="99"/>
    <w:rsid w:val="002A0C94"/>
    <w:rPr>
      <w:rFonts w:ascii="Times New Roman" w:eastAsia="Times New Roman" w:hAnsi="Times New Roman" w:cs="Times New Roman"/>
      <w:sz w:val="24"/>
      <w:szCs w:val="24"/>
      <w:lang w:val="en-GB"/>
    </w:rPr>
  </w:style>
  <w:style w:type="character" w:styleId="PageNumber">
    <w:name w:val="page number"/>
    <w:basedOn w:val="DefaultParagraphFont"/>
    <w:rsid w:val="002A0C94"/>
  </w:style>
  <w:style w:type="table" w:styleId="TableGrid">
    <w:name w:val="Table Grid"/>
    <w:basedOn w:val="TableNormal"/>
    <w:uiPriority w:val="39"/>
    <w:rsid w:val="006A2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semiHidden/>
    <w:rsid w:val="00C00084"/>
  </w:style>
  <w:style w:type="character" w:customStyle="1" w:styleId="BodyTextChar">
    <w:name w:val="Body Text Char"/>
    <w:basedOn w:val="DefaultParagraphFont"/>
    <w:link w:val="BodyText"/>
    <w:semiHidden/>
    <w:rsid w:val="00C00084"/>
    <w:rPr>
      <w:rFonts w:ascii="Arial" w:eastAsia="Times New Roman" w:hAnsi="Arial" w:cs="Times New Roman"/>
      <w:szCs w:val="24"/>
      <w:lang w:val="en-GB"/>
    </w:rPr>
  </w:style>
  <w:style w:type="character" w:styleId="CommentReference">
    <w:name w:val="annotation reference"/>
    <w:basedOn w:val="DefaultParagraphFont"/>
    <w:uiPriority w:val="99"/>
    <w:semiHidden/>
    <w:unhideWhenUsed/>
    <w:rsid w:val="008F49CC"/>
    <w:rPr>
      <w:sz w:val="16"/>
      <w:szCs w:val="16"/>
    </w:rPr>
  </w:style>
  <w:style w:type="paragraph" w:styleId="CommentText">
    <w:name w:val="annotation text"/>
    <w:basedOn w:val="Normal"/>
    <w:link w:val="CommentTextChar"/>
    <w:uiPriority w:val="99"/>
    <w:semiHidden/>
    <w:unhideWhenUsed/>
    <w:rsid w:val="008F49CC"/>
    <w:rPr>
      <w:sz w:val="20"/>
      <w:szCs w:val="20"/>
    </w:rPr>
  </w:style>
  <w:style w:type="character" w:customStyle="1" w:styleId="CommentTextChar">
    <w:name w:val="Comment Text Char"/>
    <w:basedOn w:val="DefaultParagraphFont"/>
    <w:link w:val="CommentText"/>
    <w:uiPriority w:val="99"/>
    <w:semiHidden/>
    <w:rsid w:val="008F49CC"/>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F49CC"/>
    <w:rPr>
      <w:b/>
      <w:bCs/>
    </w:rPr>
  </w:style>
  <w:style w:type="character" w:customStyle="1" w:styleId="CommentSubjectChar">
    <w:name w:val="Comment Subject Char"/>
    <w:basedOn w:val="CommentTextChar"/>
    <w:link w:val="CommentSubject"/>
    <w:uiPriority w:val="99"/>
    <w:semiHidden/>
    <w:rsid w:val="008F49CC"/>
    <w:rPr>
      <w:rFonts w:ascii="Times New Roman" w:eastAsia="Times New Roman" w:hAnsi="Times New Roman" w:cs="Times New Roman"/>
      <w:b/>
      <w:bCs/>
      <w:sz w:val="20"/>
      <w:szCs w:val="20"/>
      <w:lang w:val="en-GB"/>
    </w:rPr>
  </w:style>
  <w:style w:type="paragraph" w:styleId="TOC1">
    <w:name w:val="toc 1"/>
    <w:basedOn w:val="Normal"/>
    <w:next w:val="Normal"/>
    <w:autoRedefine/>
    <w:uiPriority w:val="39"/>
    <w:unhideWhenUsed/>
    <w:rsid w:val="002D3192"/>
    <w:pPr>
      <w:spacing w:before="120" w:after="0"/>
      <w:jc w:val="left"/>
    </w:pPr>
    <w:rPr>
      <w:rFonts w:asciiTheme="minorHAnsi" w:hAnsiTheme="minorHAnsi"/>
      <w:b/>
      <w:caps/>
      <w:szCs w:val="22"/>
    </w:rPr>
  </w:style>
  <w:style w:type="paragraph" w:styleId="TOC2">
    <w:name w:val="toc 2"/>
    <w:basedOn w:val="Normal"/>
    <w:next w:val="Normal"/>
    <w:autoRedefine/>
    <w:uiPriority w:val="39"/>
    <w:unhideWhenUsed/>
    <w:rsid w:val="00040AB7"/>
    <w:pPr>
      <w:spacing w:after="0"/>
      <w:ind w:left="220"/>
      <w:jc w:val="left"/>
    </w:pPr>
    <w:rPr>
      <w:rFonts w:asciiTheme="minorHAnsi" w:hAnsiTheme="minorHAnsi"/>
      <w:smallCaps/>
      <w:szCs w:val="22"/>
    </w:rPr>
  </w:style>
  <w:style w:type="paragraph" w:styleId="TOC3">
    <w:name w:val="toc 3"/>
    <w:basedOn w:val="Normal"/>
    <w:next w:val="Normal"/>
    <w:autoRedefine/>
    <w:uiPriority w:val="39"/>
    <w:unhideWhenUsed/>
    <w:rsid w:val="002D3192"/>
    <w:pPr>
      <w:spacing w:after="0"/>
      <w:ind w:left="440"/>
      <w:jc w:val="left"/>
    </w:pPr>
    <w:rPr>
      <w:rFonts w:asciiTheme="minorHAnsi" w:hAnsiTheme="minorHAnsi"/>
      <w:i/>
      <w:szCs w:val="22"/>
    </w:rPr>
  </w:style>
  <w:style w:type="paragraph" w:styleId="TOC4">
    <w:name w:val="toc 4"/>
    <w:basedOn w:val="Normal"/>
    <w:next w:val="Normal"/>
    <w:autoRedefine/>
    <w:uiPriority w:val="39"/>
    <w:unhideWhenUsed/>
    <w:rsid w:val="002D3192"/>
    <w:pPr>
      <w:spacing w:after="0"/>
      <w:ind w:left="660"/>
      <w:jc w:val="left"/>
    </w:pPr>
    <w:rPr>
      <w:rFonts w:asciiTheme="minorHAnsi" w:hAnsiTheme="minorHAnsi"/>
      <w:sz w:val="18"/>
      <w:szCs w:val="18"/>
    </w:rPr>
  </w:style>
  <w:style w:type="paragraph" w:styleId="TOC5">
    <w:name w:val="toc 5"/>
    <w:basedOn w:val="Normal"/>
    <w:next w:val="Normal"/>
    <w:autoRedefine/>
    <w:uiPriority w:val="39"/>
    <w:unhideWhenUsed/>
    <w:rsid w:val="002D3192"/>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2D3192"/>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2D3192"/>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2D3192"/>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2D3192"/>
    <w:pPr>
      <w:spacing w:after="0"/>
      <w:ind w:left="1760"/>
      <w:jc w:val="left"/>
    </w:pPr>
    <w:rPr>
      <w:rFonts w:asciiTheme="minorHAnsi" w:hAnsiTheme="minorHAnsi"/>
      <w:sz w:val="18"/>
      <w:szCs w:val="18"/>
    </w:rPr>
  </w:style>
  <w:style w:type="paragraph" w:styleId="NormalWeb">
    <w:name w:val="Normal (Web)"/>
    <w:basedOn w:val="Normal"/>
    <w:uiPriority w:val="99"/>
    <w:unhideWhenUsed/>
    <w:rsid w:val="002C75F1"/>
    <w:pPr>
      <w:spacing w:before="100" w:beforeAutospacing="1" w:after="100" w:afterAutospacing="1"/>
    </w:pPr>
    <w:rPr>
      <w:rFonts w:ascii="Times" w:eastAsiaTheme="minorEastAsia" w:hAnsi="Times"/>
      <w:sz w:val="20"/>
      <w:szCs w:val="20"/>
      <w:lang w:val="en-US"/>
    </w:rPr>
  </w:style>
  <w:style w:type="paragraph" w:customStyle="1" w:styleId="Default">
    <w:name w:val="Default"/>
    <w:rsid w:val="00E11477"/>
    <w:pPr>
      <w:autoSpaceDE w:val="0"/>
      <w:autoSpaceDN w:val="0"/>
      <w:adjustRightInd w:val="0"/>
      <w:spacing w:after="0" w:line="240" w:lineRule="auto"/>
    </w:pPr>
    <w:rPr>
      <w:rFonts w:ascii="Times New Roman" w:hAnsi="Times New Roman" w:cs="Times New Roman"/>
      <w:color w:val="000000"/>
      <w:sz w:val="24"/>
      <w:szCs w:val="24"/>
    </w:rPr>
  </w:style>
  <w:style w:type="table" w:styleId="LightGrid-Accent3">
    <w:name w:val="Light Grid Accent 3"/>
    <w:basedOn w:val="TableNormal"/>
    <w:uiPriority w:val="62"/>
    <w:rsid w:val="0025137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1Char">
    <w:name w:val="Heading 1 Char"/>
    <w:basedOn w:val="DefaultParagraphFont"/>
    <w:link w:val="Heading1"/>
    <w:uiPriority w:val="9"/>
    <w:rsid w:val="00A94C96"/>
    <w:rPr>
      <w:rFonts w:ascii="Arial Bold" w:eastAsiaTheme="majorEastAsia" w:hAnsi="Arial Bold" w:cstheme="majorBidi"/>
      <w:b/>
      <w:bCs/>
      <w:smallCaps/>
      <w:color w:val="000000" w:themeColor="text1"/>
      <w:sz w:val="36"/>
      <w:szCs w:val="36"/>
      <w:lang w:val="en-GB"/>
    </w:rPr>
  </w:style>
  <w:style w:type="character" w:customStyle="1" w:styleId="apple-converted-space">
    <w:name w:val="apple-converted-space"/>
    <w:basedOn w:val="DefaultParagraphFont"/>
    <w:rsid w:val="00100CFD"/>
  </w:style>
  <w:style w:type="character" w:styleId="Strong">
    <w:name w:val="Strong"/>
    <w:basedOn w:val="DefaultParagraphFont"/>
    <w:uiPriority w:val="22"/>
    <w:qFormat/>
    <w:rsid w:val="00100CFD"/>
    <w:rPr>
      <w:b/>
      <w:bCs/>
    </w:rPr>
  </w:style>
  <w:style w:type="character" w:styleId="Hyperlink">
    <w:name w:val="Hyperlink"/>
    <w:basedOn w:val="DefaultParagraphFont"/>
    <w:uiPriority w:val="99"/>
    <w:unhideWhenUsed/>
    <w:rsid w:val="00100CFD"/>
    <w:rPr>
      <w:color w:val="0000FF"/>
      <w:u w:val="single"/>
    </w:rPr>
  </w:style>
  <w:style w:type="table" w:styleId="LightGrid">
    <w:name w:val="Light Grid"/>
    <w:basedOn w:val="TableNormal"/>
    <w:uiPriority w:val="62"/>
    <w:rsid w:val="00100CF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NoSpacingChar">
    <w:name w:val="No Spacing Char"/>
    <w:basedOn w:val="DefaultParagraphFont"/>
    <w:link w:val="NoSpacing"/>
    <w:rsid w:val="00100CFD"/>
    <w:rPr>
      <w:rFonts w:ascii="Calibri" w:eastAsia="Calibri" w:hAnsi="Calibri" w:cs="Times New Roman"/>
    </w:rPr>
  </w:style>
  <w:style w:type="paragraph" w:customStyle="1" w:styleId="meta">
    <w:name w:val="meta"/>
    <w:basedOn w:val="Normal"/>
    <w:rsid w:val="00100CFD"/>
    <w:pPr>
      <w:spacing w:before="100" w:beforeAutospacing="1" w:after="100" w:afterAutospacing="1"/>
    </w:pPr>
    <w:rPr>
      <w:lang w:eastAsia="en-GB"/>
    </w:rPr>
  </w:style>
  <w:style w:type="paragraph" w:styleId="TableofFigures">
    <w:name w:val="table of figures"/>
    <w:basedOn w:val="Normal"/>
    <w:next w:val="Normal"/>
    <w:uiPriority w:val="99"/>
    <w:unhideWhenUsed/>
    <w:rsid w:val="006E5C14"/>
    <w:pPr>
      <w:ind w:left="480" w:hanging="480"/>
    </w:pPr>
    <w:rPr>
      <w:rFonts w:asciiTheme="minorHAnsi" w:hAnsiTheme="minorHAnsi"/>
      <w:smallCaps/>
      <w:sz w:val="20"/>
      <w:szCs w:val="20"/>
    </w:rPr>
  </w:style>
  <w:style w:type="character" w:customStyle="1" w:styleId="CaptionChar">
    <w:name w:val="Caption Char"/>
    <w:aliases w:val="Caption Char1 Char Char1,Caption Char Char Char Char,Caption Char1 Char Char Char Char,Caption Char Char Char Char Char Char,Caption Char Char1 Char Char,Caption Char1 Char1 Char,Caption Char Char Char1 Char,Caption Char1 Char2"/>
    <w:link w:val="Caption"/>
    <w:uiPriority w:val="35"/>
    <w:rsid w:val="00CF1919"/>
    <w:rPr>
      <w:rFonts w:ascii="Arial" w:eastAsia="Times New Roman" w:hAnsi="Arial" w:cs="Times New Roman"/>
      <w:b/>
      <w:iCs/>
      <w:lang w:val="en-GB"/>
    </w:rPr>
  </w:style>
  <w:style w:type="paragraph" w:customStyle="1" w:styleId="body1">
    <w:name w:val="body1"/>
    <w:basedOn w:val="BodyText"/>
    <w:link w:val="body1Char"/>
    <w:uiPriority w:val="99"/>
    <w:rsid w:val="007569FE"/>
    <w:pPr>
      <w:spacing w:before="120" w:line="264" w:lineRule="auto"/>
      <w:ind w:left="578"/>
    </w:pPr>
    <w:rPr>
      <w:rFonts w:ascii="Calibri" w:eastAsia="Arial Unicode MS" w:hAnsi="Calibri" w:cs="Arial Unicode MS"/>
      <w:szCs w:val="20"/>
      <w:lang w:val="en-ZA"/>
    </w:rPr>
  </w:style>
  <w:style w:type="character" w:customStyle="1" w:styleId="body1Char">
    <w:name w:val="body1 Char"/>
    <w:link w:val="body1"/>
    <w:uiPriority w:val="99"/>
    <w:rsid w:val="007569FE"/>
    <w:rPr>
      <w:rFonts w:ascii="Calibri" w:eastAsia="Arial Unicode MS" w:hAnsi="Calibri" w:cs="Arial Unicode MS"/>
      <w:szCs w:val="20"/>
      <w:lang w:val="en-ZA"/>
    </w:rPr>
  </w:style>
  <w:style w:type="numbering" w:styleId="111111">
    <w:name w:val="Outline List 2"/>
    <w:basedOn w:val="NoList"/>
    <w:uiPriority w:val="99"/>
    <w:semiHidden/>
    <w:unhideWhenUsed/>
    <w:rsid w:val="00B86077"/>
    <w:pPr>
      <w:numPr>
        <w:numId w:val="52"/>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E7D"/>
    <w:pPr>
      <w:spacing w:after="120" w:line="240" w:lineRule="auto"/>
      <w:jc w:val="both"/>
    </w:pPr>
    <w:rPr>
      <w:rFonts w:ascii="Arial" w:eastAsia="Times New Roman" w:hAnsi="Arial" w:cs="Times New Roman"/>
      <w:szCs w:val="24"/>
      <w:lang w:val="en-GB"/>
    </w:rPr>
  </w:style>
  <w:style w:type="paragraph" w:styleId="Heading1">
    <w:name w:val="heading 1"/>
    <w:basedOn w:val="Normal"/>
    <w:next w:val="Normal"/>
    <w:link w:val="Heading1Char"/>
    <w:uiPriority w:val="9"/>
    <w:qFormat/>
    <w:rsid w:val="00A94C96"/>
    <w:pPr>
      <w:keepNext/>
      <w:keepLines/>
      <w:numPr>
        <w:numId w:val="53"/>
      </w:numPr>
      <w:spacing w:before="480"/>
      <w:outlineLvl w:val="0"/>
    </w:pPr>
    <w:rPr>
      <w:rFonts w:ascii="Arial Bold" w:eastAsiaTheme="majorEastAsia" w:hAnsi="Arial Bold" w:cstheme="majorBidi"/>
      <w:b/>
      <w:bCs/>
      <w:smallCaps/>
      <w:color w:val="000000" w:themeColor="text1"/>
      <w:sz w:val="36"/>
      <w:szCs w:val="36"/>
    </w:rPr>
  </w:style>
  <w:style w:type="paragraph" w:styleId="Heading2">
    <w:name w:val="heading 2"/>
    <w:aliases w:val="X Heading 2"/>
    <w:basedOn w:val="Normal"/>
    <w:next w:val="Normal"/>
    <w:link w:val="Heading2Char"/>
    <w:autoRedefine/>
    <w:qFormat/>
    <w:rsid w:val="00540DD7"/>
    <w:pPr>
      <w:keepNext/>
      <w:numPr>
        <w:ilvl w:val="1"/>
        <w:numId w:val="53"/>
      </w:numPr>
      <w:spacing w:before="360"/>
      <w:outlineLvl w:val="1"/>
    </w:pPr>
    <w:rPr>
      <w:rFonts w:ascii="Arial Bold" w:hAnsi="Arial Bold" w:cs="Arial"/>
      <w:b/>
      <w:bCs/>
      <w:spacing w:val="-6"/>
      <w:sz w:val="28"/>
      <w:szCs w:val="28"/>
    </w:rPr>
  </w:style>
  <w:style w:type="paragraph" w:styleId="Heading3">
    <w:name w:val="heading 3"/>
    <w:basedOn w:val="Normal"/>
    <w:next w:val="Normal"/>
    <w:link w:val="Heading3Char"/>
    <w:uiPriority w:val="9"/>
    <w:qFormat/>
    <w:rsid w:val="00A94C96"/>
    <w:pPr>
      <w:numPr>
        <w:ilvl w:val="2"/>
        <w:numId w:val="53"/>
      </w:numPr>
      <w:spacing w:before="240" w:after="240"/>
      <w:outlineLvl w:val="2"/>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X Heading 2 Char"/>
    <w:basedOn w:val="DefaultParagraphFont"/>
    <w:link w:val="Heading2"/>
    <w:rsid w:val="00540DD7"/>
    <w:rPr>
      <w:rFonts w:ascii="Arial Bold" w:eastAsia="Times New Roman" w:hAnsi="Arial Bold" w:cs="Arial"/>
      <w:b/>
      <w:bCs/>
      <w:spacing w:val="-6"/>
      <w:sz w:val="28"/>
      <w:szCs w:val="28"/>
      <w:lang w:val="en-GB"/>
    </w:rPr>
  </w:style>
  <w:style w:type="character" w:customStyle="1" w:styleId="Heading3Char">
    <w:name w:val="Heading 3 Char"/>
    <w:basedOn w:val="DefaultParagraphFont"/>
    <w:link w:val="Heading3"/>
    <w:uiPriority w:val="9"/>
    <w:rsid w:val="00A94C96"/>
    <w:rPr>
      <w:rFonts w:ascii="Arial" w:eastAsia="Times New Roman" w:hAnsi="Arial" w:cs="Times New Roman"/>
      <w:b/>
      <w:bCs/>
      <w:sz w:val="24"/>
      <w:szCs w:val="24"/>
      <w:lang w:val="en-GB"/>
    </w:rPr>
  </w:style>
  <w:style w:type="paragraph" w:styleId="ListParagraph">
    <w:name w:val="List Paragraph"/>
    <w:basedOn w:val="Normal"/>
    <w:uiPriority w:val="34"/>
    <w:qFormat/>
    <w:rsid w:val="00DF2EDC"/>
    <w:pPr>
      <w:spacing w:after="200" w:line="360" w:lineRule="auto"/>
      <w:ind w:left="720"/>
      <w:contextualSpacing/>
    </w:pPr>
    <w:rPr>
      <w:rFonts w:eastAsia="Calibri"/>
      <w:szCs w:val="22"/>
      <w:lang w:val="en-US"/>
    </w:rPr>
  </w:style>
  <w:style w:type="paragraph" w:styleId="FootnoteText">
    <w:name w:val="footnote text"/>
    <w:basedOn w:val="Normal"/>
    <w:link w:val="FootnoteTextChar"/>
    <w:uiPriority w:val="99"/>
    <w:rsid w:val="00DF2EDC"/>
    <w:pPr>
      <w:spacing w:after="200" w:line="360" w:lineRule="auto"/>
    </w:pPr>
    <w:rPr>
      <w:rFonts w:eastAsia="Calibri"/>
      <w:sz w:val="20"/>
      <w:szCs w:val="20"/>
      <w:lang w:val="en-US"/>
    </w:rPr>
  </w:style>
  <w:style w:type="character" w:customStyle="1" w:styleId="FootnoteTextChar">
    <w:name w:val="Footnote Text Char"/>
    <w:basedOn w:val="DefaultParagraphFont"/>
    <w:link w:val="FootnoteText"/>
    <w:uiPriority w:val="99"/>
    <w:rsid w:val="00DF2EDC"/>
    <w:rPr>
      <w:rFonts w:ascii="Arial" w:eastAsia="Calibri" w:hAnsi="Arial" w:cs="Times New Roman"/>
      <w:sz w:val="20"/>
      <w:szCs w:val="20"/>
    </w:rPr>
  </w:style>
  <w:style w:type="character" w:styleId="FootnoteReference">
    <w:name w:val="footnote reference"/>
    <w:basedOn w:val="DefaultParagraphFont"/>
    <w:uiPriority w:val="99"/>
    <w:semiHidden/>
    <w:rsid w:val="00DF2EDC"/>
    <w:rPr>
      <w:rFonts w:cs="Times New Roman"/>
      <w:vertAlign w:val="superscript"/>
    </w:rPr>
  </w:style>
  <w:style w:type="paragraph" w:styleId="NoSpacing">
    <w:name w:val="No Spacing"/>
    <w:link w:val="NoSpacingChar"/>
    <w:qFormat/>
    <w:rsid w:val="00DF2EDC"/>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DF2EDC"/>
    <w:rPr>
      <w:rFonts w:ascii="Tahoma" w:hAnsi="Tahoma" w:cs="Tahoma"/>
      <w:sz w:val="16"/>
      <w:szCs w:val="16"/>
    </w:rPr>
  </w:style>
  <w:style w:type="character" w:customStyle="1" w:styleId="BalloonTextChar">
    <w:name w:val="Balloon Text Char"/>
    <w:basedOn w:val="DefaultParagraphFont"/>
    <w:link w:val="BalloonText"/>
    <w:uiPriority w:val="99"/>
    <w:semiHidden/>
    <w:rsid w:val="00DF2EDC"/>
    <w:rPr>
      <w:rFonts w:ascii="Tahoma" w:eastAsia="Times New Roman" w:hAnsi="Tahoma" w:cs="Tahoma"/>
      <w:sz w:val="16"/>
      <w:szCs w:val="16"/>
      <w:lang w:val="en-GB"/>
    </w:rPr>
  </w:style>
  <w:style w:type="paragraph" w:styleId="Header">
    <w:name w:val="header"/>
    <w:basedOn w:val="Normal"/>
    <w:link w:val="HeaderChar"/>
    <w:uiPriority w:val="99"/>
    <w:unhideWhenUsed/>
    <w:rsid w:val="000A3935"/>
    <w:pPr>
      <w:tabs>
        <w:tab w:val="center" w:pos="4513"/>
        <w:tab w:val="right" w:pos="9026"/>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0A3935"/>
    <w:rPr>
      <w:lang w:val="en-GB"/>
    </w:rPr>
  </w:style>
  <w:style w:type="paragraph" w:styleId="Caption">
    <w:name w:val="caption"/>
    <w:aliases w:val="Caption Char1 Char,Caption Char Char Char,Caption Char1 Char Char Char,Caption Char Char Char Char Char,Caption Char Char1 Char,Caption Char1 Char1,Caption Char Char Char1,Caption Char1,Caption Char Char,Caption Char1 Char Char"/>
    <w:basedOn w:val="Normal"/>
    <w:next w:val="Normal"/>
    <w:link w:val="CaptionChar"/>
    <w:autoRedefine/>
    <w:unhideWhenUsed/>
    <w:qFormat/>
    <w:rsid w:val="00CF1919"/>
    <w:pPr>
      <w:spacing w:after="0" w:line="276" w:lineRule="auto"/>
    </w:pPr>
    <w:rPr>
      <w:b/>
      <w:iCs/>
      <w:szCs w:val="22"/>
    </w:rPr>
  </w:style>
  <w:style w:type="paragraph" w:styleId="Footer">
    <w:name w:val="footer"/>
    <w:basedOn w:val="Normal"/>
    <w:link w:val="FooterChar"/>
    <w:uiPriority w:val="99"/>
    <w:rsid w:val="002A0C94"/>
    <w:pPr>
      <w:tabs>
        <w:tab w:val="center" w:pos="4320"/>
        <w:tab w:val="right" w:pos="8640"/>
      </w:tabs>
    </w:pPr>
  </w:style>
  <w:style w:type="character" w:customStyle="1" w:styleId="FooterChar">
    <w:name w:val="Footer Char"/>
    <w:basedOn w:val="DefaultParagraphFont"/>
    <w:link w:val="Footer"/>
    <w:uiPriority w:val="99"/>
    <w:rsid w:val="002A0C94"/>
    <w:rPr>
      <w:rFonts w:ascii="Times New Roman" w:eastAsia="Times New Roman" w:hAnsi="Times New Roman" w:cs="Times New Roman"/>
      <w:sz w:val="24"/>
      <w:szCs w:val="24"/>
      <w:lang w:val="en-GB"/>
    </w:rPr>
  </w:style>
  <w:style w:type="character" w:styleId="PageNumber">
    <w:name w:val="page number"/>
    <w:basedOn w:val="DefaultParagraphFont"/>
    <w:rsid w:val="002A0C94"/>
  </w:style>
  <w:style w:type="table" w:styleId="TableGrid">
    <w:name w:val="Table Grid"/>
    <w:basedOn w:val="TableNormal"/>
    <w:uiPriority w:val="39"/>
    <w:rsid w:val="006A2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semiHidden/>
    <w:rsid w:val="00C00084"/>
  </w:style>
  <w:style w:type="character" w:customStyle="1" w:styleId="BodyTextChar">
    <w:name w:val="Body Text Char"/>
    <w:basedOn w:val="DefaultParagraphFont"/>
    <w:link w:val="BodyText"/>
    <w:semiHidden/>
    <w:rsid w:val="00C00084"/>
    <w:rPr>
      <w:rFonts w:ascii="Arial" w:eastAsia="Times New Roman" w:hAnsi="Arial" w:cs="Times New Roman"/>
      <w:szCs w:val="24"/>
      <w:lang w:val="en-GB"/>
    </w:rPr>
  </w:style>
  <w:style w:type="character" w:styleId="CommentReference">
    <w:name w:val="annotation reference"/>
    <w:basedOn w:val="DefaultParagraphFont"/>
    <w:uiPriority w:val="99"/>
    <w:semiHidden/>
    <w:unhideWhenUsed/>
    <w:rsid w:val="008F49CC"/>
    <w:rPr>
      <w:sz w:val="16"/>
      <w:szCs w:val="16"/>
    </w:rPr>
  </w:style>
  <w:style w:type="paragraph" w:styleId="CommentText">
    <w:name w:val="annotation text"/>
    <w:basedOn w:val="Normal"/>
    <w:link w:val="CommentTextChar"/>
    <w:uiPriority w:val="99"/>
    <w:semiHidden/>
    <w:unhideWhenUsed/>
    <w:rsid w:val="008F49CC"/>
    <w:rPr>
      <w:sz w:val="20"/>
      <w:szCs w:val="20"/>
    </w:rPr>
  </w:style>
  <w:style w:type="character" w:customStyle="1" w:styleId="CommentTextChar">
    <w:name w:val="Comment Text Char"/>
    <w:basedOn w:val="DefaultParagraphFont"/>
    <w:link w:val="CommentText"/>
    <w:uiPriority w:val="99"/>
    <w:semiHidden/>
    <w:rsid w:val="008F49CC"/>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F49CC"/>
    <w:rPr>
      <w:b/>
      <w:bCs/>
    </w:rPr>
  </w:style>
  <w:style w:type="character" w:customStyle="1" w:styleId="CommentSubjectChar">
    <w:name w:val="Comment Subject Char"/>
    <w:basedOn w:val="CommentTextChar"/>
    <w:link w:val="CommentSubject"/>
    <w:uiPriority w:val="99"/>
    <w:semiHidden/>
    <w:rsid w:val="008F49CC"/>
    <w:rPr>
      <w:rFonts w:ascii="Times New Roman" w:eastAsia="Times New Roman" w:hAnsi="Times New Roman" w:cs="Times New Roman"/>
      <w:b/>
      <w:bCs/>
      <w:sz w:val="20"/>
      <w:szCs w:val="20"/>
      <w:lang w:val="en-GB"/>
    </w:rPr>
  </w:style>
  <w:style w:type="paragraph" w:styleId="TOC1">
    <w:name w:val="toc 1"/>
    <w:basedOn w:val="Normal"/>
    <w:next w:val="Normal"/>
    <w:autoRedefine/>
    <w:uiPriority w:val="39"/>
    <w:unhideWhenUsed/>
    <w:rsid w:val="002D3192"/>
    <w:pPr>
      <w:spacing w:before="120" w:after="0"/>
      <w:jc w:val="left"/>
    </w:pPr>
    <w:rPr>
      <w:rFonts w:asciiTheme="minorHAnsi" w:hAnsiTheme="minorHAnsi"/>
      <w:b/>
      <w:caps/>
      <w:szCs w:val="22"/>
    </w:rPr>
  </w:style>
  <w:style w:type="paragraph" w:styleId="TOC2">
    <w:name w:val="toc 2"/>
    <w:basedOn w:val="Normal"/>
    <w:next w:val="Normal"/>
    <w:autoRedefine/>
    <w:uiPriority w:val="39"/>
    <w:unhideWhenUsed/>
    <w:rsid w:val="00040AB7"/>
    <w:pPr>
      <w:spacing w:after="0"/>
      <w:ind w:left="220"/>
      <w:jc w:val="left"/>
    </w:pPr>
    <w:rPr>
      <w:rFonts w:asciiTheme="minorHAnsi" w:hAnsiTheme="minorHAnsi"/>
      <w:smallCaps/>
      <w:szCs w:val="22"/>
    </w:rPr>
  </w:style>
  <w:style w:type="paragraph" w:styleId="TOC3">
    <w:name w:val="toc 3"/>
    <w:basedOn w:val="Normal"/>
    <w:next w:val="Normal"/>
    <w:autoRedefine/>
    <w:uiPriority w:val="39"/>
    <w:unhideWhenUsed/>
    <w:rsid w:val="002D3192"/>
    <w:pPr>
      <w:spacing w:after="0"/>
      <w:ind w:left="440"/>
      <w:jc w:val="left"/>
    </w:pPr>
    <w:rPr>
      <w:rFonts w:asciiTheme="minorHAnsi" w:hAnsiTheme="minorHAnsi"/>
      <w:i/>
      <w:szCs w:val="22"/>
    </w:rPr>
  </w:style>
  <w:style w:type="paragraph" w:styleId="TOC4">
    <w:name w:val="toc 4"/>
    <w:basedOn w:val="Normal"/>
    <w:next w:val="Normal"/>
    <w:autoRedefine/>
    <w:uiPriority w:val="39"/>
    <w:unhideWhenUsed/>
    <w:rsid w:val="002D3192"/>
    <w:pPr>
      <w:spacing w:after="0"/>
      <w:ind w:left="660"/>
      <w:jc w:val="left"/>
    </w:pPr>
    <w:rPr>
      <w:rFonts w:asciiTheme="minorHAnsi" w:hAnsiTheme="minorHAnsi"/>
      <w:sz w:val="18"/>
      <w:szCs w:val="18"/>
    </w:rPr>
  </w:style>
  <w:style w:type="paragraph" w:styleId="TOC5">
    <w:name w:val="toc 5"/>
    <w:basedOn w:val="Normal"/>
    <w:next w:val="Normal"/>
    <w:autoRedefine/>
    <w:uiPriority w:val="39"/>
    <w:unhideWhenUsed/>
    <w:rsid w:val="002D3192"/>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2D3192"/>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2D3192"/>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2D3192"/>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2D3192"/>
    <w:pPr>
      <w:spacing w:after="0"/>
      <w:ind w:left="1760"/>
      <w:jc w:val="left"/>
    </w:pPr>
    <w:rPr>
      <w:rFonts w:asciiTheme="minorHAnsi" w:hAnsiTheme="minorHAnsi"/>
      <w:sz w:val="18"/>
      <w:szCs w:val="18"/>
    </w:rPr>
  </w:style>
  <w:style w:type="paragraph" w:styleId="NormalWeb">
    <w:name w:val="Normal (Web)"/>
    <w:basedOn w:val="Normal"/>
    <w:uiPriority w:val="99"/>
    <w:unhideWhenUsed/>
    <w:rsid w:val="002C75F1"/>
    <w:pPr>
      <w:spacing w:before="100" w:beforeAutospacing="1" w:after="100" w:afterAutospacing="1"/>
    </w:pPr>
    <w:rPr>
      <w:rFonts w:ascii="Times" w:eastAsiaTheme="minorEastAsia" w:hAnsi="Times"/>
      <w:sz w:val="20"/>
      <w:szCs w:val="20"/>
      <w:lang w:val="en-US"/>
    </w:rPr>
  </w:style>
  <w:style w:type="paragraph" w:customStyle="1" w:styleId="Default">
    <w:name w:val="Default"/>
    <w:rsid w:val="00E11477"/>
    <w:pPr>
      <w:autoSpaceDE w:val="0"/>
      <w:autoSpaceDN w:val="0"/>
      <w:adjustRightInd w:val="0"/>
      <w:spacing w:after="0" w:line="240" w:lineRule="auto"/>
    </w:pPr>
    <w:rPr>
      <w:rFonts w:ascii="Times New Roman" w:hAnsi="Times New Roman" w:cs="Times New Roman"/>
      <w:color w:val="000000"/>
      <w:sz w:val="24"/>
      <w:szCs w:val="24"/>
    </w:rPr>
  </w:style>
  <w:style w:type="table" w:styleId="LightGrid-Accent3">
    <w:name w:val="Light Grid Accent 3"/>
    <w:basedOn w:val="TableNormal"/>
    <w:uiPriority w:val="62"/>
    <w:rsid w:val="0025137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1Char">
    <w:name w:val="Heading 1 Char"/>
    <w:basedOn w:val="DefaultParagraphFont"/>
    <w:link w:val="Heading1"/>
    <w:uiPriority w:val="9"/>
    <w:rsid w:val="00A94C96"/>
    <w:rPr>
      <w:rFonts w:ascii="Arial Bold" w:eastAsiaTheme="majorEastAsia" w:hAnsi="Arial Bold" w:cstheme="majorBidi"/>
      <w:b/>
      <w:bCs/>
      <w:smallCaps/>
      <w:color w:val="000000" w:themeColor="text1"/>
      <w:sz w:val="36"/>
      <w:szCs w:val="36"/>
      <w:lang w:val="en-GB"/>
    </w:rPr>
  </w:style>
  <w:style w:type="character" w:customStyle="1" w:styleId="apple-converted-space">
    <w:name w:val="apple-converted-space"/>
    <w:basedOn w:val="DefaultParagraphFont"/>
    <w:rsid w:val="00100CFD"/>
  </w:style>
  <w:style w:type="character" w:styleId="Strong">
    <w:name w:val="Strong"/>
    <w:basedOn w:val="DefaultParagraphFont"/>
    <w:uiPriority w:val="22"/>
    <w:qFormat/>
    <w:rsid w:val="00100CFD"/>
    <w:rPr>
      <w:b/>
      <w:bCs/>
    </w:rPr>
  </w:style>
  <w:style w:type="character" w:styleId="Hyperlink">
    <w:name w:val="Hyperlink"/>
    <w:basedOn w:val="DefaultParagraphFont"/>
    <w:uiPriority w:val="99"/>
    <w:unhideWhenUsed/>
    <w:rsid w:val="00100CFD"/>
    <w:rPr>
      <w:color w:val="0000FF"/>
      <w:u w:val="single"/>
    </w:rPr>
  </w:style>
  <w:style w:type="table" w:styleId="LightGrid">
    <w:name w:val="Light Grid"/>
    <w:basedOn w:val="TableNormal"/>
    <w:uiPriority w:val="62"/>
    <w:rsid w:val="00100CF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NoSpacingChar">
    <w:name w:val="No Spacing Char"/>
    <w:basedOn w:val="DefaultParagraphFont"/>
    <w:link w:val="NoSpacing"/>
    <w:rsid w:val="00100CFD"/>
    <w:rPr>
      <w:rFonts w:ascii="Calibri" w:eastAsia="Calibri" w:hAnsi="Calibri" w:cs="Times New Roman"/>
    </w:rPr>
  </w:style>
  <w:style w:type="paragraph" w:customStyle="1" w:styleId="meta">
    <w:name w:val="meta"/>
    <w:basedOn w:val="Normal"/>
    <w:rsid w:val="00100CFD"/>
    <w:pPr>
      <w:spacing w:before="100" w:beforeAutospacing="1" w:after="100" w:afterAutospacing="1"/>
    </w:pPr>
    <w:rPr>
      <w:lang w:eastAsia="en-GB"/>
    </w:rPr>
  </w:style>
  <w:style w:type="paragraph" w:styleId="TableofFigures">
    <w:name w:val="table of figures"/>
    <w:basedOn w:val="Normal"/>
    <w:next w:val="Normal"/>
    <w:uiPriority w:val="99"/>
    <w:unhideWhenUsed/>
    <w:rsid w:val="006E5C14"/>
    <w:pPr>
      <w:ind w:left="480" w:hanging="480"/>
    </w:pPr>
    <w:rPr>
      <w:rFonts w:asciiTheme="minorHAnsi" w:hAnsiTheme="minorHAnsi"/>
      <w:smallCaps/>
      <w:sz w:val="20"/>
      <w:szCs w:val="20"/>
    </w:rPr>
  </w:style>
  <w:style w:type="character" w:customStyle="1" w:styleId="CaptionChar">
    <w:name w:val="Caption Char"/>
    <w:aliases w:val="Caption Char1 Char Char1,Caption Char Char Char Char,Caption Char1 Char Char Char Char,Caption Char Char Char Char Char Char,Caption Char Char1 Char Char,Caption Char1 Char1 Char,Caption Char Char Char1 Char,Caption Char1 Char2"/>
    <w:link w:val="Caption"/>
    <w:uiPriority w:val="35"/>
    <w:rsid w:val="00CF1919"/>
    <w:rPr>
      <w:rFonts w:ascii="Arial" w:eastAsia="Times New Roman" w:hAnsi="Arial" w:cs="Times New Roman"/>
      <w:b/>
      <w:iCs/>
      <w:lang w:val="en-GB"/>
    </w:rPr>
  </w:style>
  <w:style w:type="paragraph" w:customStyle="1" w:styleId="body1">
    <w:name w:val="body1"/>
    <w:basedOn w:val="BodyText"/>
    <w:link w:val="body1Char"/>
    <w:uiPriority w:val="99"/>
    <w:rsid w:val="007569FE"/>
    <w:pPr>
      <w:spacing w:before="120" w:line="264" w:lineRule="auto"/>
      <w:ind w:left="578"/>
    </w:pPr>
    <w:rPr>
      <w:rFonts w:ascii="Calibri" w:eastAsia="Arial Unicode MS" w:hAnsi="Calibri" w:cs="Arial Unicode MS"/>
      <w:szCs w:val="20"/>
      <w:lang w:val="en-ZA"/>
    </w:rPr>
  </w:style>
  <w:style w:type="character" w:customStyle="1" w:styleId="body1Char">
    <w:name w:val="body1 Char"/>
    <w:link w:val="body1"/>
    <w:uiPriority w:val="99"/>
    <w:rsid w:val="007569FE"/>
    <w:rPr>
      <w:rFonts w:ascii="Calibri" w:eastAsia="Arial Unicode MS" w:hAnsi="Calibri" w:cs="Arial Unicode MS"/>
      <w:szCs w:val="20"/>
      <w:lang w:val="en-ZA"/>
    </w:rPr>
  </w:style>
  <w:style w:type="numbering" w:styleId="111111">
    <w:name w:val="Outline List 2"/>
    <w:basedOn w:val="NoList"/>
    <w:uiPriority w:val="99"/>
    <w:semiHidden/>
    <w:unhideWhenUsed/>
    <w:rsid w:val="00B86077"/>
    <w:pPr>
      <w:numPr>
        <w:numId w:val="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60782">
      <w:bodyDiv w:val="1"/>
      <w:marLeft w:val="0"/>
      <w:marRight w:val="0"/>
      <w:marTop w:val="0"/>
      <w:marBottom w:val="0"/>
      <w:divBdr>
        <w:top w:val="none" w:sz="0" w:space="0" w:color="auto"/>
        <w:left w:val="none" w:sz="0" w:space="0" w:color="auto"/>
        <w:bottom w:val="none" w:sz="0" w:space="0" w:color="auto"/>
        <w:right w:val="none" w:sz="0" w:space="0" w:color="auto"/>
      </w:divBdr>
    </w:div>
    <w:div w:id="136261034">
      <w:bodyDiv w:val="1"/>
      <w:marLeft w:val="0"/>
      <w:marRight w:val="0"/>
      <w:marTop w:val="0"/>
      <w:marBottom w:val="0"/>
      <w:divBdr>
        <w:top w:val="none" w:sz="0" w:space="0" w:color="auto"/>
        <w:left w:val="none" w:sz="0" w:space="0" w:color="auto"/>
        <w:bottom w:val="none" w:sz="0" w:space="0" w:color="auto"/>
        <w:right w:val="none" w:sz="0" w:space="0" w:color="auto"/>
      </w:divBdr>
      <w:divsChild>
        <w:div w:id="1431896925">
          <w:marLeft w:val="0"/>
          <w:marRight w:val="0"/>
          <w:marTop w:val="0"/>
          <w:marBottom w:val="0"/>
          <w:divBdr>
            <w:top w:val="none" w:sz="0" w:space="0" w:color="auto"/>
            <w:left w:val="none" w:sz="0" w:space="0" w:color="auto"/>
            <w:bottom w:val="none" w:sz="0" w:space="0" w:color="auto"/>
            <w:right w:val="none" w:sz="0" w:space="0" w:color="auto"/>
          </w:divBdr>
          <w:divsChild>
            <w:div w:id="1544559326">
              <w:marLeft w:val="0"/>
              <w:marRight w:val="0"/>
              <w:marTop w:val="600"/>
              <w:marBottom w:val="0"/>
              <w:divBdr>
                <w:top w:val="none" w:sz="0" w:space="0" w:color="auto"/>
                <w:left w:val="none" w:sz="0" w:space="0" w:color="auto"/>
                <w:bottom w:val="none" w:sz="0" w:space="0" w:color="auto"/>
                <w:right w:val="none" w:sz="0" w:space="0" w:color="auto"/>
              </w:divBdr>
              <w:divsChild>
                <w:div w:id="1061832601">
                  <w:marLeft w:val="0"/>
                  <w:marRight w:val="0"/>
                  <w:marTop w:val="0"/>
                  <w:marBottom w:val="0"/>
                  <w:divBdr>
                    <w:top w:val="none" w:sz="0" w:space="0" w:color="auto"/>
                    <w:left w:val="none" w:sz="0" w:space="0" w:color="auto"/>
                    <w:bottom w:val="none" w:sz="0" w:space="0" w:color="auto"/>
                    <w:right w:val="none" w:sz="0" w:space="0" w:color="auto"/>
                  </w:divBdr>
                  <w:divsChild>
                    <w:div w:id="1019086400">
                      <w:marLeft w:val="150"/>
                      <w:marRight w:val="150"/>
                      <w:marTop w:val="0"/>
                      <w:marBottom w:val="0"/>
                      <w:divBdr>
                        <w:top w:val="none" w:sz="0" w:space="0" w:color="auto"/>
                        <w:left w:val="none" w:sz="0" w:space="0" w:color="auto"/>
                        <w:bottom w:val="none" w:sz="0" w:space="0" w:color="auto"/>
                        <w:right w:val="none" w:sz="0" w:space="0" w:color="auto"/>
                      </w:divBdr>
                      <w:divsChild>
                        <w:div w:id="115403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41449">
      <w:bodyDiv w:val="1"/>
      <w:marLeft w:val="0"/>
      <w:marRight w:val="0"/>
      <w:marTop w:val="0"/>
      <w:marBottom w:val="0"/>
      <w:divBdr>
        <w:top w:val="none" w:sz="0" w:space="0" w:color="auto"/>
        <w:left w:val="none" w:sz="0" w:space="0" w:color="auto"/>
        <w:bottom w:val="none" w:sz="0" w:space="0" w:color="auto"/>
        <w:right w:val="none" w:sz="0" w:space="0" w:color="auto"/>
      </w:divBdr>
    </w:div>
    <w:div w:id="262887626">
      <w:bodyDiv w:val="1"/>
      <w:marLeft w:val="0"/>
      <w:marRight w:val="0"/>
      <w:marTop w:val="0"/>
      <w:marBottom w:val="0"/>
      <w:divBdr>
        <w:top w:val="none" w:sz="0" w:space="0" w:color="auto"/>
        <w:left w:val="none" w:sz="0" w:space="0" w:color="auto"/>
        <w:bottom w:val="none" w:sz="0" w:space="0" w:color="auto"/>
        <w:right w:val="none" w:sz="0" w:space="0" w:color="auto"/>
      </w:divBdr>
    </w:div>
    <w:div w:id="355887990">
      <w:bodyDiv w:val="1"/>
      <w:marLeft w:val="0"/>
      <w:marRight w:val="0"/>
      <w:marTop w:val="0"/>
      <w:marBottom w:val="0"/>
      <w:divBdr>
        <w:top w:val="none" w:sz="0" w:space="0" w:color="auto"/>
        <w:left w:val="none" w:sz="0" w:space="0" w:color="auto"/>
        <w:bottom w:val="none" w:sz="0" w:space="0" w:color="auto"/>
        <w:right w:val="none" w:sz="0" w:space="0" w:color="auto"/>
      </w:divBdr>
      <w:divsChild>
        <w:div w:id="1897400518">
          <w:marLeft w:val="806"/>
          <w:marRight w:val="0"/>
          <w:marTop w:val="120"/>
          <w:marBottom w:val="0"/>
          <w:divBdr>
            <w:top w:val="none" w:sz="0" w:space="0" w:color="auto"/>
            <w:left w:val="none" w:sz="0" w:space="0" w:color="auto"/>
            <w:bottom w:val="none" w:sz="0" w:space="0" w:color="auto"/>
            <w:right w:val="none" w:sz="0" w:space="0" w:color="auto"/>
          </w:divBdr>
        </w:div>
        <w:div w:id="1032732639">
          <w:marLeft w:val="806"/>
          <w:marRight w:val="0"/>
          <w:marTop w:val="120"/>
          <w:marBottom w:val="0"/>
          <w:divBdr>
            <w:top w:val="none" w:sz="0" w:space="0" w:color="auto"/>
            <w:left w:val="none" w:sz="0" w:space="0" w:color="auto"/>
            <w:bottom w:val="none" w:sz="0" w:space="0" w:color="auto"/>
            <w:right w:val="none" w:sz="0" w:space="0" w:color="auto"/>
          </w:divBdr>
        </w:div>
        <w:div w:id="70155243">
          <w:marLeft w:val="806"/>
          <w:marRight w:val="0"/>
          <w:marTop w:val="120"/>
          <w:marBottom w:val="0"/>
          <w:divBdr>
            <w:top w:val="none" w:sz="0" w:space="0" w:color="auto"/>
            <w:left w:val="none" w:sz="0" w:space="0" w:color="auto"/>
            <w:bottom w:val="none" w:sz="0" w:space="0" w:color="auto"/>
            <w:right w:val="none" w:sz="0" w:space="0" w:color="auto"/>
          </w:divBdr>
        </w:div>
        <w:div w:id="110049572">
          <w:marLeft w:val="806"/>
          <w:marRight w:val="0"/>
          <w:marTop w:val="120"/>
          <w:marBottom w:val="0"/>
          <w:divBdr>
            <w:top w:val="none" w:sz="0" w:space="0" w:color="auto"/>
            <w:left w:val="none" w:sz="0" w:space="0" w:color="auto"/>
            <w:bottom w:val="none" w:sz="0" w:space="0" w:color="auto"/>
            <w:right w:val="none" w:sz="0" w:space="0" w:color="auto"/>
          </w:divBdr>
        </w:div>
        <w:div w:id="1530414372">
          <w:marLeft w:val="806"/>
          <w:marRight w:val="0"/>
          <w:marTop w:val="115"/>
          <w:marBottom w:val="0"/>
          <w:divBdr>
            <w:top w:val="none" w:sz="0" w:space="0" w:color="auto"/>
            <w:left w:val="none" w:sz="0" w:space="0" w:color="auto"/>
            <w:bottom w:val="none" w:sz="0" w:space="0" w:color="auto"/>
            <w:right w:val="none" w:sz="0" w:space="0" w:color="auto"/>
          </w:divBdr>
        </w:div>
        <w:div w:id="547647907">
          <w:marLeft w:val="806"/>
          <w:marRight w:val="0"/>
          <w:marTop w:val="115"/>
          <w:marBottom w:val="0"/>
          <w:divBdr>
            <w:top w:val="none" w:sz="0" w:space="0" w:color="auto"/>
            <w:left w:val="none" w:sz="0" w:space="0" w:color="auto"/>
            <w:bottom w:val="none" w:sz="0" w:space="0" w:color="auto"/>
            <w:right w:val="none" w:sz="0" w:space="0" w:color="auto"/>
          </w:divBdr>
        </w:div>
      </w:divsChild>
    </w:div>
    <w:div w:id="576092942">
      <w:bodyDiv w:val="1"/>
      <w:marLeft w:val="0"/>
      <w:marRight w:val="0"/>
      <w:marTop w:val="0"/>
      <w:marBottom w:val="0"/>
      <w:divBdr>
        <w:top w:val="none" w:sz="0" w:space="0" w:color="auto"/>
        <w:left w:val="none" w:sz="0" w:space="0" w:color="auto"/>
        <w:bottom w:val="none" w:sz="0" w:space="0" w:color="auto"/>
        <w:right w:val="none" w:sz="0" w:space="0" w:color="auto"/>
      </w:divBdr>
    </w:div>
    <w:div w:id="663170234">
      <w:bodyDiv w:val="1"/>
      <w:marLeft w:val="0"/>
      <w:marRight w:val="0"/>
      <w:marTop w:val="0"/>
      <w:marBottom w:val="0"/>
      <w:divBdr>
        <w:top w:val="none" w:sz="0" w:space="0" w:color="auto"/>
        <w:left w:val="none" w:sz="0" w:space="0" w:color="auto"/>
        <w:bottom w:val="none" w:sz="0" w:space="0" w:color="auto"/>
        <w:right w:val="none" w:sz="0" w:space="0" w:color="auto"/>
      </w:divBdr>
      <w:divsChild>
        <w:div w:id="223301268">
          <w:marLeft w:val="547"/>
          <w:marRight w:val="0"/>
          <w:marTop w:val="96"/>
          <w:marBottom w:val="0"/>
          <w:divBdr>
            <w:top w:val="none" w:sz="0" w:space="0" w:color="auto"/>
            <w:left w:val="none" w:sz="0" w:space="0" w:color="auto"/>
            <w:bottom w:val="none" w:sz="0" w:space="0" w:color="auto"/>
            <w:right w:val="none" w:sz="0" w:space="0" w:color="auto"/>
          </w:divBdr>
        </w:div>
        <w:div w:id="1825781061">
          <w:marLeft w:val="547"/>
          <w:marRight w:val="0"/>
          <w:marTop w:val="96"/>
          <w:marBottom w:val="0"/>
          <w:divBdr>
            <w:top w:val="none" w:sz="0" w:space="0" w:color="auto"/>
            <w:left w:val="none" w:sz="0" w:space="0" w:color="auto"/>
            <w:bottom w:val="none" w:sz="0" w:space="0" w:color="auto"/>
            <w:right w:val="none" w:sz="0" w:space="0" w:color="auto"/>
          </w:divBdr>
        </w:div>
      </w:divsChild>
    </w:div>
    <w:div w:id="940071049">
      <w:bodyDiv w:val="1"/>
      <w:marLeft w:val="0"/>
      <w:marRight w:val="0"/>
      <w:marTop w:val="0"/>
      <w:marBottom w:val="0"/>
      <w:divBdr>
        <w:top w:val="none" w:sz="0" w:space="0" w:color="auto"/>
        <w:left w:val="none" w:sz="0" w:space="0" w:color="auto"/>
        <w:bottom w:val="none" w:sz="0" w:space="0" w:color="auto"/>
        <w:right w:val="none" w:sz="0" w:space="0" w:color="auto"/>
      </w:divBdr>
    </w:div>
    <w:div w:id="1063481559">
      <w:bodyDiv w:val="1"/>
      <w:marLeft w:val="0"/>
      <w:marRight w:val="0"/>
      <w:marTop w:val="0"/>
      <w:marBottom w:val="0"/>
      <w:divBdr>
        <w:top w:val="none" w:sz="0" w:space="0" w:color="auto"/>
        <w:left w:val="none" w:sz="0" w:space="0" w:color="auto"/>
        <w:bottom w:val="none" w:sz="0" w:space="0" w:color="auto"/>
        <w:right w:val="none" w:sz="0" w:space="0" w:color="auto"/>
      </w:divBdr>
      <w:divsChild>
        <w:div w:id="91241433">
          <w:marLeft w:val="1267"/>
          <w:marRight w:val="0"/>
          <w:marTop w:val="77"/>
          <w:marBottom w:val="0"/>
          <w:divBdr>
            <w:top w:val="none" w:sz="0" w:space="0" w:color="auto"/>
            <w:left w:val="none" w:sz="0" w:space="0" w:color="auto"/>
            <w:bottom w:val="none" w:sz="0" w:space="0" w:color="auto"/>
            <w:right w:val="none" w:sz="0" w:space="0" w:color="auto"/>
          </w:divBdr>
        </w:div>
        <w:div w:id="1517035607">
          <w:marLeft w:val="1800"/>
          <w:marRight w:val="0"/>
          <w:marTop w:val="77"/>
          <w:marBottom w:val="0"/>
          <w:divBdr>
            <w:top w:val="none" w:sz="0" w:space="0" w:color="auto"/>
            <w:left w:val="none" w:sz="0" w:space="0" w:color="auto"/>
            <w:bottom w:val="none" w:sz="0" w:space="0" w:color="auto"/>
            <w:right w:val="none" w:sz="0" w:space="0" w:color="auto"/>
          </w:divBdr>
        </w:div>
        <w:div w:id="1644238397">
          <w:marLeft w:val="1800"/>
          <w:marRight w:val="0"/>
          <w:marTop w:val="77"/>
          <w:marBottom w:val="0"/>
          <w:divBdr>
            <w:top w:val="none" w:sz="0" w:space="0" w:color="auto"/>
            <w:left w:val="none" w:sz="0" w:space="0" w:color="auto"/>
            <w:bottom w:val="none" w:sz="0" w:space="0" w:color="auto"/>
            <w:right w:val="none" w:sz="0" w:space="0" w:color="auto"/>
          </w:divBdr>
        </w:div>
      </w:divsChild>
    </w:div>
    <w:div w:id="1163862400">
      <w:bodyDiv w:val="1"/>
      <w:marLeft w:val="0"/>
      <w:marRight w:val="0"/>
      <w:marTop w:val="0"/>
      <w:marBottom w:val="0"/>
      <w:divBdr>
        <w:top w:val="none" w:sz="0" w:space="0" w:color="auto"/>
        <w:left w:val="none" w:sz="0" w:space="0" w:color="auto"/>
        <w:bottom w:val="none" w:sz="0" w:space="0" w:color="auto"/>
        <w:right w:val="none" w:sz="0" w:space="0" w:color="auto"/>
      </w:divBdr>
    </w:div>
    <w:div w:id="1236739268">
      <w:bodyDiv w:val="1"/>
      <w:marLeft w:val="0"/>
      <w:marRight w:val="0"/>
      <w:marTop w:val="0"/>
      <w:marBottom w:val="0"/>
      <w:divBdr>
        <w:top w:val="none" w:sz="0" w:space="0" w:color="auto"/>
        <w:left w:val="none" w:sz="0" w:space="0" w:color="auto"/>
        <w:bottom w:val="none" w:sz="0" w:space="0" w:color="auto"/>
        <w:right w:val="none" w:sz="0" w:space="0" w:color="auto"/>
      </w:divBdr>
      <w:divsChild>
        <w:div w:id="508787342">
          <w:marLeft w:val="547"/>
          <w:marRight w:val="0"/>
          <w:marTop w:val="77"/>
          <w:marBottom w:val="0"/>
          <w:divBdr>
            <w:top w:val="none" w:sz="0" w:space="0" w:color="auto"/>
            <w:left w:val="none" w:sz="0" w:space="0" w:color="auto"/>
            <w:bottom w:val="none" w:sz="0" w:space="0" w:color="auto"/>
            <w:right w:val="none" w:sz="0" w:space="0" w:color="auto"/>
          </w:divBdr>
        </w:div>
      </w:divsChild>
    </w:div>
    <w:div w:id="1280919630">
      <w:bodyDiv w:val="1"/>
      <w:marLeft w:val="0"/>
      <w:marRight w:val="0"/>
      <w:marTop w:val="0"/>
      <w:marBottom w:val="0"/>
      <w:divBdr>
        <w:top w:val="none" w:sz="0" w:space="0" w:color="auto"/>
        <w:left w:val="none" w:sz="0" w:space="0" w:color="auto"/>
        <w:bottom w:val="none" w:sz="0" w:space="0" w:color="auto"/>
        <w:right w:val="none" w:sz="0" w:space="0" w:color="auto"/>
      </w:divBdr>
    </w:div>
    <w:div w:id="1474250065">
      <w:bodyDiv w:val="1"/>
      <w:marLeft w:val="0"/>
      <w:marRight w:val="0"/>
      <w:marTop w:val="0"/>
      <w:marBottom w:val="0"/>
      <w:divBdr>
        <w:top w:val="none" w:sz="0" w:space="0" w:color="auto"/>
        <w:left w:val="none" w:sz="0" w:space="0" w:color="auto"/>
        <w:bottom w:val="none" w:sz="0" w:space="0" w:color="auto"/>
        <w:right w:val="none" w:sz="0" w:space="0" w:color="auto"/>
      </w:divBdr>
    </w:div>
    <w:div w:id="1519351594">
      <w:bodyDiv w:val="1"/>
      <w:marLeft w:val="0"/>
      <w:marRight w:val="0"/>
      <w:marTop w:val="0"/>
      <w:marBottom w:val="0"/>
      <w:divBdr>
        <w:top w:val="none" w:sz="0" w:space="0" w:color="auto"/>
        <w:left w:val="none" w:sz="0" w:space="0" w:color="auto"/>
        <w:bottom w:val="none" w:sz="0" w:space="0" w:color="auto"/>
        <w:right w:val="none" w:sz="0" w:space="0" w:color="auto"/>
      </w:divBdr>
      <w:divsChild>
        <w:div w:id="77866985">
          <w:marLeft w:val="547"/>
          <w:marRight w:val="0"/>
          <w:marTop w:val="77"/>
          <w:marBottom w:val="0"/>
          <w:divBdr>
            <w:top w:val="none" w:sz="0" w:space="0" w:color="auto"/>
            <w:left w:val="none" w:sz="0" w:space="0" w:color="auto"/>
            <w:bottom w:val="none" w:sz="0" w:space="0" w:color="auto"/>
            <w:right w:val="none" w:sz="0" w:space="0" w:color="auto"/>
          </w:divBdr>
        </w:div>
        <w:div w:id="84083906">
          <w:marLeft w:val="547"/>
          <w:marRight w:val="0"/>
          <w:marTop w:val="77"/>
          <w:marBottom w:val="0"/>
          <w:divBdr>
            <w:top w:val="none" w:sz="0" w:space="0" w:color="auto"/>
            <w:left w:val="none" w:sz="0" w:space="0" w:color="auto"/>
            <w:bottom w:val="none" w:sz="0" w:space="0" w:color="auto"/>
            <w:right w:val="none" w:sz="0" w:space="0" w:color="auto"/>
          </w:divBdr>
        </w:div>
        <w:div w:id="1540430554">
          <w:marLeft w:val="547"/>
          <w:marRight w:val="0"/>
          <w:marTop w:val="77"/>
          <w:marBottom w:val="0"/>
          <w:divBdr>
            <w:top w:val="none" w:sz="0" w:space="0" w:color="auto"/>
            <w:left w:val="none" w:sz="0" w:space="0" w:color="auto"/>
            <w:bottom w:val="none" w:sz="0" w:space="0" w:color="auto"/>
            <w:right w:val="none" w:sz="0" w:space="0" w:color="auto"/>
          </w:divBdr>
        </w:div>
        <w:div w:id="844710914">
          <w:marLeft w:val="547"/>
          <w:marRight w:val="0"/>
          <w:marTop w:val="77"/>
          <w:marBottom w:val="0"/>
          <w:divBdr>
            <w:top w:val="none" w:sz="0" w:space="0" w:color="auto"/>
            <w:left w:val="none" w:sz="0" w:space="0" w:color="auto"/>
            <w:bottom w:val="none" w:sz="0" w:space="0" w:color="auto"/>
            <w:right w:val="none" w:sz="0" w:space="0" w:color="auto"/>
          </w:divBdr>
        </w:div>
        <w:div w:id="702828081">
          <w:marLeft w:val="547"/>
          <w:marRight w:val="0"/>
          <w:marTop w:val="77"/>
          <w:marBottom w:val="0"/>
          <w:divBdr>
            <w:top w:val="none" w:sz="0" w:space="0" w:color="auto"/>
            <w:left w:val="none" w:sz="0" w:space="0" w:color="auto"/>
            <w:bottom w:val="none" w:sz="0" w:space="0" w:color="auto"/>
            <w:right w:val="none" w:sz="0" w:space="0" w:color="auto"/>
          </w:divBdr>
        </w:div>
      </w:divsChild>
    </w:div>
    <w:div w:id="1519662449">
      <w:bodyDiv w:val="1"/>
      <w:marLeft w:val="0"/>
      <w:marRight w:val="0"/>
      <w:marTop w:val="0"/>
      <w:marBottom w:val="0"/>
      <w:divBdr>
        <w:top w:val="none" w:sz="0" w:space="0" w:color="auto"/>
        <w:left w:val="none" w:sz="0" w:space="0" w:color="auto"/>
        <w:bottom w:val="none" w:sz="0" w:space="0" w:color="auto"/>
        <w:right w:val="none" w:sz="0" w:space="0" w:color="auto"/>
      </w:divBdr>
      <w:divsChild>
        <w:div w:id="1116754158">
          <w:marLeft w:val="547"/>
          <w:marRight w:val="0"/>
          <w:marTop w:val="77"/>
          <w:marBottom w:val="0"/>
          <w:divBdr>
            <w:top w:val="none" w:sz="0" w:space="0" w:color="auto"/>
            <w:left w:val="none" w:sz="0" w:space="0" w:color="auto"/>
            <w:bottom w:val="none" w:sz="0" w:space="0" w:color="auto"/>
            <w:right w:val="none" w:sz="0" w:space="0" w:color="auto"/>
          </w:divBdr>
        </w:div>
      </w:divsChild>
    </w:div>
    <w:div w:id="1623146189">
      <w:bodyDiv w:val="1"/>
      <w:marLeft w:val="0"/>
      <w:marRight w:val="0"/>
      <w:marTop w:val="0"/>
      <w:marBottom w:val="0"/>
      <w:divBdr>
        <w:top w:val="none" w:sz="0" w:space="0" w:color="auto"/>
        <w:left w:val="none" w:sz="0" w:space="0" w:color="auto"/>
        <w:bottom w:val="none" w:sz="0" w:space="0" w:color="auto"/>
        <w:right w:val="none" w:sz="0" w:space="0" w:color="auto"/>
      </w:divBdr>
    </w:div>
    <w:div w:id="1640302335">
      <w:bodyDiv w:val="1"/>
      <w:marLeft w:val="0"/>
      <w:marRight w:val="0"/>
      <w:marTop w:val="0"/>
      <w:marBottom w:val="0"/>
      <w:divBdr>
        <w:top w:val="none" w:sz="0" w:space="0" w:color="auto"/>
        <w:left w:val="none" w:sz="0" w:space="0" w:color="auto"/>
        <w:bottom w:val="none" w:sz="0" w:space="0" w:color="auto"/>
        <w:right w:val="none" w:sz="0" w:space="0" w:color="auto"/>
      </w:divBdr>
      <w:divsChild>
        <w:div w:id="1833519035">
          <w:marLeft w:val="1267"/>
          <w:marRight w:val="0"/>
          <w:marTop w:val="77"/>
          <w:marBottom w:val="0"/>
          <w:divBdr>
            <w:top w:val="none" w:sz="0" w:space="0" w:color="auto"/>
            <w:left w:val="none" w:sz="0" w:space="0" w:color="auto"/>
            <w:bottom w:val="none" w:sz="0" w:space="0" w:color="auto"/>
            <w:right w:val="none" w:sz="0" w:space="0" w:color="auto"/>
          </w:divBdr>
        </w:div>
        <w:div w:id="1864242578">
          <w:marLeft w:val="1800"/>
          <w:marRight w:val="0"/>
          <w:marTop w:val="77"/>
          <w:marBottom w:val="0"/>
          <w:divBdr>
            <w:top w:val="none" w:sz="0" w:space="0" w:color="auto"/>
            <w:left w:val="none" w:sz="0" w:space="0" w:color="auto"/>
            <w:bottom w:val="none" w:sz="0" w:space="0" w:color="auto"/>
            <w:right w:val="none" w:sz="0" w:space="0" w:color="auto"/>
          </w:divBdr>
        </w:div>
        <w:div w:id="579484775">
          <w:marLeft w:val="1800"/>
          <w:marRight w:val="0"/>
          <w:marTop w:val="77"/>
          <w:marBottom w:val="0"/>
          <w:divBdr>
            <w:top w:val="none" w:sz="0" w:space="0" w:color="auto"/>
            <w:left w:val="none" w:sz="0" w:space="0" w:color="auto"/>
            <w:bottom w:val="none" w:sz="0" w:space="0" w:color="auto"/>
            <w:right w:val="none" w:sz="0" w:space="0" w:color="auto"/>
          </w:divBdr>
        </w:div>
      </w:divsChild>
    </w:div>
    <w:div w:id="1795899663">
      <w:bodyDiv w:val="1"/>
      <w:marLeft w:val="0"/>
      <w:marRight w:val="0"/>
      <w:marTop w:val="0"/>
      <w:marBottom w:val="0"/>
      <w:divBdr>
        <w:top w:val="none" w:sz="0" w:space="0" w:color="auto"/>
        <w:left w:val="none" w:sz="0" w:space="0" w:color="auto"/>
        <w:bottom w:val="none" w:sz="0" w:space="0" w:color="auto"/>
        <w:right w:val="none" w:sz="0" w:space="0" w:color="auto"/>
      </w:divBdr>
    </w:div>
    <w:div w:id="1806846717">
      <w:bodyDiv w:val="1"/>
      <w:marLeft w:val="0"/>
      <w:marRight w:val="0"/>
      <w:marTop w:val="0"/>
      <w:marBottom w:val="0"/>
      <w:divBdr>
        <w:top w:val="none" w:sz="0" w:space="0" w:color="auto"/>
        <w:left w:val="none" w:sz="0" w:space="0" w:color="auto"/>
        <w:bottom w:val="none" w:sz="0" w:space="0" w:color="auto"/>
        <w:right w:val="none" w:sz="0" w:space="0" w:color="auto"/>
      </w:divBdr>
      <w:divsChild>
        <w:div w:id="1100833567">
          <w:marLeft w:val="547"/>
          <w:marRight w:val="0"/>
          <w:marTop w:val="77"/>
          <w:marBottom w:val="0"/>
          <w:divBdr>
            <w:top w:val="none" w:sz="0" w:space="0" w:color="auto"/>
            <w:left w:val="none" w:sz="0" w:space="0" w:color="auto"/>
            <w:bottom w:val="none" w:sz="0" w:space="0" w:color="auto"/>
            <w:right w:val="none" w:sz="0" w:space="0" w:color="auto"/>
          </w:divBdr>
        </w:div>
        <w:div w:id="2046514829">
          <w:marLeft w:val="547"/>
          <w:marRight w:val="0"/>
          <w:marTop w:val="77"/>
          <w:marBottom w:val="0"/>
          <w:divBdr>
            <w:top w:val="none" w:sz="0" w:space="0" w:color="auto"/>
            <w:left w:val="none" w:sz="0" w:space="0" w:color="auto"/>
            <w:bottom w:val="none" w:sz="0" w:space="0" w:color="auto"/>
            <w:right w:val="none" w:sz="0" w:space="0" w:color="auto"/>
          </w:divBdr>
        </w:div>
        <w:div w:id="1907838484">
          <w:marLeft w:val="547"/>
          <w:marRight w:val="0"/>
          <w:marTop w:val="77"/>
          <w:marBottom w:val="0"/>
          <w:divBdr>
            <w:top w:val="none" w:sz="0" w:space="0" w:color="auto"/>
            <w:left w:val="none" w:sz="0" w:space="0" w:color="auto"/>
            <w:bottom w:val="none" w:sz="0" w:space="0" w:color="auto"/>
            <w:right w:val="none" w:sz="0" w:space="0" w:color="auto"/>
          </w:divBdr>
        </w:div>
        <w:div w:id="973557267">
          <w:marLeft w:val="547"/>
          <w:marRight w:val="0"/>
          <w:marTop w:val="77"/>
          <w:marBottom w:val="0"/>
          <w:divBdr>
            <w:top w:val="none" w:sz="0" w:space="0" w:color="auto"/>
            <w:left w:val="none" w:sz="0" w:space="0" w:color="auto"/>
            <w:bottom w:val="none" w:sz="0" w:space="0" w:color="auto"/>
            <w:right w:val="none" w:sz="0" w:space="0" w:color="auto"/>
          </w:divBdr>
        </w:div>
        <w:div w:id="1355034069">
          <w:marLeft w:val="547"/>
          <w:marRight w:val="0"/>
          <w:marTop w:val="77"/>
          <w:marBottom w:val="0"/>
          <w:divBdr>
            <w:top w:val="none" w:sz="0" w:space="0" w:color="auto"/>
            <w:left w:val="none" w:sz="0" w:space="0" w:color="auto"/>
            <w:bottom w:val="none" w:sz="0" w:space="0" w:color="auto"/>
            <w:right w:val="none" w:sz="0" w:space="0" w:color="auto"/>
          </w:divBdr>
        </w:div>
      </w:divsChild>
    </w:div>
    <w:div w:id="1880119386">
      <w:bodyDiv w:val="1"/>
      <w:marLeft w:val="0"/>
      <w:marRight w:val="0"/>
      <w:marTop w:val="0"/>
      <w:marBottom w:val="0"/>
      <w:divBdr>
        <w:top w:val="none" w:sz="0" w:space="0" w:color="auto"/>
        <w:left w:val="none" w:sz="0" w:space="0" w:color="auto"/>
        <w:bottom w:val="none" w:sz="0" w:space="0" w:color="auto"/>
        <w:right w:val="none" w:sz="0" w:space="0" w:color="auto"/>
      </w:divBdr>
    </w:div>
    <w:div w:id="1927181281">
      <w:bodyDiv w:val="1"/>
      <w:marLeft w:val="0"/>
      <w:marRight w:val="0"/>
      <w:marTop w:val="0"/>
      <w:marBottom w:val="0"/>
      <w:divBdr>
        <w:top w:val="none" w:sz="0" w:space="0" w:color="auto"/>
        <w:left w:val="none" w:sz="0" w:space="0" w:color="auto"/>
        <w:bottom w:val="none" w:sz="0" w:space="0" w:color="auto"/>
        <w:right w:val="none" w:sz="0" w:space="0" w:color="auto"/>
      </w:divBdr>
    </w:div>
    <w:div w:id="2045472000">
      <w:bodyDiv w:val="1"/>
      <w:marLeft w:val="0"/>
      <w:marRight w:val="0"/>
      <w:marTop w:val="0"/>
      <w:marBottom w:val="0"/>
      <w:divBdr>
        <w:top w:val="none" w:sz="0" w:space="0" w:color="auto"/>
        <w:left w:val="none" w:sz="0" w:space="0" w:color="auto"/>
        <w:bottom w:val="none" w:sz="0" w:space="0" w:color="auto"/>
        <w:right w:val="none" w:sz="0" w:space="0" w:color="auto"/>
      </w:divBdr>
      <w:divsChild>
        <w:div w:id="294720498">
          <w:marLeft w:val="547"/>
          <w:marRight w:val="0"/>
          <w:marTop w:val="77"/>
          <w:marBottom w:val="0"/>
          <w:divBdr>
            <w:top w:val="none" w:sz="0" w:space="0" w:color="auto"/>
            <w:left w:val="none" w:sz="0" w:space="0" w:color="auto"/>
            <w:bottom w:val="none" w:sz="0" w:space="0" w:color="auto"/>
            <w:right w:val="none" w:sz="0" w:space="0" w:color="auto"/>
          </w:divBdr>
        </w:div>
        <w:div w:id="808471643">
          <w:marLeft w:val="547"/>
          <w:marRight w:val="0"/>
          <w:marTop w:val="77"/>
          <w:marBottom w:val="0"/>
          <w:divBdr>
            <w:top w:val="none" w:sz="0" w:space="0" w:color="auto"/>
            <w:left w:val="none" w:sz="0" w:space="0" w:color="auto"/>
            <w:bottom w:val="none" w:sz="0" w:space="0" w:color="auto"/>
            <w:right w:val="none" w:sz="0" w:space="0" w:color="auto"/>
          </w:divBdr>
        </w:div>
        <w:div w:id="843008766">
          <w:marLeft w:val="1800"/>
          <w:marRight w:val="0"/>
          <w:marTop w:val="67"/>
          <w:marBottom w:val="0"/>
          <w:divBdr>
            <w:top w:val="none" w:sz="0" w:space="0" w:color="auto"/>
            <w:left w:val="none" w:sz="0" w:space="0" w:color="auto"/>
            <w:bottom w:val="none" w:sz="0" w:space="0" w:color="auto"/>
            <w:right w:val="none" w:sz="0" w:space="0" w:color="auto"/>
          </w:divBdr>
        </w:div>
        <w:div w:id="2142334589">
          <w:marLeft w:val="1800"/>
          <w:marRight w:val="0"/>
          <w:marTop w:val="67"/>
          <w:marBottom w:val="0"/>
          <w:divBdr>
            <w:top w:val="none" w:sz="0" w:space="0" w:color="auto"/>
            <w:left w:val="none" w:sz="0" w:space="0" w:color="auto"/>
            <w:bottom w:val="none" w:sz="0" w:space="0" w:color="auto"/>
            <w:right w:val="none" w:sz="0" w:space="0" w:color="auto"/>
          </w:divBdr>
        </w:div>
        <w:div w:id="1169758674">
          <w:marLeft w:val="1800"/>
          <w:marRight w:val="0"/>
          <w:marTop w:val="67"/>
          <w:marBottom w:val="0"/>
          <w:divBdr>
            <w:top w:val="none" w:sz="0" w:space="0" w:color="auto"/>
            <w:left w:val="none" w:sz="0" w:space="0" w:color="auto"/>
            <w:bottom w:val="none" w:sz="0" w:space="0" w:color="auto"/>
            <w:right w:val="none" w:sz="0" w:space="0" w:color="auto"/>
          </w:divBdr>
        </w:div>
        <w:div w:id="280188507">
          <w:marLeft w:val="1800"/>
          <w:marRight w:val="0"/>
          <w:marTop w:val="67"/>
          <w:marBottom w:val="0"/>
          <w:divBdr>
            <w:top w:val="none" w:sz="0" w:space="0" w:color="auto"/>
            <w:left w:val="none" w:sz="0" w:space="0" w:color="auto"/>
            <w:bottom w:val="none" w:sz="0" w:space="0" w:color="auto"/>
            <w:right w:val="none" w:sz="0" w:space="0" w:color="auto"/>
          </w:divBdr>
        </w:div>
        <w:div w:id="1561749818">
          <w:marLeft w:val="547"/>
          <w:marRight w:val="0"/>
          <w:marTop w:val="77"/>
          <w:marBottom w:val="0"/>
          <w:divBdr>
            <w:top w:val="none" w:sz="0" w:space="0" w:color="auto"/>
            <w:left w:val="none" w:sz="0" w:space="0" w:color="auto"/>
            <w:bottom w:val="none" w:sz="0" w:space="0" w:color="auto"/>
            <w:right w:val="none" w:sz="0" w:space="0" w:color="auto"/>
          </w:divBdr>
        </w:div>
        <w:div w:id="423838750">
          <w:marLeft w:val="547"/>
          <w:marRight w:val="0"/>
          <w:marTop w:val="77"/>
          <w:marBottom w:val="0"/>
          <w:divBdr>
            <w:top w:val="none" w:sz="0" w:space="0" w:color="auto"/>
            <w:left w:val="none" w:sz="0" w:space="0" w:color="auto"/>
            <w:bottom w:val="none" w:sz="0" w:space="0" w:color="auto"/>
            <w:right w:val="none" w:sz="0" w:space="0" w:color="auto"/>
          </w:divBdr>
        </w:div>
        <w:div w:id="827790327">
          <w:marLeft w:val="547"/>
          <w:marRight w:val="0"/>
          <w:marTop w:val="77"/>
          <w:marBottom w:val="0"/>
          <w:divBdr>
            <w:top w:val="none" w:sz="0" w:space="0" w:color="auto"/>
            <w:left w:val="none" w:sz="0" w:space="0" w:color="auto"/>
            <w:bottom w:val="none" w:sz="0" w:space="0" w:color="auto"/>
            <w:right w:val="none" w:sz="0" w:space="0" w:color="auto"/>
          </w:divBdr>
        </w:div>
      </w:divsChild>
    </w:div>
    <w:div w:id="209821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63" Type="http://schemas.openxmlformats.org/officeDocument/2006/relationships/hyperlink" Target="http://mg.co.za/article/2007-02-23-ask-some-whites-to-leave%20accessed%2028.04.2014" TargetMode="External"/><Relationship Id="rId64" Type="http://schemas.openxmlformats.org/officeDocument/2006/relationships/hyperlink" Target="http://www.ffc.co.za/index.php/component/docman/doc_download/290-chapter-11-impact-of-current-land-use-patterns-on-public-transport-and-human-settlements?Itemid=" TargetMode="External"/><Relationship Id="rId65" Type="http://schemas.openxmlformats.org/officeDocument/2006/relationships/hyperlink" Target="file:///C:/Users/Margot%20Rubin/Downloads/Chapter%2011%20-%20Impact%20of%20Current%20Land-use%20Patterns%20on%20Public%20Transport%20and%20Human%20Settlements.pdf" TargetMode="External"/><Relationship Id="rId66" Type="http://schemas.openxmlformats.org/officeDocument/2006/relationships/hyperlink" Target="http://www.nai.uu.se/ecas-4/panels/81-100/panel-85/Kamna-Patel-Full-paper.pdf" TargetMode="External"/><Relationship Id="rId67" Type="http://schemas.openxmlformats.org/officeDocument/2006/relationships/hyperlink" Target="http://etheses.bham.ac.uk/3267/1/Patel12PhD.pdf%20accessed%2027.03.2014" TargetMode="External"/><Relationship Id="rId68" Type="http://schemas.openxmlformats.org/officeDocument/2006/relationships/hyperlink" Target="http://www.housinginformalcity.co.za/" TargetMode="External"/><Relationship Id="rId69" Type="http://schemas.openxmlformats.org/officeDocument/2006/relationships/hyperlink" Target="http://sasdialliance.org.za/documents/" TargetMode="External"/><Relationship Id="rId50" Type="http://schemas.openxmlformats.org/officeDocument/2006/relationships/image" Target="media/image29.emf"/><Relationship Id="rId51" Type="http://schemas.openxmlformats.org/officeDocument/2006/relationships/image" Target="media/image30.emf"/><Relationship Id="rId52" Type="http://schemas.openxmlformats.org/officeDocument/2006/relationships/image" Target="media/image31.emf"/><Relationship Id="rId53" Type="http://schemas.openxmlformats.org/officeDocument/2006/relationships/image" Target="media/image32.emf"/><Relationship Id="rId54" Type="http://schemas.openxmlformats.org/officeDocument/2006/relationships/image" Target="media/image33.emf"/><Relationship Id="rId55" Type="http://schemas.openxmlformats.org/officeDocument/2006/relationships/image" Target="media/image34.png"/><Relationship Id="rId56" Type="http://schemas.openxmlformats.org/officeDocument/2006/relationships/hyperlink" Target="http://qa.sdinet.org/news/25" TargetMode="External"/><Relationship Id="rId57" Type="http://schemas.openxmlformats.org/officeDocument/2006/relationships/hyperlink" Target="http://www.s4.brown.edu/southafrica/Reports/Johannesburg/Diepsloot.pdf%20accessed%2029.04.2014" TargetMode="External"/><Relationship Id="rId58" Type="http://schemas.openxmlformats.org/officeDocument/2006/relationships/hyperlink" Target="http://www.capetown.gov.za/en/MediaReleases/Pages/CityConsidersHousesForInformalDwellersInNatureReserve.aspx" TargetMode="External"/><Relationship Id="rId59" Type="http://schemas.openxmlformats.org/officeDocument/2006/relationships/hyperlink" Target="http://stepsa.org/resources/shared-documents/dhs-presentation-re-plnn-workstream-v-6-22-sept%20accessed%2027.03.2014" TargetMode="External"/><Relationship Id="rId40" Type="http://schemas.openxmlformats.org/officeDocument/2006/relationships/footer" Target="footer4.xml"/><Relationship Id="rId41" Type="http://schemas.openxmlformats.org/officeDocument/2006/relationships/header" Target="header4.xml"/><Relationship Id="rId42" Type="http://schemas.openxmlformats.org/officeDocument/2006/relationships/footer" Target="footer5.xml"/><Relationship Id="rId43" Type="http://schemas.openxmlformats.org/officeDocument/2006/relationships/footer" Target="footer6.xml"/><Relationship Id="rId44" Type="http://schemas.openxmlformats.org/officeDocument/2006/relationships/image" Target="media/image26.emf"/><Relationship Id="rId45" Type="http://schemas.openxmlformats.org/officeDocument/2006/relationships/image" Target="media/image27.emf"/><Relationship Id="rId46" Type="http://schemas.openxmlformats.org/officeDocument/2006/relationships/image" Target="media/image28.emf"/><Relationship Id="rId47" Type="http://schemas.openxmlformats.org/officeDocument/2006/relationships/chart" Target="charts/chart1.xml"/><Relationship Id="rId48" Type="http://schemas.openxmlformats.org/officeDocument/2006/relationships/chart" Target="charts/chart2.xml"/><Relationship Id="rId49" Type="http://schemas.openxmlformats.org/officeDocument/2006/relationships/chart" Target="charts/chart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9.png"/><Relationship Id="rId31" Type="http://schemas.openxmlformats.org/officeDocument/2006/relationships/image" Target="media/image20.emf"/><Relationship Id="rId32" Type="http://schemas.openxmlformats.org/officeDocument/2006/relationships/image" Target="media/image21.emf"/><Relationship Id="rId33" Type="http://schemas.openxmlformats.org/officeDocument/2006/relationships/image" Target="media/image22.emf"/><Relationship Id="rId34" Type="http://schemas.openxmlformats.org/officeDocument/2006/relationships/image" Target="media/image23.png"/><Relationship Id="rId35" Type="http://schemas.openxmlformats.org/officeDocument/2006/relationships/image" Target="media/image24.emf"/><Relationship Id="rId36" Type="http://schemas.openxmlformats.org/officeDocument/2006/relationships/image" Target="media/image25.png"/><Relationship Id="rId37" Type="http://schemas.openxmlformats.org/officeDocument/2006/relationships/header" Target="header2.xml"/><Relationship Id="rId38" Type="http://schemas.openxmlformats.org/officeDocument/2006/relationships/header" Target="header3.xml"/><Relationship Id="rId39" Type="http://schemas.openxmlformats.org/officeDocument/2006/relationships/footer" Target="footer3.xml"/><Relationship Id="rId70" Type="http://schemas.openxmlformats.org/officeDocument/2006/relationships/hyperlink" Target="http://sasdialliance.org.za/documents/" TargetMode="External"/><Relationship Id="rId71" Type="http://schemas.openxmlformats.org/officeDocument/2006/relationships/hyperlink" Target="http://sasdialliance.org.za/documents/" TargetMode="External"/><Relationship Id="rId72" Type="http://schemas.openxmlformats.org/officeDocument/2006/relationships/hyperlink" Target="http://sasdialliance.org.za/documents/"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emf"/><Relationship Id="rId28" Type="http://schemas.openxmlformats.org/officeDocument/2006/relationships/image" Target="media/image17.emf"/><Relationship Id="rId29" Type="http://schemas.openxmlformats.org/officeDocument/2006/relationships/image" Target="media/image18.png"/><Relationship Id="rId73" Type="http://schemas.openxmlformats.org/officeDocument/2006/relationships/hyperlink" Target="http://www.sdinet.org/media/upload/documents/Langrug_Booklet.pdf%20accessed%2029.04.2014" TargetMode="External"/><Relationship Id="rId74" Type="http://schemas.openxmlformats.org/officeDocument/2006/relationships/hyperlink" Target="http://sasdialliance.org.za/the-politics-of-change-at-lwazi-park/" TargetMode="External"/><Relationship Id="rId75" Type="http://schemas.openxmlformats.org/officeDocument/2006/relationships/fontTable" Target="fontTable.xml"/><Relationship Id="rId76" Type="http://schemas.openxmlformats.org/officeDocument/2006/relationships/theme" Target="theme/theme1.xml"/><Relationship Id="rId77" Type="http://schemas.microsoft.com/office/2011/relationships/commentsExtended" Target="commentsExtended.xml"/><Relationship Id="rId78" Type="http://schemas.microsoft.com/office/2011/relationships/people" Target="people.xml"/><Relationship Id="rId60" Type="http://schemas.openxmlformats.org/officeDocument/2006/relationships/hyperlink" Target="http://www.capetown.gov.za/en/MediaReleases/Pages/CityincreaseseffortstoenableredressinHangbergandImizamoYethu.aspx" TargetMode="External"/><Relationship Id="rId61" Type="http://schemas.openxmlformats.org/officeDocument/2006/relationships/hyperlink" Target="http://www.thehda.co.za/uploads/images/HDA_Informal_settlements_status_South_Africa.pdf%20accessed%2027.03.2014" TargetMode="External"/><Relationship Id="rId62" Type="http://schemas.openxmlformats.org/officeDocument/2006/relationships/hyperlink" Target="http://www.urbanlandmark.org.za/downloads/diepsloot_brochure.pdf%20accessed%2028.04.2014"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got%20Rubin\Documents\WB%20Housing%20Consol\Imizamo%20Yethu%20stats%20census%20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Sheet1!$GO$7:$GO$16</c:f>
              <c:strCache>
                <c:ptCount val="10"/>
                <c:pt idx="0">
                  <c:v>R0</c:v>
                </c:pt>
                <c:pt idx="1">
                  <c:v>R1-R400</c:v>
                </c:pt>
                <c:pt idx="2">
                  <c:v>R401-R800</c:v>
                </c:pt>
                <c:pt idx="3">
                  <c:v>R801-R1600</c:v>
                </c:pt>
                <c:pt idx="4">
                  <c:v>R1601-R3200</c:v>
                </c:pt>
                <c:pt idx="5">
                  <c:v>R3201-R6400</c:v>
                </c:pt>
                <c:pt idx="6">
                  <c:v>R6401-R12800</c:v>
                </c:pt>
                <c:pt idx="7">
                  <c:v>R12801-R25600</c:v>
                </c:pt>
                <c:pt idx="8">
                  <c:v>R25601- above</c:v>
                </c:pt>
                <c:pt idx="9">
                  <c:v>Unspecified</c:v>
                </c:pt>
              </c:strCache>
            </c:strRef>
          </c:cat>
          <c:val>
            <c:numRef>
              <c:f>Sheet1!$GP$7:$GP$16</c:f>
              <c:numCache>
                <c:formatCode>General</c:formatCode>
                <c:ptCount val="10"/>
                <c:pt idx="0">
                  <c:v>5.2</c:v>
                </c:pt>
                <c:pt idx="1">
                  <c:v>4.4</c:v>
                </c:pt>
                <c:pt idx="2">
                  <c:v>0.0</c:v>
                </c:pt>
                <c:pt idx="3">
                  <c:v>19.0</c:v>
                </c:pt>
                <c:pt idx="4">
                  <c:v>38.0</c:v>
                </c:pt>
                <c:pt idx="5">
                  <c:v>14.5</c:v>
                </c:pt>
                <c:pt idx="6">
                  <c:v>2.5</c:v>
                </c:pt>
                <c:pt idx="7">
                  <c:v>0.63</c:v>
                </c:pt>
                <c:pt idx="8">
                  <c:v>0.27</c:v>
                </c:pt>
                <c:pt idx="9">
                  <c:v>2.9</c:v>
                </c:pt>
              </c:numCache>
            </c:numRef>
          </c:val>
        </c:ser>
        <c:dLbls>
          <c:showLegendKey val="0"/>
          <c:showVal val="0"/>
          <c:showCatName val="0"/>
          <c:showSerName val="0"/>
          <c:showPercent val="0"/>
          <c:showBubbleSize val="0"/>
        </c:dLbls>
        <c:gapWidth val="219"/>
        <c:overlap val="-27"/>
        <c:axId val="2089403704"/>
        <c:axId val="2089407192"/>
      </c:barChart>
      <c:catAx>
        <c:axId val="2089403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407192"/>
        <c:crosses val="autoZero"/>
        <c:auto val="1"/>
        <c:lblAlgn val="ctr"/>
        <c:lblOffset val="100"/>
        <c:noMultiLvlLbl val="0"/>
      </c:catAx>
      <c:valAx>
        <c:axId val="2089407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403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Sheet1!$EB$5:$EB$11</c:f>
              <c:strCache>
                <c:ptCount val="7"/>
                <c:pt idx="0">
                  <c:v>No schooling</c:v>
                </c:pt>
                <c:pt idx="1">
                  <c:v>Some Primary</c:v>
                </c:pt>
                <c:pt idx="2">
                  <c:v>Complete primary</c:v>
                </c:pt>
                <c:pt idx="3">
                  <c:v>Some secondary </c:v>
                </c:pt>
                <c:pt idx="4">
                  <c:v>Grade 12/std 10</c:v>
                </c:pt>
                <c:pt idx="5">
                  <c:v>Higher than Grade 12/std 10</c:v>
                </c:pt>
                <c:pt idx="6">
                  <c:v>Unspecified</c:v>
                </c:pt>
              </c:strCache>
            </c:strRef>
          </c:cat>
          <c:val>
            <c:numRef>
              <c:f>Sheet1!$EC$5:$EC$11</c:f>
              <c:numCache>
                <c:formatCode>General</c:formatCode>
                <c:ptCount val="7"/>
                <c:pt idx="0">
                  <c:v>432.0</c:v>
                </c:pt>
                <c:pt idx="1">
                  <c:v>1249.0</c:v>
                </c:pt>
                <c:pt idx="2">
                  <c:v>561.0</c:v>
                </c:pt>
                <c:pt idx="3">
                  <c:v>5225.0</c:v>
                </c:pt>
                <c:pt idx="4">
                  <c:v>2986.0</c:v>
                </c:pt>
                <c:pt idx="5">
                  <c:v>299.0</c:v>
                </c:pt>
                <c:pt idx="6">
                  <c:v>14.0</c:v>
                </c:pt>
              </c:numCache>
            </c:numRef>
          </c:val>
        </c:ser>
        <c:dLbls>
          <c:showLegendKey val="0"/>
          <c:showVal val="0"/>
          <c:showCatName val="0"/>
          <c:showSerName val="0"/>
          <c:showPercent val="0"/>
          <c:showBubbleSize val="0"/>
        </c:dLbls>
        <c:gapWidth val="219"/>
        <c:overlap val="-27"/>
        <c:axId val="2090433624"/>
        <c:axId val="2090437400"/>
      </c:barChart>
      <c:catAx>
        <c:axId val="209043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437400"/>
        <c:crosses val="autoZero"/>
        <c:auto val="1"/>
        <c:lblAlgn val="ctr"/>
        <c:lblOffset val="100"/>
        <c:noMultiLvlLbl val="0"/>
      </c:catAx>
      <c:valAx>
        <c:axId val="2090437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433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tx1">
                  <a:lumMod val="95000"/>
                  <a:lumOff val="5000"/>
                </a:schemeClr>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rgbClr val="7030A0"/>
              </a:solidFill>
              <a:ln w="25400">
                <a:solidFill>
                  <a:schemeClr val="lt1"/>
                </a:solidFill>
              </a:ln>
              <a:effectLst/>
              <a:sp3d contourW="25400">
                <a:contourClr>
                  <a:schemeClr val="lt1"/>
                </a:contourClr>
              </a:sp3d>
            </c:spPr>
          </c:dPt>
          <c:dPt>
            <c:idx val="3"/>
            <c:bubble3D val="0"/>
            <c:spPr>
              <a:solidFill>
                <a:srgbClr val="FFFF00"/>
              </a:solidFill>
              <a:ln w="25400">
                <a:solidFill>
                  <a:schemeClr val="lt1"/>
                </a:solidFill>
              </a:ln>
              <a:effectLst/>
              <a:sp3d contourW="25400">
                <a:contourClr>
                  <a:schemeClr val="lt1"/>
                </a:contourClr>
              </a:sp3d>
            </c:spPr>
          </c:dPt>
          <c:dPt>
            <c:idx val="4"/>
            <c:bubble3D val="0"/>
            <c:spPr>
              <a:solidFill>
                <a:srgbClr val="A80836"/>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Sheet1!$GP$5:$GP$13</c:f>
              <c:strCache>
                <c:ptCount val="9"/>
                <c:pt idx="0">
                  <c:v>No income</c:v>
                </c:pt>
                <c:pt idx="1">
                  <c:v>R1-R400</c:v>
                </c:pt>
                <c:pt idx="2">
                  <c:v>R401-R800</c:v>
                </c:pt>
                <c:pt idx="3">
                  <c:v>R801-R1600</c:v>
                </c:pt>
                <c:pt idx="4">
                  <c:v>R1601-R3200</c:v>
                </c:pt>
                <c:pt idx="5">
                  <c:v>R6401-R12800</c:v>
                </c:pt>
                <c:pt idx="6">
                  <c:v>R12801-R25600</c:v>
                </c:pt>
                <c:pt idx="7">
                  <c:v>R256001 and above</c:v>
                </c:pt>
                <c:pt idx="8">
                  <c:v>Unspecified</c:v>
                </c:pt>
              </c:strCache>
            </c:strRef>
          </c:cat>
          <c:val>
            <c:numRef>
              <c:f>Sheet1!$GQ$5:$GQ$13</c:f>
              <c:numCache>
                <c:formatCode>General</c:formatCode>
                <c:ptCount val="9"/>
                <c:pt idx="0">
                  <c:v>699.0</c:v>
                </c:pt>
                <c:pt idx="1">
                  <c:v>144.0</c:v>
                </c:pt>
                <c:pt idx="2">
                  <c:v>406.0</c:v>
                </c:pt>
                <c:pt idx="3">
                  <c:v>1517.0</c:v>
                </c:pt>
                <c:pt idx="4">
                  <c:v>2350.0</c:v>
                </c:pt>
                <c:pt idx="5">
                  <c:v>73.0</c:v>
                </c:pt>
                <c:pt idx="6">
                  <c:v>26.0</c:v>
                </c:pt>
                <c:pt idx="7">
                  <c:v>28.0</c:v>
                </c:pt>
                <c:pt idx="8">
                  <c:v>481.0</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0570761154855643"/>
          <c:y val="0.689234470691164"/>
          <c:w val="0.902514435695538"/>
          <c:h val="0.28298775153105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02F86-E675-274B-8286-7D565D0DE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182</Pages>
  <Words>55063</Words>
  <Characters>313863</Characters>
  <Application>Microsoft Macintosh Word</Application>
  <DocSecurity>0</DocSecurity>
  <Lines>2615</Lines>
  <Paragraphs>736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368190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dc:creator>
  <cp:lastModifiedBy>Reyna Alorro</cp:lastModifiedBy>
  <cp:revision>18</cp:revision>
  <cp:lastPrinted>2014-08-29T13:38:00Z</cp:lastPrinted>
  <dcterms:created xsi:type="dcterms:W3CDTF">2014-08-29T13:54:00Z</dcterms:created>
  <dcterms:modified xsi:type="dcterms:W3CDTF">2015-09-30T21:41:00Z</dcterms:modified>
</cp:coreProperties>
</file>