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F76D" w14:textId="77777777" w:rsidR="00B140EF" w:rsidRPr="00AA4778" w:rsidRDefault="00B140EF" w:rsidP="00B140EF">
      <w:pPr>
        <w:pStyle w:val="NoSpacing"/>
        <w:jc w:val="center"/>
        <w:rPr>
          <w:rFonts w:ascii="Times New Roman" w:hAnsi="Times New Roman"/>
          <w:b/>
          <w:bCs/>
        </w:rPr>
      </w:pPr>
      <w:r w:rsidRPr="00AA4778">
        <w:rPr>
          <w:rFonts w:ascii="Times New Roman" w:hAnsi="Times New Roman"/>
          <w:b/>
          <w:bCs/>
        </w:rPr>
        <w:t>5</w:t>
      </w:r>
      <w:r w:rsidRPr="00AA4778">
        <w:rPr>
          <w:rFonts w:ascii="Times New Roman" w:hAnsi="Times New Roman"/>
          <w:b/>
          <w:bCs/>
          <w:vertAlign w:val="superscript"/>
        </w:rPr>
        <w:t>th</w:t>
      </w:r>
      <w:r w:rsidRPr="00AA4778">
        <w:rPr>
          <w:rFonts w:ascii="Times New Roman" w:hAnsi="Times New Roman"/>
          <w:b/>
          <w:bCs/>
        </w:rPr>
        <w:t xml:space="preserve"> Asia Pacific Regional Conference on</w:t>
      </w:r>
    </w:p>
    <w:p w14:paraId="41BF16CB" w14:textId="77777777" w:rsidR="00B140EF" w:rsidRPr="00AA4778" w:rsidRDefault="00B140EF" w:rsidP="00B140EF">
      <w:pPr>
        <w:jc w:val="center"/>
        <w:rPr>
          <w:b/>
        </w:rPr>
      </w:pPr>
      <w:r w:rsidRPr="00AA4778">
        <w:rPr>
          <w:b/>
        </w:rPr>
        <w:t>Community Driven Development (CDD)</w:t>
      </w:r>
    </w:p>
    <w:p w14:paraId="604B9561" w14:textId="09B53FE7" w:rsidR="001E67CC" w:rsidRPr="00053905" w:rsidRDefault="00053905" w:rsidP="00B140EF">
      <w:pPr>
        <w:pStyle w:val="NoSpacing"/>
        <w:jc w:val="center"/>
        <w:rPr>
          <w:rFonts w:ascii="Times New Roman" w:hAnsi="Times New Roman"/>
          <w:b/>
          <w:bCs/>
          <w:u w:val="single"/>
        </w:rPr>
      </w:pPr>
      <w:r w:rsidRPr="00053905">
        <w:rPr>
          <w:rFonts w:ascii="Times New Roman" w:hAnsi="Times New Roman"/>
          <w:b/>
          <w:bCs/>
          <w:u w:val="single"/>
        </w:rPr>
        <w:t>Republic of Tajikistan</w:t>
      </w:r>
    </w:p>
    <w:p w14:paraId="6704475E" w14:textId="400141E2" w:rsidR="00B140EF" w:rsidRPr="00AA4778" w:rsidRDefault="00B140EF" w:rsidP="00B140EF">
      <w:pPr>
        <w:pStyle w:val="NoSpacing"/>
        <w:jc w:val="center"/>
        <w:rPr>
          <w:rFonts w:ascii="Times New Roman" w:hAnsi="Times New Roman"/>
          <w:b/>
          <w:bCs/>
        </w:rPr>
      </w:pPr>
    </w:p>
    <w:p w14:paraId="2355BBEB" w14:textId="77777777" w:rsidR="00E85734" w:rsidRPr="0035490A" w:rsidRDefault="00B140EF" w:rsidP="00A55301">
      <w:pPr>
        <w:pStyle w:val="NoSpacing"/>
        <w:numPr>
          <w:ilvl w:val="0"/>
          <w:numId w:val="2"/>
        </w:numPr>
        <w:jc w:val="both"/>
        <w:rPr>
          <w:rFonts w:ascii="Times New Roman" w:hAnsi="Times New Roman"/>
          <w:b/>
          <w:bCs/>
          <w:sz w:val="22"/>
          <w:szCs w:val="22"/>
        </w:rPr>
      </w:pPr>
      <w:r w:rsidRPr="0035490A">
        <w:rPr>
          <w:rFonts w:ascii="Times New Roman" w:hAnsi="Times New Roman"/>
          <w:b/>
          <w:bCs/>
          <w:sz w:val="22"/>
          <w:szCs w:val="22"/>
        </w:rPr>
        <w:t>Name of Project/Program:</w:t>
      </w:r>
    </w:p>
    <w:p w14:paraId="5D306AD8" w14:textId="372F4583" w:rsidR="00B140EF" w:rsidRPr="0035490A" w:rsidRDefault="00AA4778" w:rsidP="00A55301">
      <w:pPr>
        <w:pStyle w:val="NoSpacing"/>
        <w:ind w:left="720"/>
        <w:jc w:val="both"/>
        <w:rPr>
          <w:rFonts w:ascii="Times New Roman" w:hAnsi="Times New Roman"/>
          <w:b/>
          <w:bCs/>
          <w:sz w:val="22"/>
          <w:szCs w:val="22"/>
        </w:rPr>
      </w:pPr>
      <w:r w:rsidRPr="0035490A">
        <w:rPr>
          <w:rFonts w:ascii="Times New Roman" w:hAnsi="Times New Roman"/>
          <w:spacing w:val="-1"/>
          <w:sz w:val="22"/>
          <w:szCs w:val="22"/>
        </w:rPr>
        <w:t>CASA</w:t>
      </w:r>
      <w:r w:rsidR="00FC67AF" w:rsidRPr="0035490A">
        <w:rPr>
          <w:rFonts w:ascii="Times New Roman" w:hAnsi="Times New Roman"/>
          <w:spacing w:val="-1"/>
          <w:sz w:val="22"/>
          <w:szCs w:val="22"/>
        </w:rPr>
        <w:t>-</w:t>
      </w:r>
      <w:r w:rsidRPr="0035490A">
        <w:rPr>
          <w:rFonts w:ascii="Times New Roman" w:hAnsi="Times New Roman"/>
          <w:spacing w:val="-1"/>
          <w:sz w:val="22"/>
          <w:szCs w:val="22"/>
        </w:rPr>
        <w:t>1000 Community Support Project (CSP)</w:t>
      </w:r>
    </w:p>
    <w:p w14:paraId="6764CF54" w14:textId="77777777" w:rsidR="00B140EF" w:rsidRPr="0035490A" w:rsidRDefault="00B140EF" w:rsidP="00A55301">
      <w:pPr>
        <w:pStyle w:val="NoSpacing"/>
        <w:ind w:left="720"/>
        <w:jc w:val="both"/>
        <w:rPr>
          <w:rFonts w:ascii="Times New Roman" w:hAnsi="Times New Roman"/>
          <w:sz w:val="22"/>
          <w:szCs w:val="22"/>
        </w:rPr>
      </w:pPr>
    </w:p>
    <w:p w14:paraId="497E1B20" w14:textId="77777777" w:rsidR="00E85734" w:rsidRPr="0035490A" w:rsidRDefault="00B140EF" w:rsidP="00A55301">
      <w:pPr>
        <w:pStyle w:val="NoSpacing"/>
        <w:numPr>
          <w:ilvl w:val="0"/>
          <w:numId w:val="2"/>
        </w:numPr>
        <w:jc w:val="both"/>
        <w:rPr>
          <w:rFonts w:ascii="Times New Roman" w:hAnsi="Times New Roman"/>
          <w:b/>
          <w:bCs/>
          <w:sz w:val="22"/>
          <w:szCs w:val="22"/>
        </w:rPr>
      </w:pPr>
      <w:r w:rsidRPr="0035490A">
        <w:rPr>
          <w:rFonts w:ascii="Times New Roman" w:hAnsi="Times New Roman"/>
          <w:b/>
          <w:bCs/>
          <w:sz w:val="22"/>
          <w:szCs w:val="22"/>
        </w:rPr>
        <w:t xml:space="preserve">Total </w:t>
      </w:r>
      <w:r w:rsidR="00D972B2" w:rsidRPr="0035490A">
        <w:rPr>
          <w:rFonts w:ascii="Times New Roman" w:hAnsi="Times New Roman"/>
          <w:b/>
          <w:bCs/>
          <w:sz w:val="22"/>
          <w:szCs w:val="22"/>
        </w:rPr>
        <w:t xml:space="preserve">Project/Program </w:t>
      </w:r>
      <w:r w:rsidRPr="0035490A">
        <w:rPr>
          <w:rFonts w:ascii="Times New Roman" w:hAnsi="Times New Roman"/>
          <w:b/>
          <w:bCs/>
          <w:sz w:val="22"/>
          <w:szCs w:val="22"/>
        </w:rPr>
        <w:t>$ Value (of which World Bank or other Development Partner funding):</w:t>
      </w:r>
    </w:p>
    <w:p w14:paraId="5215ABBB" w14:textId="77777777" w:rsidR="00B57018" w:rsidRPr="0035490A" w:rsidRDefault="007D1AFF" w:rsidP="00A55301">
      <w:pPr>
        <w:pStyle w:val="NoSpacing"/>
        <w:ind w:firstLine="720"/>
        <w:jc w:val="both"/>
        <w:rPr>
          <w:rFonts w:ascii="Times New Roman" w:hAnsi="Times New Roman"/>
          <w:sz w:val="22"/>
          <w:szCs w:val="22"/>
        </w:rPr>
      </w:pPr>
      <w:r w:rsidRPr="0035490A">
        <w:rPr>
          <w:rFonts w:ascii="Times New Roman" w:hAnsi="Times New Roman"/>
          <w:sz w:val="22"/>
          <w:szCs w:val="22"/>
        </w:rPr>
        <w:t xml:space="preserve">CSP: </w:t>
      </w:r>
      <w:r w:rsidR="00E85734" w:rsidRPr="0035490A">
        <w:rPr>
          <w:rFonts w:ascii="Times New Roman" w:hAnsi="Times New Roman"/>
          <w:sz w:val="22"/>
          <w:szCs w:val="22"/>
        </w:rPr>
        <w:t>US</w:t>
      </w:r>
      <w:r w:rsidRPr="0035490A">
        <w:rPr>
          <w:rFonts w:ascii="Times New Roman" w:hAnsi="Times New Roman"/>
          <w:sz w:val="22"/>
          <w:szCs w:val="22"/>
        </w:rPr>
        <w:t xml:space="preserve">$ </w:t>
      </w:r>
      <w:r w:rsidR="009406B7" w:rsidRPr="0035490A">
        <w:rPr>
          <w:rFonts w:ascii="Times New Roman" w:hAnsi="Times New Roman"/>
          <w:sz w:val="22"/>
          <w:szCs w:val="22"/>
        </w:rPr>
        <w:t>24</w:t>
      </w:r>
      <w:r w:rsidRPr="0035490A">
        <w:rPr>
          <w:rFonts w:ascii="Times New Roman" w:hAnsi="Times New Roman"/>
          <w:sz w:val="22"/>
          <w:szCs w:val="22"/>
        </w:rPr>
        <w:t>.0</w:t>
      </w:r>
      <w:r w:rsidR="00A1264E" w:rsidRPr="0035490A">
        <w:rPr>
          <w:rFonts w:ascii="Times New Roman" w:hAnsi="Times New Roman"/>
          <w:sz w:val="22"/>
          <w:szCs w:val="22"/>
        </w:rPr>
        <w:t xml:space="preserve"> million</w:t>
      </w:r>
      <w:r w:rsidR="009406B7" w:rsidRPr="0035490A">
        <w:rPr>
          <w:rFonts w:ascii="Times New Roman" w:hAnsi="Times New Roman"/>
          <w:sz w:val="22"/>
          <w:szCs w:val="22"/>
        </w:rPr>
        <w:t xml:space="preserve"> (WB</w:t>
      </w:r>
      <w:r w:rsidR="00B57018" w:rsidRPr="0035490A">
        <w:rPr>
          <w:rFonts w:ascii="Times New Roman" w:hAnsi="Times New Roman"/>
          <w:sz w:val="22"/>
          <w:szCs w:val="22"/>
        </w:rPr>
        <w:t>)</w:t>
      </w:r>
    </w:p>
    <w:p w14:paraId="3BE94C09" w14:textId="1E701331" w:rsidR="00A1264E" w:rsidRPr="0035490A" w:rsidRDefault="00B57018" w:rsidP="00A55301">
      <w:pPr>
        <w:pStyle w:val="NoSpacing"/>
        <w:ind w:firstLine="720"/>
        <w:jc w:val="both"/>
        <w:rPr>
          <w:rFonts w:ascii="Times New Roman" w:hAnsi="Times New Roman"/>
          <w:b/>
          <w:bCs/>
          <w:sz w:val="22"/>
          <w:szCs w:val="22"/>
        </w:rPr>
      </w:pPr>
      <w:r w:rsidRPr="0035490A">
        <w:rPr>
          <w:rFonts w:ascii="Times New Roman" w:hAnsi="Times New Roman"/>
          <w:sz w:val="22"/>
          <w:szCs w:val="22"/>
        </w:rPr>
        <w:t xml:space="preserve">         US$ 2.0 million (MDTF)</w:t>
      </w:r>
      <w:r w:rsidR="00A1264E" w:rsidRPr="0035490A">
        <w:rPr>
          <w:rFonts w:ascii="Times New Roman" w:hAnsi="Times New Roman"/>
          <w:sz w:val="22"/>
          <w:szCs w:val="22"/>
        </w:rPr>
        <w:t xml:space="preserve"> </w:t>
      </w:r>
    </w:p>
    <w:p w14:paraId="2AF91D97" w14:textId="478EC915" w:rsidR="00B140EF" w:rsidRPr="0035490A" w:rsidRDefault="00B140EF" w:rsidP="00A55301">
      <w:pPr>
        <w:pStyle w:val="NoSpacing"/>
        <w:ind w:left="720"/>
        <w:jc w:val="both"/>
        <w:rPr>
          <w:rFonts w:ascii="Times New Roman" w:hAnsi="Times New Roman"/>
          <w:sz w:val="22"/>
          <w:szCs w:val="22"/>
        </w:rPr>
      </w:pPr>
    </w:p>
    <w:p w14:paraId="1578968A" w14:textId="77777777" w:rsidR="00A55301" w:rsidRPr="0035490A" w:rsidRDefault="00B140EF" w:rsidP="00A55301">
      <w:pPr>
        <w:pStyle w:val="NoSpacing"/>
        <w:numPr>
          <w:ilvl w:val="0"/>
          <w:numId w:val="2"/>
        </w:numPr>
        <w:jc w:val="both"/>
        <w:rPr>
          <w:rFonts w:ascii="Times New Roman" w:hAnsi="Times New Roman"/>
          <w:b/>
          <w:bCs/>
          <w:sz w:val="22"/>
          <w:szCs w:val="22"/>
        </w:rPr>
      </w:pPr>
      <w:r w:rsidRPr="0035490A">
        <w:rPr>
          <w:rFonts w:ascii="Times New Roman" w:hAnsi="Times New Roman"/>
          <w:b/>
          <w:bCs/>
          <w:sz w:val="22"/>
          <w:szCs w:val="22"/>
        </w:rPr>
        <w:t>Duration of Project/Program (since inception to current closing date):</w:t>
      </w:r>
    </w:p>
    <w:p w14:paraId="559998BF" w14:textId="7E547B7B" w:rsidR="00B140EF" w:rsidRPr="0035490A" w:rsidRDefault="00AA4778" w:rsidP="00A55301">
      <w:pPr>
        <w:pStyle w:val="NoSpacing"/>
        <w:ind w:left="720"/>
        <w:jc w:val="both"/>
        <w:rPr>
          <w:rFonts w:ascii="Times New Roman" w:hAnsi="Times New Roman"/>
          <w:b/>
          <w:bCs/>
          <w:sz w:val="22"/>
          <w:szCs w:val="22"/>
        </w:rPr>
      </w:pPr>
      <w:r w:rsidRPr="0035490A">
        <w:rPr>
          <w:rFonts w:ascii="Times New Roman" w:hAnsi="Times New Roman"/>
          <w:sz w:val="22"/>
          <w:szCs w:val="22"/>
        </w:rPr>
        <w:t xml:space="preserve">April 30, 2020 </w:t>
      </w:r>
      <w:r w:rsidR="00CC0B2A" w:rsidRPr="0035490A">
        <w:rPr>
          <w:rFonts w:ascii="Times New Roman" w:hAnsi="Times New Roman"/>
          <w:sz w:val="22"/>
          <w:szCs w:val="22"/>
        </w:rPr>
        <w:t>-</w:t>
      </w:r>
      <w:r w:rsidR="00442268" w:rsidRPr="0035490A">
        <w:rPr>
          <w:rFonts w:ascii="Times New Roman" w:hAnsi="Times New Roman"/>
          <w:sz w:val="22"/>
          <w:szCs w:val="22"/>
        </w:rPr>
        <w:t xml:space="preserve"> </w:t>
      </w:r>
      <w:r w:rsidR="00C045C7" w:rsidRPr="0035490A">
        <w:rPr>
          <w:rFonts w:ascii="Times New Roman" w:hAnsi="Times New Roman"/>
          <w:sz w:val="22"/>
          <w:szCs w:val="22"/>
        </w:rPr>
        <w:t>December</w:t>
      </w:r>
      <w:r w:rsidR="00CC0B2A" w:rsidRPr="0035490A">
        <w:rPr>
          <w:rFonts w:ascii="Times New Roman" w:hAnsi="Times New Roman"/>
          <w:sz w:val="22"/>
          <w:szCs w:val="22"/>
        </w:rPr>
        <w:t xml:space="preserve"> </w:t>
      </w:r>
      <w:r w:rsidR="00C045C7" w:rsidRPr="0035490A">
        <w:rPr>
          <w:rFonts w:ascii="Times New Roman" w:hAnsi="Times New Roman"/>
          <w:sz w:val="22"/>
          <w:szCs w:val="22"/>
        </w:rPr>
        <w:t>29</w:t>
      </w:r>
      <w:r w:rsidR="00CC0B2A" w:rsidRPr="0035490A">
        <w:rPr>
          <w:rFonts w:ascii="Times New Roman" w:hAnsi="Times New Roman"/>
          <w:sz w:val="22"/>
          <w:szCs w:val="22"/>
        </w:rPr>
        <w:t>, 202</w:t>
      </w:r>
      <w:r w:rsidR="00C045C7" w:rsidRPr="0035490A">
        <w:rPr>
          <w:rFonts w:ascii="Times New Roman" w:hAnsi="Times New Roman"/>
          <w:sz w:val="22"/>
          <w:szCs w:val="22"/>
        </w:rPr>
        <w:t>3</w:t>
      </w:r>
    </w:p>
    <w:p w14:paraId="26C28C65" w14:textId="77777777" w:rsidR="00CC0B2A" w:rsidRPr="0035490A" w:rsidRDefault="00CC0B2A" w:rsidP="00A55301">
      <w:pPr>
        <w:pStyle w:val="NoSpacing"/>
        <w:ind w:left="720"/>
        <w:jc w:val="both"/>
        <w:rPr>
          <w:rFonts w:ascii="Times New Roman" w:hAnsi="Times New Roman"/>
          <w:b/>
          <w:bCs/>
          <w:sz w:val="22"/>
          <w:szCs w:val="22"/>
        </w:rPr>
      </w:pPr>
    </w:p>
    <w:p w14:paraId="21181C77" w14:textId="77777777" w:rsidR="00E85734" w:rsidRPr="0035490A" w:rsidRDefault="00B140EF" w:rsidP="00A55301">
      <w:pPr>
        <w:pStyle w:val="NoSpacing"/>
        <w:numPr>
          <w:ilvl w:val="0"/>
          <w:numId w:val="2"/>
        </w:numPr>
        <w:jc w:val="both"/>
        <w:rPr>
          <w:rFonts w:ascii="Times New Roman" w:hAnsi="Times New Roman"/>
          <w:b/>
          <w:bCs/>
          <w:sz w:val="22"/>
          <w:szCs w:val="22"/>
        </w:rPr>
      </w:pPr>
      <w:r w:rsidRPr="0035490A">
        <w:rPr>
          <w:rFonts w:ascii="Times New Roman" w:hAnsi="Times New Roman"/>
          <w:b/>
          <w:bCs/>
          <w:sz w:val="22"/>
          <w:szCs w:val="22"/>
        </w:rPr>
        <w:t>Coverage (by geographic/administrative areas and population):</w:t>
      </w:r>
    </w:p>
    <w:p w14:paraId="557C4D76" w14:textId="4C9CFF50" w:rsidR="00B140EF" w:rsidRPr="0035490A" w:rsidRDefault="00C1274E" w:rsidP="00A55301">
      <w:pPr>
        <w:pStyle w:val="NoSpacing"/>
        <w:ind w:left="720"/>
        <w:jc w:val="both"/>
        <w:rPr>
          <w:rFonts w:ascii="Times New Roman" w:hAnsi="Times New Roman"/>
          <w:sz w:val="22"/>
          <w:szCs w:val="22"/>
        </w:rPr>
      </w:pPr>
      <w:r w:rsidRPr="0035490A">
        <w:rPr>
          <w:rFonts w:ascii="Times New Roman" w:hAnsi="Times New Roman"/>
          <w:sz w:val="22"/>
          <w:szCs w:val="22"/>
        </w:rPr>
        <w:t xml:space="preserve">The project covers </w:t>
      </w:r>
      <w:r w:rsidR="00FC67AF" w:rsidRPr="0035490A">
        <w:rPr>
          <w:rFonts w:ascii="Times New Roman" w:hAnsi="Times New Roman"/>
          <w:sz w:val="22"/>
          <w:szCs w:val="22"/>
        </w:rPr>
        <w:t>13</w:t>
      </w:r>
      <w:r w:rsidRPr="0035490A">
        <w:rPr>
          <w:rFonts w:ascii="Times New Roman" w:hAnsi="Times New Roman"/>
          <w:sz w:val="22"/>
          <w:szCs w:val="22"/>
        </w:rPr>
        <w:t xml:space="preserve"> </w:t>
      </w:r>
      <w:r w:rsidR="00A1242E" w:rsidRPr="0035490A">
        <w:rPr>
          <w:rFonts w:ascii="Times New Roman" w:hAnsi="Times New Roman"/>
          <w:sz w:val="22"/>
          <w:szCs w:val="22"/>
        </w:rPr>
        <w:t>districts</w:t>
      </w:r>
      <w:r w:rsidR="0011451D" w:rsidRPr="0035490A">
        <w:rPr>
          <w:rFonts w:ascii="Times New Roman" w:hAnsi="Times New Roman"/>
          <w:sz w:val="22"/>
          <w:szCs w:val="22"/>
        </w:rPr>
        <w:t>,</w:t>
      </w:r>
      <w:r w:rsidR="00A11540" w:rsidRPr="0035490A">
        <w:rPr>
          <w:rFonts w:ascii="Times New Roman" w:hAnsi="Times New Roman"/>
          <w:sz w:val="22"/>
          <w:szCs w:val="22"/>
        </w:rPr>
        <w:t xml:space="preserve"> 2</w:t>
      </w:r>
      <w:r w:rsidR="0011451D" w:rsidRPr="0035490A">
        <w:rPr>
          <w:rFonts w:ascii="Times New Roman" w:hAnsi="Times New Roman"/>
          <w:sz w:val="22"/>
          <w:szCs w:val="22"/>
        </w:rPr>
        <w:t>4</w:t>
      </w:r>
      <w:r w:rsidR="00A11540" w:rsidRPr="0035490A">
        <w:rPr>
          <w:rFonts w:ascii="Times New Roman" w:hAnsi="Times New Roman"/>
          <w:sz w:val="22"/>
          <w:szCs w:val="22"/>
        </w:rPr>
        <w:t xml:space="preserve"> </w:t>
      </w:r>
      <w:proofErr w:type="spellStart"/>
      <w:r w:rsidR="00A11540" w:rsidRPr="0035490A">
        <w:rPr>
          <w:rFonts w:ascii="Times New Roman" w:hAnsi="Times New Roman"/>
          <w:sz w:val="22"/>
          <w:szCs w:val="22"/>
        </w:rPr>
        <w:t>Jamoats</w:t>
      </w:r>
      <w:proofErr w:type="spellEnd"/>
      <w:r w:rsidR="0011451D" w:rsidRPr="0035490A">
        <w:rPr>
          <w:rFonts w:ascii="Times New Roman" w:hAnsi="Times New Roman"/>
          <w:sz w:val="22"/>
          <w:szCs w:val="22"/>
        </w:rPr>
        <w:t xml:space="preserve"> and 75 village</w:t>
      </w:r>
    </w:p>
    <w:p w14:paraId="19BBE455" w14:textId="2CA9F72A" w:rsidR="00B140EF" w:rsidRPr="0035490A" w:rsidRDefault="00B140EF" w:rsidP="00A55301">
      <w:pPr>
        <w:pStyle w:val="NoSpacing"/>
        <w:ind w:left="720"/>
        <w:jc w:val="both"/>
        <w:rPr>
          <w:rFonts w:ascii="Times New Roman" w:hAnsi="Times New Roman"/>
          <w:sz w:val="22"/>
          <w:szCs w:val="22"/>
        </w:rPr>
      </w:pPr>
    </w:p>
    <w:p w14:paraId="5F612FCE" w14:textId="79300B46" w:rsidR="00B140EF" w:rsidRPr="0035490A" w:rsidRDefault="00B140EF" w:rsidP="00A55301">
      <w:pPr>
        <w:pStyle w:val="NoSpacing"/>
        <w:numPr>
          <w:ilvl w:val="0"/>
          <w:numId w:val="2"/>
        </w:numPr>
        <w:jc w:val="both"/>
        <w:rPr>
          <w:rFonts w:ascii="Times New Roman" w:hAnsi="Times New Roman"/>
          <w:b/>
          <w:bCs/>
          <w:sz w:val="22"/>
          <w:szCs w:val="22"/>
        </w:rPr>
      </w:pPr>
      <w:r w:rsidRPr="0035490A">
        <w:rPr>
          <w:rFonts w:ascii="Times New Roman" w:hAnsi="Times New Roman"/>
          <w:b/>
          <w:bCs/>
          <w:sz w:val="22"/>
          <w:szCs w:val="22"/>
        </w:rPr>
        <w:t>Project components (briefly described) and estimated $ value:</w:t>
      </w:r>
    </w:p>
    <w:p w14:paraId="2034B4EF" w14:textId="0CDE837D" w:rsidR="002D1E3E" w:rsidRPr="0035490A" w:rsidRDefault="00C045C7" w:rsidP="00900B2C">
      <w:pPr>
        <w:pStyle w:val="NoSpacing"/>
        <w:ind w:left="720"/>
        <w:jc w:val="both"/>
        <w:rPr>
          <w:rFonts w:ascii="Times New Roman" w:hAnsi="Times New Roman"/>
          <w:b/>
          <w:bCs/>
          <w:sz w:val="22"/>
          <w:szCs w:val="22"/>
        </w:rPr>
      </w:pPr>
      <w:r w:rsidRPr="0035490A">
        <w:rPr>
          <w:rFonts w:ascii="Times New Roman" w:hAnsi="Times New Roman"/>
          <w:b/>
          <w:bCs/>
          <w:sz w:val="22"/>
          <w:szCs w:val="22"/>
        </w:rPr>
        <w:t xml:space="preserve">Component 1: Rural Electricity Supply Improvements </w:t>
      </w:r>
      <w:r w:rsidRPr="0035490A">
        <w:rPr>
          <w:rFonts w:ascii="Times New Roman" w:eastAsia="Calibri" w:hAnsi="Times New Roman"/>
          <w:b/>
          <w:bCs/>
          <w:spacing w:val="-1"/>
          <w:sz w:val="22"/>
          <w:szCs w:val="22"/>
        </w:rPr>
        <w:t>(USD $</w:t>
      </w:r>
      <w:r w:rsidRPr="0035490A">
        <w:rPr>
          <w:rFonts w:ascii="Times New Roman" w:eastAsiaTheme="minorHAnsi" w:hAnsi="Times New Roman"/>
          <w:b/>
          <w:bCs/>
          <w:sz w:val="22"/>
          <w:szCs w:val="22"/>
        </w:rPr>
        <w:t xml:space="preserve">10.00 </w:t>
      </w:r>
      <w:r w:rsidRPr="0035490A">
        <w:rPr>
          <w:rFonts w:ascii="Times New Roman" w:hAnsi="Times New Roman"/>
          <w:b/>
          <w:bCs/>
          <w:sz w:val="22"/>
          <w:szCs w:val="22"/>
        </w:rPr>
        <w:t>million)</w:t>
      </w:r>
      <w:r w:rsidR="00900B2C" w:rsidRPr="0035490A">
        <w:rPr>
          <w:rFonts w:ascii="Times New Roman" w:hAnsi="Times New Roman"/>
          <w:b/>
          <w:bCs/>
          <w:sz w:val="22"/>
          <w:szCs w:val="22"/>
        </w:rPr>
        <w:t>.</w:t>
      </w:r>
      <w:r w:rsidR="0035490A" w:rsidRPr="0035490A">
        <w:rPr>
          <w:rFonts w:ascii="Times New Roman" w:hAnsi="Times New Roman"/>
          <w:b/>
          <w:bCs/>
          <w:sz w:val="22"/>
          <w:szCs w:val="22"/>
        </w:rPr>
        <w:t xml:space="preserve"> </w:t>
      </w:r>
      <w:r w:rsidR="002D1E3E" w:rsidRPr="0035490A">
        <w:rPr>
          <w:rFonts w:ascii="Times New Roman" w:eastAsia="Calibri" w:hAnsi="Times New Roman"/>
          <w:sz w:val="22"/>
          <w:szCs w:val="22"/>
        </w:rPr>
        <w:t>Component 1 focuses on improving the quality of electricity supply in two target areas of the country: (</w:t>
      </w:r>
      <w:proofErr w:type="spellStart"/>
      <w:r w:rsidR="002D1E3E" w:rsidRPr="0035490A">
        <w:rPr>
          <w:rFonts w:ascii="Times New Roman" w:eastAsia="Calibri" w:hAnsi="Times New Roman"/>
          <w:sz w:val="22"/>
          <w:szCs w:val="22"/>
        </w:rPr>
        <w:t>i</w:t>
      </w:r>
      <w:proofErr w:type="spellEnd"/>
      <w:r w:rsidR="002D1E3E" w:rsidRPr="0035490A">
        <w:rPr>
          <w:rFonts w:ascii="Times New Roman" w:eastAsia="Calibri" w:hAnsi="Times New Roman"/>
          <w:sz w:val="22"/>
          <w:szCs w:val="22"/>
        </w:rPr>
        <w:t>) the estimated 6</w:t>
      </w:r>
      <w:r w:rsidR="00FC67AF" w:rsidRPr="0035490A">
        <w:rPr>
          <w:rFonts w:ascii="Times New Roman" w:eastAsia="Calibri" w:hAnsi="Times New Roman"/>
          <w:sz w:val="22"/>
          <w:szCs w:val="22"/>
        </w:rPr>
        <w:t>5</w:t>
      </w:r>
      <w:r w:rsidR="002D1E3E" w:rsidRPr="0035490A">
        <w:rPr>
          <w:rFonts w:ascii="Times New Roman" w:eastAsia="Calibri" w:hAnsi="Times New Roman"/>
          <w:sz w:val="22"/>
          <w:szCs w:val="22"/>
        </w:rPr>
        <w:t xml:space="preserve"> villages that lie within the </w:t>
      </w:r>
      <w:proofErr w:type="spellStart"/>
      <w:r w:rsidR="002D1E3E" w:rsidRPr="0035490A">
        <w:rPr>
          <w:rFonts w:ascii="Times New Roman" w:eastAsia="Calibri" w:hAnsi="Times New Roman"/>
          <w:sz w:val="22"/>
          <w:szCs w:val="22"/>
        </w:rPr>
        <w:t>CoI</w:t>
      </w:r>
      <w:proofErr w:type="spellEnd"/>
      <w:r w:rsidR="002D1E3E" w:rsidRPr="0035490A">
        <w:rPr>
          <w:rFonts w:ascii="Times New Roman" w:eastAsia="Calibri" w:hAnsi="Times New Roman"/>
          <w:sz w:val="22"/>
          <w:szCs w:val="22"/>
        </w:rPr>
        <w:t xml:space="preserve"> in the northern, central, and southern segments of the Transmission Line as it passes through Tajikistan; and (ii) selected villages in the district of Isfara of Tajikistan, but near the Transmission Line as it passes through the </w:t>
      </w:r>
      <w:proofErr w:type="spellStart"/>
      <w:r w:rsidR="002D1E3E" w:rsidRPr="0035490A">
        <w:rPr>
          <w:rFonts w:ascii="Times New Roman" w:eastAsia="Calibri" w:hAnsi="Times New Roman"/>
          <w:sz w:val="22"/>
          <w:szCs w:val="22"/>
        </w:rPr>
        <w:t>Batken</w:t>
      </w:r>
      <w:proofErr w:type="spellEnd"/>
      <w:r w:rsidR="002D1E3E" w:rsidRPr="0035490A">
        <w:rPr>
          <w:rFonts w:ascii="Times New Roman" w:eastAsia="Calibri" w:hAnsi="Times New Roman"/>
          <w:sz w:val="22"/>
          <w:szCs w:val="22"/>
        </w:rPr>
        <w:t xml:space="preserve"> oblast in the Kyrgyz Republic. The </w:t>
      </w:r>
      <w:proofErr w:type="spellStart"/>
      <w:r w:rsidR="002D1E3E" w:rsidRPr="0035490A">
        <w:rPr>
          <w:rFonts w:ascii="Times New Roman" w:eastAsia="Calibri" w:hAnsi="Times New Roman"/>
          <w:sz w:val="22"/>
          <w:szCs w:val="22"/>
        </w:rPr>
        <w:t>GoT</w:t>
      </w:r>
      <w:proofErr w:type="spellEnd"/>
      <w:r w:rsidR="002D1E3E" w:rsidRPr="0035490A">
        <w:rPr>
          <w:rFonts w:ascii="Times New Roman" w:eastAsia="Calibri" w:hAnsi="Times New Roman"/>
          <w:sz w:val="22"/>
          <w:szCs w:val="22"/>
        </w:rPr>
        <w:t xml:space="preserve"> has prioritized support for the Isfara district as a key element of the project, given its proximity to the target areas of the CSP in the Kyrgyz Republic. This coverage will ensure that communities on both sides of the border are sharing in the benefits of CASA1000.</w:t>
      </w:r>
    </w:p>
    <w:p w14:paraId="0F1CA876" w14:textId="7B75CC7E" w:rsidR="008D1465" w:rsidRPr="0035490A" w:rsidRDefault="00C045C7" w:rsidP="0035490A">
      <w:pPr>
        <w:pStyle w:val="NoSpacing"/>
        <w:spacing w:before="240"/>
        <w:ind w:left="720"/>
        <w:jc w:val="both"/>
        <w:rPr>
          <w:rFonts w:ascii="Times New Roman" w:hAnsi="Times New Roman"/>
          <w:sz w:val="22"/>
          <w:szCs w:val="22"/>
        </w:rPr>
      </w:pPr>
      <w:r w:rsidRPr="0035490A">
        <w:rPr>
          <w:rFonts w:ascii="Times New Roman" w:hAnsi="Times New Roman"/>
          <w:b/>
          <w:bCs/>
          <w:sz w:val="22"/>
          <w:szCs w:val="22"/>
        </w:rPr>
        <w:t xml:space="preserve">Component 2: Community – led Investments in Socio-Economic Infrastructure </w:t>
      </w:r>
      <w:r w:rsidRPr="0035490A">
        <w:rPr>
          <w:rFonts w:ascii="Times New Roman" w:eastAsia="Calibri" w:hAnsi="Times New Roman"/>
          <w:b/>
          <w:bCs/>
          <w:spacing w:val="-1"/>
          <w:sz w:val="22"/>
          <w:szCs w:val="22"/>
        </w:rPr>
        <w:t>(USD $</w:t>
      </w:r>
      <w:r w:rsidRPr="0035490A">
        <w:rPr>
          <w:rFonts w:ascii="Times New Roman" w:eastAsiaTheme="minorHAnsi" w:hAnsi="Times New Roman"/>
          <w:b/>
          <w:bCs/>
          <w:sz w:val="22"/>
          <w:szCs w:val="22"/>
        </w:rPr>
        <w:t xml:space="preserve">12.00 </w:t>
      </w:r>
      <w:r w:rsidRPr="0035490A">
        <w:rPr>
          <w:rFonts w:ascii="Times New Roman" w:hAnsi="Times New Roman"/>
          <w:b/>
          <w:bCs/>
          <w:sz w:val="22"/>
          <w:szCs w:val="22"/>
        </w:rPr>
        <w:t>million)</w:t>
      </w:r>
      <w:r w:rsidR="0035490A" w:rsidRPr="0035490A">
        <w:rPr>
          <w:rFonts w:ascii="Times New Roman" w:hAnsi="Times New Roman"/>
          <w:b/>
          <w:bCs/>
          <w:sz w:val="22"/>
          <w:szCs w:val="22"/>
        </w:rPr>
        <w:t xml:space="preserve">. </w:t>
      </w:r>
      <w:r w:rsidR="008D1465" w:rsidRPr="0035490A">
        <w:rPr>
          <w:rFonts w:ascii="Times New Roman" w:hAnsi="Times New Roman"/>
          <w:sz w:val="22"/>
          <w:szCs w:val="22"/>
        </w:rPr>
        <w:t xml:space="preserve">Component 2 finances a sub-project prioritized for communities to improve social and economic infrastructure in the corridor of impact and in the border areas of </w:t>
      </w:r>
      <w:proofErr w:type="spellStart"/>
      <w:r w:rsidR="008D1465" w:rsidRPr="0035490A">
        <w:rPr>
          <w:rFonts w:ascii="Times New Roman" w:hAnsi="Times New Roman"/>
          <w:sz w:val="22"/>
          <w:szCs w:val="22"/>
        </w:rPr>
        <w:t>Vorukh</w:t>
      </w:r>
      <w:proofErr w:type="spellEnd"/>
      <w:r w:rsidR="008D1465" w:rsidRPr="0035490A">
        <w:rPr>
          <w:rFonts w:ascii="Times New Roman" w:hAnsi="Times New Roman"/>
          <w:sz w:val="22"/>
          <w:szCs w:val="22"/>
        </w:rPr>
        <w:t xml:space="preserve"> and </w:t>
      </w:r>
      <w:proofErr w:type="spellStart"/>
      <w:r w:rsidR="008D1465" w:rsidRPr="0035490A">
        <w:rPr>
          <w:rFonts w:ascii="Times New Roman" w:hAnsi="Times New Roman"/>
          <w:sz w:val="22"/>
          <w:szCs w:val="22"/>
        </w:rPr>
        <w:t>Chorkuh</w:t>
      </w:r>
      <w:proofErr w:type="spellEnd"/>
      <w:r w:rsidR="008D1465" w:rsidRPr="0035490A">
        <w:rPr>
          <w:rFonts w:ascii="Times New Roman" w:hAnsi="Times New Roman"/>
          <w:sz w:val="22"/>
          <w:szCs w:val="22"/>
        </w:rPr>
        <w:t xml:space="preserve"> in the city of Isfara. This component will provide sub-grants to villages to support priority small investments in the socio-economic infrastructure of villages in 22 </w:t>
      </w:r>
      <w:proofErr w:type="spellStart"/>
      <w:r w:rsidR="008D1465" w:rsidRPr="0035490A">
        <w:rPr>
          <w:rFonts w:ascii="Times New Roman" w:hAnsi="Times New Roman"/>
          <w:sz w:val="22"/>
          <w:szCs w:val="22"/>
        </w:rPr>
        <w:t>Jamoats</w:t>
      </w:r>
      <w:proofErr w:type="spellEnd"/>
      <w:r w:rsidR="008D1465" w:rsidRPr="0035490A">
        <w:rPr>
          <w:rFonts w:ascii="Times New Roman" w:hAnsi="Times New Roman"/>
          <w:sz w:val="22"/>
          <w:szCs w:val="22"/>
        </w:rPr>
        <w:t xml:space="preserve"> in the </w:t>
      </w:r>
      <w:proofErr w:type="spellStart"/>
      <w:r w:rsidR="008D1465" w:rsidRPr="0035490A">
        <w:rPr>
          <w:rFonts w:ascii="Times New Roman" w:hAnsi="Times New Roman"/>
          <w:sz w:val="22"/>
          <w:szCs w:val="22"/>
        </w:rPr>
        <w:t>CoI</w:t>
      </w:r>
      <w:proofErr w:type="spellEnd"/>
      <w:r w:rsidR="008D1465" w:rsidRPr="0035490A">
        <w:rPr>
          <w:rFonts w:ascii="Times New Roman" w:hAnsi="Times New Roman"/>
          <w:sz w:val="22"/>
          <w:szCs w:val="22"/>
        </w:rPr>
        <w:t xml:space="preserve"> and 11 groups of mahallas in </w:t>
      </w:r>
      <w:proofErr w:type="spellStart"/>
      <w:r w:rsidR="008D1465" w:rsidRPr="0035490A">
        <w:rPr>
          <w:rFonts w:ascii="Times New Roman" w:hAnsi="Times New Roman"/>
          <w:sz w:val="22"/>
          <w:szCs w:val="22"/>
        </w:rPr>
        <w:t>Jamoats</w:t>
      </w:r>
      <w:proofErr w:type="spellEnd"/>
      <w:r w:rsidR="008D1465" w:rsidRPr="0035490A">
        <w:rPr>
          <w:rFonts w:ascii="Times New Roman" w:hAnsi="Times New Roman"/>
          <w:sz w:val="22"/>
          <w:szCs w:val="22"/>
        </w:rPr>
        <w:t xml:space="preserve"> </w:t>
      </w:r>
      <w:proofErr w:type="spellStart"/>
      <w:r w:rsidR="008D1465" w:rsidRPr="0035490A">
        <w:rPr>
          <w:rFonts w:ascii="Times New Roman" w:hAnsi="Times New Roman"/>
          <w:sz w:val="22"/>
          <w:szCs w:val="22"/>
        </w:rPr>
        <w:t>Vorukh</w:t>
      </w:r>
      <w:proofErr w:type="spellEnd"/>
      <w:r w:rsidR="008D1465" w:rsidRPr="0035490A">
        <w:rPr>
          <w:rFonts w:ascii="Times New Roman" w:hAnsi="Times New Roman"/>
          <w:sz w:val="22"/>
          <w:szCs w:val="22"/>
        </w:rPr>
        <w:t xml:space="preserve"> and </w:t>
      </w:r>
      <w:proofErr w:type="spellStart"/>
      <w:r w:rsidR="008D1465" w:rsidRPr="0035490A">
        <w:rPr>
          <w:rFonts w:ascii="Times New Roman" w:hAnsi="Times New Roman"/>
          <w:sz w:val="22"/>
          <w:szCs w:val="22"/>
        </w:rPr>
        <w:t>Chorkuh</w:t>
      </w:r>
      <w:proofErr w:type="spellEnd"/>
      <w:r w:rsidR="008D1465" w:rsidRPr="0035490A">
        <w:rPr>
          <w:rFonts w:ascii="Times New Roman" w:hAnsi="Times New Roman"/>
          <w:sz w:val="22"/>
          <w:szCs w:val="22"/>
        </w:rPr>
        <w:t>.</w:t>
      </w:r>
    </w:p>
    <w:p w14:paraId="2B45E1EA" w14:textId="538C8806" w:rsidR="008D1465" w:rsidRPr="0035490A" w:rsidRDefault="00C045C7" w:rsidP="002B22E0">
      <w:pPr>
        <w:pStyle w:val="NoSpacing"/>
        <w:spacing w:before="240" w:after="240"/>
        <w:ind w:left="720"/>
        <w:jc w:val="both"/>
        <w:rPr>
          <w:rFonts w:ascii="Times New Roman" w:eastAsia="Calibri" w:hAnsi="Times New Roman"/>
          <w:sz w:val="22"/>
          <w:szCs w:val="22"/>
        </w:rPr>
      </w:pPr>
      <w:r w:rsidRPr="0035490A">
        <w:rPr>
          <w:rFonts w:ascii="Times New Roman" w:hAnsi="Times New Roman"/>
          <w:b/>
          <w:bCs/>
          <w:sz w:val="22"/>
          <w:szCs w:val="22"/>
        </w:rPr>
        <w:t>Component 3: Community Mobilization, Capacity Building, and Local Governance (2.50 million)</w:t>
      </w:r>
      <w:r w:rsidR="00F82702">
        <w:rPr>
          <w:rFonts w:ascii="Times New Roman" w:hAnsi="Times New Roman"/>
          <w:b/>
          <w:bCs/>
          <w:sz w:val="22"/>
          <w:szCs w:val="22"/>
        </w:rPr>
        <w:t xml:space="preserve">. </w:t>
      </w:r>
      <w:r w:rsidR="008D1465" w:rsidRPr="00F82702">
        <w:rPr>
          <w:rFonts w:ascii="Times New Roman" w:eastAsia="Calibri" w:hAnsi="Times New Roman"/>
          <w:bCs/>
          <w:sz w:val="22"/>
          <w:szCs w:val="22"/>
        </w:rPr>
        <w:t>Component 3</w:t>
      </w:r>
      <w:r w:rsidR="008D1465" w:rsidRPr="0035490A">
        <w:rPr>
          <w:rFonts w:ascii="Times New Roman" w:eastAsia="Calibri" w:hAnsi="Times New Roman"/>
          <w:b/>
          <w:sz w:val="22"/>
          <w:szCs w:val="22"/>
        </w:rPr>
        <w:t xml:space="preserve"> </w:t>
      </w:r>
      <w:r w:rsidR="008D1465" w:rsidRPr="0035490A">
        <w:rPr>
          <w:rFonts w:ascii="Times New Roman" w:eastAsia="Calibri" w:hAnsi="Times New Roman"/>
          <w:sz w:val="22"/>
          <w:szCs w:val="22"/>
        </w:rPr>
        <w:t>will support community and youth mobilization, as well as local capacity building in the corridor of impact and target areas in the Isfara region.</w:t>
      </w:r>
      <w:r w:rsidR="008D1465" w:rsidRPr="0035490A">
        <w:rPr>
          <w:rFonts w:ascii="Times New Roman" w:eastAsia="Calibri" w:hAnsi="Times New Roman"/>
          <w:b/>
          <w:sz w:val="22"/>
          <w:szCs w:val="22"/>
        </w:rPr>
        <w:t xml:space="preserve"> </w:t>
      </w:r>
      <w:r w:rsidR="008D1465" w:rsidRPr="0035490A">
        <w:rPr>
          <w:rFonts w:ascii="Times New Roman" w:eastAsia="Calibri" w:hAnsi="Times New Roman"/>
          <w:sz w:val="22"/>
          <w:szCs w:val="22"/>
        </w:rPr>
        <w:t>This will include funding activities that support participatory needs assessment, planning and prioritization, community implementation and monitoring, targeted support for youth engagement, innovative mechanisms for social accountability, and capacity building for effective local governance.</w:t>
      </w:r>
      <w:r w:rsidR="00F82702">
        <w:rPr>
          <w:rFonts w:ascii="Times New Roman" w:eastAsia="Calibri" w:hAnsi="Times New Roman"/>
          <w:sz w:val="22"/>
          <w:szCs w:val="22"/>
        </w:rPr>
        <w:t xml:space="preserve"> </w:t>
      </w:r>
      <w:r w:rsidR="008D1465" w:rsidRPr="0035490A">
        <w:rPr>
          <w:rFonts w:ascii="Times New Roman" w:eastAsia="Calibri" w:hAnsi="Times New Roman"/>
          <w:sz w:val="22"/>
          <w:szCs w:val="22"/>
        </w:rPr>
        <w:t>The objective of this component is to strengthen the capacity to implement community-driven development (CDD) to empower and mobilize communities to truly participate in decision-making on the use of project sub-grants allocated to them, and consistently participate throughout the period. implementation of each subproject cycle.</w:t>
      </w:r>
    </w:p>
    <w:p w14:paraId="6B334C7E" w14:textId="76239154" w:rsidR="002B22E0" w:rsidRPr="0035490A" w:rsidRDefault="00C045C7" w:rsidP="00F82702">
      <w:pPr>
        <w:pStyle w:val="NoSpacing"/>
        <w:spacing w:before="240" w:after="240"/>
        <w:ind w:left="720"/>
        <w:jc w:val="both"/>
        <w:rPr>
          <w:rFonts w:ascii="Times New Roman" w:hAnsi="Times New Roman"/>
          <w:sz w:val="22"/>
          <w:szCs w:val="22"/>
        </w:rPr>
      </w:pPr>
      <w:r w:rsidRPr="0035490A">
        <w:rPr>
          <w:rFonts w:ascii="Times New Roman" w:hAnsi="Times New Roman"/>
          <w:b/>
          <w:bCs/>
          <w:sz w:val="22"/>
          <w:szCs w:val="22"/>
        </w:rPr>
        <w:t xml:space="preserve">Component 4: </w:t>
      </w:r>
      <w:r w:rsidR="00CC0B2A" w:rsidRPr="0035490A">
        <w:rPr>
          <w:rFonts w:ascii="Times New Roman" w:hAnsi="Times New Roman"/>
          <w:b/>
          <w:bCs/>
          <w:color w:val="0D0D0D"/>
          <w:sz w:val="22"/>
          <w:szCs w:val="22"/>
        </w:rPr>
        <w:t>Project Management and Monitoring and Evaluation</w:t>
      </w:r>
      <w:r w:rsidR="004A1B06" w:rsidRPr="0035490A">
        <w:rPr>
          <w:rFonts w:ascii="Times New Roman" w:hAnsi="Times New Roman"/>
          <w:b/>
          <w:bCs/>
          <w:color w:val="0D0D0D"/>
          <w:sz w:val="22"/>
          <w:szCs w:val="22"/>
        </w:rPr>
        <w:t xml:space="preserve"> (</w:t>
      </w:r>
      <w:r w:rsidR="004A1B06" w:rsidRPr="0035490A">
        <w:rPr>
          <w:rFonts w:ascii="Times New Roman" w:eastAsia="Calibri" w:hAnsi="Times New Roman"/>
          <w:b/>
          <w:bCs/>
          <w:spacing w:val="-1"/>
          <w:sz w:val="22"/>
          <w:szCs w:val="22"/>
        </w:rPr>
        <w:t>USD $</w:t>
      </w:r>
      <w:r w:rsidRPr="0035490A">
        <w:rPr>
          <w:rFonts w:ascii="Times New Roman" w:eastAsiaTheme="minorHAnsi" w:hAnsi="Times New Roman"/>
          <w:b/>
          <w:bCs/>
          <w:sz w:val="22"/>
          <w:szCs w:val="22"/>
        </w:rPr>
        <w:t>1</w:t>
      </w:r>
      <w:r w:rsidR="00C31D4F" w:rsidRPr="0035490A">
        <w:rPr>
          <w:rFonts w:ascii="Times New Roman" w:eastAsiaTheme="minorHAnsi" w:hAnsi="Times New Roman"/>
          <w:b/>
          <w:bCs/>
          <w:sz w:val="22"/>
          <w:szCs w:val="22"/>
        </w:rPr>
        <w:t>.</w:t>
      </w:r>
      <w:r w:rsidRPr="0035490A">
        <w:rPr>
          <w:rFonts w:ascii="Times New Roman" w:eastAsiaTheme="minorHAnsi" w:hAnsi="Times New Roman"/>
          <w:b/>
          <w:bCs/>
          <w:sz w:val="22"/>
          <w:szCs w:val="22"/>
        </w:rPr>
        <w:t>50</w:t>
      </w:r>
      <w:r w:rsidR="004A1B06" w:rsidRPr="0035490A">
        <w:rPr>
          <w:rFonts w:ascii="Times New Roman" w:eastAsiaTheme="minorHAnsi" w:hAnsi="Times New Roman"/>
          <w:b/>
          <w:bCs/>
          <w:sz w:val="22"/>
          <w:szCs w:val="22"/>
        </w:rPr>
        <w:t xml:space="preserve"> </w:t>
      </w:r>
      <w:r w:rsidR="004A1B06" w:rsidRPr="0035490A">
        <w:rPr>
          <w:rFonts w:ascii="Times New Roman" w:hAnsi="Times New Roman"/>
          <w:b/>
          <w:bCs/>
          <w:sz w:val="22"/>
          <w:szCs w:val="22"/>
        </w:rPr>
        <w:t>million)</w:t>
      </w:r>
      <w:r w:rsidR="00F82702">
        <w:rPr>
          <w:rFonts w:ascii="Times New Roman" w:hAnsi="Times New Roman"/>
          <w:b/>
          <w:bCs/>
          <w:sz w:val="22"/>
          <w:szCs w:val="22"/>
        </w:rPr>
        <w:t xml:space="preserve">. </w:t>
      </w:r>
      <w:r w:rsidR="002B22E0" w:rsidRPr="0035490A">
        <w:rPr>
          <w:rFonts w:ascii="Times New Roman" w:hAnsi="Times New Roman"/>
          <w:spacing w:val="-1"/>
          <w:sz w:val="22"/>
          <w:szCs w:val="22"/>
        </w:rPr>
        <w:t>Subcomponent</w:t>
      </w:r>
      <w:r w:rsidR="002B22E0" w:rsidRPr="0035490A">
        <w:rPr>
          <w:rFonts w:ascii="Times New Roman" w:hAnsi="Times New Roman"/>
          <w:spacing w:val="32"/>
          <w:sz w:val="22"/>
          <w:szCs w:val="22"/>
        </w:rPr>
        <w:t xml:space="preserve"> </w:t>
      </w:r>
      <w:r w:rsidR="002B22E0" w:rsidRPr="0035490A">
        <w:rPr>
          <w:rFonts w:ascii="Times New Roman" w:hAnsi="Times New Roman"/>
          <w:sz w:val="22"/>
          <w:szCs w:val="22"/>
        </w:rPr>
        <w:t>will</w:t>
      </w:r>
      <w:r w:rsidR="002B22E0" w:rsidRPr="0035490A">
        <w:rPr>
          <w:rFonts w:ascii="Times New Roman" w:hAnsi="Times New Roman"/>
          <w:spacing w:val="32"/>
          <w:sz w:val="22"/>
          <w:szCs w:val="22"/>
        </w:rPr>
        <w:t xml:space="preserve"> </w:t>
      </w:r>
      <w:r w:rsidR="002B22E0" w:rsidRPr="0035490A">
        <w:rPr>
          <w:rFonts w:ascii="Times New Roman" w:hAnsi="Times New Roman"/>
          <w:spacing w:val="-1"/>
          <w:sz w:val="22"/>
          <w:szCs w:val="22"/>
        </w:rPr>
        <w:t>finance</w:t>
      </w:r>
      <w:r w:rsidR="002B22E0" w:rsidRPr="0035490A">
        <w:rPr>
          <w:rFonts w:ascii="Times New Roman" w:hAnsi="Times New Roman"/>
          <w:spacing w:val="30"/>
          <w:sz w:val="22"/>
          <w:szCs w:val="22"/>
        </w:rPr>
        <w:t xml:space="preserve"> </w:t>
      </w:r>
      <w:r w:rsidR="002B22E0" w:rsidRPr="0035490A">
        <w:rPr>
          <w:rFonts w:ascii="Times New Roman" w:hAnsi="Times New Roman"/>
          <w:sz w:val="22"/>
          <w:szCs w:val="22"/>
        </w:rPr>
        <w:t>the</w:t>
      </w:r>
      <w:r w:rsidR="002B22E0" w:rsidRPr="0035490A">
        <w:rPr>
          <w:rFonts w:ascii="Times New Roman" w:hAnsi="Times New Roman"/>
          <w:spacing w:val="31"/>
          <w:sz w:val="22"/>
          <w:szCs w:val="22"/>
        </w:rPr>
        <w:t xml:space="preserve"> </w:t>
      </w:r>
      <w:r w:rsidR="002B22E0" w:rsidRPr="0035490A">
        <w:rPr>
          <w:rFonts w:ascii="Times New Roman" w:hAnsi="Times New Roman"/>
          <w:spacing w:val="-1"/>
          <w:sz w:val="22"/>
          <w:szCs w:val="22"/>
        </w:rPr>
        <w:t>incremental</w:t>
      </w:r>
      <w:r w:rsidR="002B22E0" w:rsidRPr="0035490A">
        <w:rPr>
          <w:rFonts w:ascii="Times New Roman" w:hAnsi="Times New Roman"/>
          <w:spacing w:val="47"/>
          <w:sz w:val="22"/>
          <w:szCs w:val="22"/>
        </w:rPr>
        <w:t xml:space="preserve"> </w:t>
      </w:r>
      <w:r w:rsidR="002B22E0" w:rsidRPr="0035490A">
        <w:rPr>
          <w:rFonts w:ascii="Times New Roman" w:hAnsi="Times New Roman"/>
          <w:spacing w:val="-1"/>
          <w:sz w:val="22"/>
          <w:szCs w:val="22"/>
        </w:rPr>
        <w:t>costs</w:t>
      </w:r>
      <w:r w:rsidR="002B22E0" w:rsidRPr="0035490A">
        <w:rPr>
          <w:rFonts w:ascii="Times New Roman" w:hAnsi="Times New Roman"/>
          <w:spacing w:val="49"/>
          <w:sz w:val="22"/>
          <w:szCs w:val="22"/>
        </w:rPr>
        <w:t xml:space="preserve"> </w:t>
      </w:r>
      <w:r w:rsidR="002B22E0" w:rsidRPr="0035490A">
        <w:rPr>
          <w:rFonts w:ascii="Times New Roman" w:hAnsi="Times New Roman"/>
          <w:sz w:val="22"/>
          <w:szCs w:val="22"/>
        </w:rPr>
        <w:t>of</w:t>
      </w:r>
      <w:r w:rsidR="002B22E0" w:rsidRPr="0035490A">
        <w:rPr>
          <w:rFonts w:ascii="Times New Roman" w:hAnsi="Times New Roman"/>
          <w:spacing w:val="49"/>
          <w:sz w:val="22"/>
          <w:szCs w:val="22"/>
        </w:rPr>
        <w:t xml:space="preserve"> </w:t>
      </w:r>
      <w:r w:rsidR="002B22E0" w:rsidRPr="0035490A">
        <w:rPr>
          <w:rFonts w:ascii="Times New Roman" w:hAnsi="Times New Roman"/>
          <w:spacing w:val="-1"/>
          <w:sz w:val="22"/>
          <w:szCs w:val="22"/>
        </w:rPr>
        <w:t>NSIFT</w:t>
      </w:r>
      <w:r w:rsidR="002B22E0" w:rsidRPr="0035490A">
        <w:rPr>
          <w:rFonts w:ascii="Times New Roman" w:hAnsi="Times New Roman"/>
          <w:spacing w:val="48"/>
          <w:sz w:val="22"/>
          <w:szCs w:val="22"/>
        </w:rPr>
        <w:t xml:space="preserve"> </w:t>
      </w:r>
      <w:r w:rsidR="002B22E0" w:rsidRPr="0035490A">
        <w:rPr>
          <w:rFonts w:ascii="Times New Roman" w:hAnsi="Times New Roman"/>
          <w:spacing w:val="-1"/>
          <w:sz w:val="22"/>
          <w:szCs w:val="22"/>
        </w:rPr>
        <w:t>for</w:t>
      </w:r>
      <w:r w:rsidR="002B22E0" w:rsidRPr="0035490A">
        <w:rPr>
          <w:rFonts w:ascii="Times New Roman" w:hAnsi="Times New Roman"/>
          <w:spacing w:val="49"/>
          <w:sz w:val="22"/>
          <w:szCs w:val="22"/>
        </w:rPr>
        <w:t xml:space="preserve"> </w:t>
      </w:r>
      <w:r w:rsidR="002B22E0" w:rsidRPr="0035490A">
        <w:rPr>
          <w:rFonts w:ascii="Times New Roman" w:hAnsi="Times New Roman"/>
          <w:spacing w:val="-1"/>
          <w:sz w:val="22"/>
          <w:szCs w:val="22"/>
        </w:rPr>
        <w:t>overall</w:t>
      </w:r>
      <w:r w:rsidR="002B22E0" w:rsidRPr="0035490A">
        <w:rPr>
          <w:rFonts w:ascii="Times New Roman" w:hAnsi="Times New Roman"/>
          <w:spacing w:val="48"/>
          <w:sz w:val="22"/>
          <w:szCs w:val="22"/>
        </w:rPr>
        <w:t xml:space="preserve"> </w:t>
      </w:r>
      <w:r w:rsidR="002B22E0" w:rsidRPr="0035490A">
        <w:rPr>
          <w:rFonts w:ascii="Times New Roman" w:hAnsi="Times New Roman"/>
          <w:spacing w:val="-1"/>
          <w:sz w:val="22"/>
          <w:szCs w:val="22"/>
        </w:rPr>
        <w:t>project</w:t>
      </w:r>
      <w:r w:rsidR="002B22E0" w:rsidRPr="0035490A">
        <w:rPr>
          <w:rFonts w:ascii="Times New Roman" w:hAnsi="Times New Roman"/>
          <w:spacing w:val="47"/>
          <w:sz w:val="22"/>
          <w:szCs w:val="22"/>
        </w:rPr>
        <w:t xml:space="preserve"> </w:t>
      </w:r>
      <w:r w:rsidR="002B22E0" w:rsidRPr="0035490A">
        <w:rPr>
          <w:rFonts w:ascii="Times New Roman" w:hAnsi="Times New Roman"/>
          <w:spacing w:val="-1"/>
          <w:sz w:val="22"/>
          <w:szCs w:val="22"/>
        </w:rPr>
        <w:t>coordination,</w:t>
      </w:r>
      <w:r w:rsidR="002B22E0" w:rsidRPr="0035490A">
        <w:rPr>
          <w:rFonts w:ascii="Times New Roman" w:hAnsi="Times New Roman"/>
          <w:spacing w:val="46"/>
          <w:sz w:val="22"/>
          <w:szCs w:val="22"/>
        </w:rPr>
        <w:t xml:space="preserve"> </w:t>
      </w:r>
      <w:r w:rsidR="002B22E0" w:rsidRPr="0035490A">
        <w:rPr>
          <w:rFonts w:ascii="Times New Roman" w:hAnsi="Times New Roman"/>
          <w:spacing w:val="-1"/>
          <w:sz w:val="22"/>
          <w:szCs w:val="22"/>
        </w:rPr>
        <w:t>management,</w:t>
      </w:r>
      <w:r w:rsidR="002B22E0" w:rsidRPr="0035490A">
        <w:rPr>
          <w:rFonts w:ascii="Times New Roman" w:hAnsi="Times New Roman"/>
          <w:spacing w:val="49"/>
          <w:sz w:val="22"/>
          <w:szCs w:val="22"/>
        </w:rPr>
        <w:t xml:space="preserve"> </w:t>
      </w:r>
      <w:r w:rsidR="002B22E0" w:rsidRPr="0035490A">
        <w:rPr>
          <w:rFonts w:ascii="Times New Roman" w:hAnsi="Times New Roman"/>
          <w:spacing w:val="-1"/>
          <w:sz w:val="22"/>
          <w:szCs w:val="22"/>
        </w:rPr>
        <w:t>and</w:t>
      </w:r>
      <w:r w:rsidR="002B22E0" w:rsidRPr="0035490A">
        <w:rPr>
          <w:rFonts w:ascii="Times New Roman" w:hAnsi="Times New Roman"/>
          <w:spacing w:val="48"/>
          <w:sz w:val="22"/>
          <w:szCs w:val="22"/>
        </w:rPr>
        <w:t xml:space="preserve"> </w:t>
      </w:r>
      <w:r w:rsidR="002B22E0" w:rsidRPr="0035490A">
        <w:rPr>
          <w:rFonts w:ascii="Times New Roman" w:hAnsi="Times New Roman"/>
          <w:spacing w:val="-1"/>
          <w:sz w:val="22"/>
          <w:szCs w:val="22"/>
        </w:rPr>
        <w:t>supervision</w:t>
      </w:r>
      <w:r w:rsidR="002B22E0" w:rsidRPr="0035490A">
        <w:rPr>
          <w:rFonts w:ascii="Times New Roman" w:hAnsi="Times New Roman"/>
          <w:spacing w:val="47"/>
          <w:sz w:val="22"/>
          <w:szCs w:val="22"/>
        </w:rPr>
        <w:t xml:space="preserve"> </w:t>
      </w:r>
      <w:r w:rsidR="002B22E0" w:rsidRPr="0035490A">
        <w:rPr>
          <w:rFonts w:ascii="Times New Roman" w:hAnsi="Times New Roman"/>
          <w:sz w:val="22"/>
          <w:szCs w:val="22"/>
        </w:rPr>
        <w:t>of</w:t>
      </w:r>
      <w:r w:rsidR="002B22E0" w:rsidRPr="0035490A">
        <w:rPr>
          <w:rFonts w:ascii="Times New Roman" w:hAnsi="Times New Roman"/>
          <w:spacing w:val="93"/>
          <w:sz w:val="22"/>
          <w:szCs w:val="22"/>
        </w:rPr>
        <w:t xml:space="preserve"> </w:t>
      </w:r>
      <w:r w:rsidR="002B22E0" w:rsidRPr="0035490A">
        <w:rPr>
          <w:rFonts w:ascii="Times New Roman" w:hAnsi="Times New Roman"/>
          <w:spacing w:val="-1"/>
          <w:sz w:val="22"/>
          <w:szCs w:val="22"/>
        </w:rPr>
        <w:t>implementation,</w:t>
      </w:r>
      <w:r w:rsidR="002B22E0" w:rsidRPr="0035490A">
        <w:rPr>
          <w:rFonts w:ascii="Times New Roman" w:hAnsi="Times New Roman"/>
          <w:spacing w:val="-2"/>
          <w:sz w:val="22"/>
          <w:szCs w:val="22"/>
        </w:rPr>
        <w:t xml:space="preserve"> </w:t>
      </w:r>
      <w:r w:rsidR="002B22E0" w:rsidRPr="0035490A">
        <w:rPr>
          <w:rFonts w:ascii="Times New Roman" w:hAnsi="Times New Roman"/>
          <w:spacing w:val="-1"/>
          <w:sz w:val="22"/>
          <w:szCs w:val="22"/>
        </w:rPr>
        <w:t>and the</w:t>
      </w:r>
      <w:r w:rsidR="002B22E0" w:rsidRPr="0035490A">
        <w:rPr>
          <w:rFonts w:ascii="Times New Roman" w:hAnsi="Times New Roman"/>
          <w:spacing w:val="-2"/>
          <w:sz w:val="22"/>
          <w:szCs w:val="22"/>
        </w:rPr>
        <w:t xml:space="preserve"> </w:t>
      </w:r>
      <w:r w:rsidR="002B22E0" w:rsidRPr="0035490A">
        <w:rPr>
          <w:rFonts w:ascii="Times New Roman" w:hAnsi="Times New Roman"/>
          <w:spacing w:val="-1"/>
          <w:sz w:val="22"/>
          <w:szCs w:val="22"/>
        </w:rPr>
        <w:t>overall</w:t>
      </w:r>
      <w:r w:rsidR="002B22E0" w:rsidRPr="0035490A">
        <w:rPr>
          <w:rFonts w:ascii="Times New Roman" w:hAnsi="Times New Roman"/>
          <w:spacing w:val="-3"/>
          <w:sz w:val="22"/>
          <w:szCs w:val="22"/>
        </w:rPr>
        <w:t xml:space="preserve"> </w:t>
      </w:r>
      <w:r w:rsidR="002B22E0" w:rsidRPr="0035490A">
        <w:rPr>
          <w:rFonts w:ascii="Times New Roman" w:hAnsi="Times New Roman"/>
          <w:spacing w:val="-1"/>
          <w:sz w:val="22"/>
          <w:szCs w:val="22"/>
        </w:rPr>
        <w:t>MIS,</w:t>
      </w:r>
      <w:r w:rsidR="002B22E0" w:rsidRPr="0035490A">
        <w:rPr>
          <w:rFonts w:ascii="Times New Roman" w:hAnsi="Times New Roman"/>
          <w:sz w:val="22"/>
          <w:szCs w:val="22"/>
        </w:rPr>
        <w:t xml:space="preserve"> </w:t>
      </w:r>
      <w:r w:rsidR="002B22E0" w:rsidRPr="0035490A">
        <w:rPr>
          <w:rFonts w:ascii="Times New Roman" w:hAnsi="Times New Roman"/>
          <w:spacing w:val="-1"/>
          <w:sz w:val="22"/>
          <w:szCs w:val="22"/>
        </w:rPr>
        <w:t>procurement,</w:t>
      </w:r>
      <w:r w:rsidR="002B22E0" w:rsidRPr="0035490A">
        <w:rPr>
          <w:rFonts w:ascii="Times New Roman" w:hAnsi="Times New Roman"/>
          <w:sz w:val="22"/>
          <w:szCs w:val="22"/>
        </w:rPr>
        <w:t xml:space="preserve"> </w:t>
      </w:r>
      <w:r w:rsidR="002B22E0" w:rsidRPr="0035490A">
        <w:rPr>
          <w:rFonts w:ascii="Times New Roman" w:hAnsi="Times New Roman"/>
          <w:spacing w:val="-1"/>
          <w:sz w:val="22"/>
          <w:szCs w:val="22"/>
        </w:rPr>
        <w:t>and FM,</w:t>
      </w:r>
      <w:r w:rsidR="002B22E0" w:rsidRPr="0035490A">
        <w:rPr>
          <w:rFonts w:ascii="Times New Roman" w:hAnsi="Times New Roman"/>
          <w:sz w:val="22"/>
          <w:szCs w:val="22"/>
        </w:rPr>
        <w:t xml:space="preserve"> </w:t>
      </w:r>
      <w:r w:rsidR="002B22E0" w:rsidRPr="0035490A">
        <w:rPr>
          <w:rFonts w:ascii="Times New Roman" w:hAnsi="Times New Roman"/>
          <w:spacing w:val="-1"/>
          <w:sz w:val="22"/>
          <w:szCs w:val="22"/>
        </w:rPr>
        <w:t>including project</w:t>
      </w:r>
      <w:r w:rsidR="002B22E0" w:rsidRPr="0035490A">
        <w:rPr>
          <w:rFonts w:ascii="Times New Roman" w:hAnsi="Times New Roman"/>
          <w:spacing w:val="1"/>
          <w:sz w:val="22"/>
          <w:szCs w:val="22"/>
        </w:rPr>
        <w:t xml:space="preserve"> </w:t>
      </w:r>
      <w:r w:rsidR="002B22E0" w:rsidRPr="0035490A">
        <w:rPr>
          <w:rFonts w:ascii="Times New Roman" w:hAnsi="Times New Roman"/>
          <w:spacing w:val="-1"/>
          <w:sz w:val="22"/>
          <w:szCs w:val="22"/>
        </w:rPr>
        <w:t xml:space="preserve">audits </w:t>
      </w:r>
      <w:r w:rsidR="002B22E0" w:rsidRPr="0035490A">
        <w:rPr>
          <w:rFonts w:ascii="Times New Roman" w:hAnsi="Times New Roman"/>
          <w:sz w:val="22"/>
          <w:szCs w:val="22"/>
        </w:rPr>
        <w:t>and</w:t>
      </w:r>
      <w:r w:rsidR="002B22E0" w:rsidRPr="0035490A">
        <w:rPr>
          <w:rFonts w:ascii="Times New Roman" w:hAnsi="Times New Roman"/>
          <w:spacing w:val="-1"/>
          <w:sz w:val="22"/>
          <w:szCs w:val="22"/>
        </w:rPr>
        <w:t xml:space="preserve"> </w:t>
      </w:r>
      <w:r w:rsidR="002B22E0" w:rsidRPr="0035490A">
        <w:rPr>
          <w:rFonts w:ascii="Times New Roman" w:hAnsi="Times New Roman"/>
          <w:sz w:val="22"/>
          <w:szCs w:val="22"/>
        </w:rPr>
        <w:t>BFM.</w:t>
      </w:r>
    </w:p>
    <w:p w14:paraId="326CE5C9" w14:textId="77777777" w:rsidR="00A55301" w:rsidRPr="0035490A" w:rsidRDefault="00A55301" w:rsidP="00A55301">
      <w:pPr>
        <w:pStyle w:val="NoSpacing"/>
        <w:ind w:firstLine="567"/>
        <w:jc w:val="both"/>
        <w:rPr>
          <w:rFonts w:ascii="Times New Roman" w:hAnsi="Times New Roman"/>
          <w:sz w:val="22"/>
          <w:szCs w:val="22"/>
        </w:rPr>
      </w:pPr>
    </w:p>
    <w:p w14:paraId="3B5E1684" w14:textId="2392996D" w:rsidR="00BD47F3" w:rsidRPr="0035490A" w:rsidRDefault="00B140EF" w:rsidP="00A55301">
      <w:pPr>
        <w:pStyle w:val="NoSpacing"/>
        <w:numPr>
          <w:ilvl w:val="0"/>
          <w:numId w:val="2"/>
        </w:numPr>
        <w:jc w:val="both"/>
        <w:rPr>
          <w:rFonts w:ascii="Times New Roman" w:hAnsi="Times New Roman"/>
          <w:b/>
          <w:bCs/>
          <w:sz w:val="22"/>
          <w:szCs w:val="22"/>
        </w:rPr>
      </w:pPr>
      <w:r w:rsidRPr="0035490A">
        <w:rPr>
          <w:rFonts w:ascii="Times New Roman" w:hAnsi="Times New Roman"/>
          <w:b/>
          <w:bCs/>
          <w:sz w:val="22"/>
          <w:szCs w:val="22"/>
        </w:rPr>
        <w:t>Main implementing agency/agencies:</w:t>
      </w:r>
    </w:p>
    <w:p w14:paraId="4A14AB69" w14:textId="77777777" w:rsidR="00BD47F3" w:rsidRPr="0035490A" w:rsidRDefault="00BD47F3" w:rsidP="00A55301">
      <w:pPr>
        <w:pStyle w:val="NoSpacing"/>
        <w:ind w:left="720"/>
        <w:jc w:val="both"/>
        <w:rPr>
          <w:rFonts w:ascii="Times New Roman" w:hAnsi="Times New Roman"/>
          <w:b/>
          <w:bCs/>
          <w:sz w:val="22"/>
          <w:szCs w:val="22"/>
        </w:rPr>
      </w:pPr>
    </w:p>
    <w:p w14:paraId="530C17FF" w14:textId="250D2AC1" w:rsidR="00B140EF" w:rsidRPr="0035490A" w:rsidRDefault="00CC0B2A" w:rsidP="00A55301">
      <w:pPr>
        <w:pStyle w:val="NoSpacing"/>
        <w:ind w:left="720"/>
        <w:jc w:val="both"/>
        <w:rPr>
          <w:rFonts w:ascii="Times New Roman" w:hAnsi="Times New Roman"/>
          <w:b/>
          <w:bCs/>
          <w:sz w:val="22"/>
          <w:szCs w:val="22"/>
        </w:rPr>
      </w:pPr>
      <w:r w:rsidRPr="0035490A">
        <w:rPr>
          <w:rFonts w:ascii="Times New Roman" w:hAnsi="Times New Roman"/>
          <w:sz w:val="22"/>
          <w:szCs w:val="22"/>
        </w:rPr>
        <w:t>National Social Investment Fund of Tajikistan</w:t>
      </w:r>
      <w:r w:rsidR="00B8278E">
        <w:rPr>
          <w:rFonts w:ascii="Times New Roman" w:hAnsi="Times New Roman"/>
          <w:sz w:val="22"/>
          <w:szCs w:val="22"/>
        </w:rPr>
        <w:t xml:space="preserve"> and Energy Support Project Management Unit.</w:t>
      </w:r>
    </w:p>
    <w:p w14:paraId="2A0A30CD" w14:textId="3C925D15" w:rsidR="00B140EF" w:rsidRPr="0035490A" w:rsidRDefault="00B140EF" w:rsidP="00A55301">
      <w:pPr>
        <w:pStyle w:val="NoSpacing"/>
        <w:ind w:left="720"/>
        <w:jc w:val="both"/>
        <w:rPr>
          <w:rFonts w:ascii="Times New Roman" w:hAnsi="Times New Roman"/>
          <w:sz w:val="22"/>
          <w:szCs w:val="22"/>
        </w:rPr>
      </w:pPr>
    </w:p>
    <w:p w14:paraId="312DFCD8" w14:textId="77777777" w:rsidR="00697C77" w:rsidRPr="0035490A" w:rsidRDefault="00B140EF" w:rsidP="00697C77">
      <w:pPr>
        <w:pStyle w:val="NoSpacing"/>
        <w:numPr>
          <w:ilvl w:val="0"/>
          <w:numId w:val="2"/>
        </w:numPr>
        <w:jc w:val="both"/>
        <w:rPr>
          <w:rFonts w:ascii="Times New Roman" w:hAnsi="Times New Roman"/>
          <w:b/>
          <w:bCs/>
          <w:sz w:val="22"/>
          <w:szCs w:val="22"/>
        </w:rPr>
      </w:pPr>
      <w:r w:rsidRPr="0035490A">
        <w:rPr>
          <w:rFonts w:ascii="Times New Roman" w:hAnsi="Times New Roman"/>
          <w:b/>
          <w:bCs/>
          <w:sz w:val="22"/>
          <w:szCs w:val="22"/>
        </w:rPr>
        <w:t>Other key features:</w:t>
      </w:r>
    </w:p>
    <w:p w14:paraId="438CECED" w14:textId="77777777" w:rsidR="00697C77" w:rsidRPr="0035490A" w:rsidRDefault="00697C77" w:rsidP="00697C77">
      <w:pPr>
        <w:pStyle w:val="NoSpacing"/>
        <w:ind w:left="720"/>
        <w:jc w:val="both"/>
        <w:rPr>
          <w:rFonts w:ascii="Times New Roman" w:hAnsi="Times New Roman"/>
          <w:b/>
          <w:sz w:val="22"/>
          <w:szCs w:val="22"/>
        </w:rPr>
      </w:pPr>
    </w:p>
    <w:p w14:paraId="0FCBA573" w14:textId="4C49BAB7" w:rsidR="00697C77" w:rsidRPr="00B8278E" w:rsidRDefault="00697C77" w:rsidP="00697C77">
      <w:pPr>
        <w:pStyle w:val="NoSpacing"/>
        <w:ind w:left="720"/>
        <w:jc w:val="both"/>
        <w:rPr>
          <w:rFonts w:ascii="Times New Roman" w:hAnsi="Times New Roman"/>
          <w:bCs/>
          <w:sz w:val="22"/>
          <w:szCs w:val="22"/>
        </w:rPr>
      </w:pPr>
      <w:r w:rsidRPr="00B8278E">
        <w:rPr>
          <w:rFonts w:ascii="Times New Roman" w:hAnsi="Times New Roman"/>
          <w:bCs/>
          <w:sz w:val="22"/>
          <w:szCs w:val="22"/>
        </w:rPr>
        <w:t xml:space="preserve">The Community Support Project aim is to engage communities in the development of social, </w:t>
      </w:r>
      <w:proofErr w:type="gramStart"/>
      <w:r w:rsidRPr="00B8278E">
        <w:rPr>
          <w:rFonts w:ascii="Times New Roman" w:hAnsi="Times New Roman"/>
          <w:bCs/>
          <w:sz w:val="22"/>
          <w:szCs w:val="22"/>
        </w:rPr>
        <w:t>economic</w:t>
      </w:r>
      <w:proofErr w:type="gramEnd"/>
      <w:r w:rsidRPr="00B8278E">
        <w:rPr>
          <w:rFonts w:ascii="Times New Roman" w:hAnsi="Times New Roman"/>
          <w:bCs/>
          <w:sz w:val="22"/>
          <w:szCs w:val="22"/>
        </w:rPr>
        <w:t xml:space="preserve"> and electro-energy infrastructure in order to enhance services, livelihoods and inclusion in target villages near the CASA1000 Transmission Line.</w:t>
      </w:r>
    </w:p>
    <w:p w14:paraId="04370DF5" w14:textId="77777777" w:rsidR="00B140EF" w:rsidRPr="00B8278E" w:rsidRDefault="00B140EF" w:rsidP="00A55301">
      <w:pPr>
        <w:pStyle w:val="NoSpacing"/>
        <w:jc w:val="both"/>
        <w:rPr>
          <w:rFonts w:ascii="Times New Roman" w:hAnsi="Times New Roman"/>
          <w:bCs/>
          <w:sz w:val="22"/>
          <w:szCs w:val="22"/>
        </w:rPr>
      </w:pPr>
    </w:p>
    <w:sectPr w:rsidR="00B140EF" w:rsidRPr="00B8278E" w:rsidSect="00053905">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3951" w14:textId="77777777" w:rsidR="00E21B14" w:rsidRDefault="00E21B14" w:rsidP="00B140EF">
      <w:r>
        <w:separator/>
      </w:r>
    </w:p>
  </w:endnote>
  <w:endnote w:type="continuationSeparator" w:id="0">
    <w:p w14:paraId="1034C764" w14:textId="77777777" w:rsidR="00E21B14" w:rsidRDefault="00E21B14" w:rsidP="00B1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736F" w14:textId="77777777" w:rsidR="00E21B14" w:rsidRDefault="00E21B14" w:rsidP="00B140EF">
      <w:r>
        <w:separator/>
      </w:r>
    </w:p>
  </w:footnote>
  <w:footnote w:type="continuationSeparator" w:id="0">
    <w:p w14:paraId="17595E18" w14:textId="77777777" w:rsidR="00E21B14" w:rsidRDefault="00E21B14" w:rsidP="00B1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BE"/>
    <w:multiLevelType w:val="hybridMultilevel"/>
    <w:tmpl w:val="8AD2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31DE"/>
    <w:multiLevelType w:val="hybridMultilevel"/>
    <w:tmpl w:val="A9E2D5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3B50577"/>
    <w:multiLevelType w:val="hybridMultilevel"/>
    <w:tmpl w:val="586E0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11018"/>
    <w:multiLevelType w:val="hybridMultilevel"/>
    <w:tmpl w:val="3E92C96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4D882571"/>
    <w:multiLevelType w:val="hybridMultilevel"/>
    <w:tmpl w:val="1810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3561A7"/>
    <w:multiLevelType w:val="multilevel"/>
    <w:tmpl w:val="355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1222"/>
    <w:multiLevelType w:val="multilevel"/>
    <w:tmpl w:val="D92AA380"/>
    <w:lvl w:ilvl="0">
      <w:start w:val="1"/>
      <w:numFmt w:val="decimal"/>
      <w:lvlText w:val="%1."/>
      <w:lvlJc w:val="left"/>
      <w:pPr>
        <w:ind w:left="1890" w:hanging="360"/>
      </w:pPr>
      <w:rPr>
        <w:rFonts w:hint="default"/>
        <w:b w:val="0"/>
        <w:color w:val="000000" w:themeColor="text1"/>
        <w:sz w:val="22"/>
        <w:szCs w:val="22"/>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69953DFB"/>
    <w:multiLevelType w:val="multilevel"/>
    <w:tmpl w:val="F704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6048A"/>
    <w:multiLevelType w:val="hybridMultilevel"/>
    <w:tmpl w:val="92B006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EF"/>
    <w:rsid w:val="00053905"/>
    <w:rsid w:val="000D6389"/>
    <w:rsid w:val="0011451D"/>
    <w:rsid w:val="00127305"/>
    <w:rsid w:val="001E67CC"/>
    <w:rsid w:val="002B22E0"/>
    <w:rsid w:val="002D1E3E"/>
    <w:rsid w:val="0035490A"/>
    <w:rsid w:val="00361341"/>
    <w:rsid w:val="003C7FAD"/>
    <w:rsid w:val="00442268"/>
    <w:rsid w:val="004A1B06"/>
    <w:rsid w:val="00573411"/>
    <w:rsid w:val="00574937"/>
    <w:rsid w:val="005C6933"/>
    <w:rsid w:val="00697C77"/>
    <w:rsid w:val="006A2622"/>
    <w:rsid w:val="006C22B1"/>
    <w:rsid w:val="007B39CF"/>
    <w:rsid w:val="007D1AFF"/>
    <w:rsid w:val="007F1564"/>
    <w:rsid w:val="007F27E5"/>
    <w:rsid w:val="0080099C"/>
    <w:rsid w:val="00855FCD"/>
    <w:rsid w:val="008D1465"/>
    <w:rsid w:val="00900B2C"/>
    <w:rsid w:val="009406B7"/>
    <w:rsid w:val="00A11540"/>
    <w:rsid w:val="00A1242E"/>
    <w:rsid w:val="00A1264E"/>
    <w:rsid w:val="00A55301"/>
    <w:rsid w:val="00AA4778"/>
    <w:rsid w:val="00AC2846"/>
    <w:rsid w:val="00B140EF"/>
    <w:rsid w:val="00B17BD8"/>
    <w:rsid w:val="00B57018"/>
    <w:rsid w:val="00B8278E"/>
    <w:rsid w:val="00BD47F3"/>
    <w:rsid w:val="00C045C7"/>
    <w:rsid w:val="00C1274E"/>
    <w:rsid w:val="00C26C86"/>
    <w:rsid w:val="00C31D4F"/>
    <w:rsid w:val="00C64E06"/>
    <w:rsid w:val="00CC0B2A"/>
    <w:rsid w:val="00D972B2"/>
    <w:rsid w:val="00E178F0"/>
    <w:rsid w:val="00E21B14"/>
    <w:rsid w:val="00E33776"/>
    <w:rsid w:val="00E85734"/>
    <w:rsid w:val="00EC24E6"/>
    <w:rsid w:val="00EE2FA3"/>
    <w:rsid w:val="00F82702"/>
    <w:rsid w:val="00FC67AF"/>
    <w:rsid w:val="00FE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3DFF4"/>
  <w15:chartTrackingRefBased/>
  <w15:docId w15:val="{4BD3F3F7-2C30-4F72-8284-C8C7B9FE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0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1274E"/>
    <w:pPr>
      <w:widowControl/>
      <w:autoSpaceDE/>
      <w:autoSpaceDN/>
      <w:adjustRightInd/>
      <w:spacing w:before="100" w:beforeAutospacing="1" w:after="100" w:afterAutospacing="1"/>
      <w:outlineLvl w:val="3"/>
    </w:pPr>
    <w:rPr>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0EF"/>
    <w:pPr>
      <w:spacing w:after="0" w:line="240" w:lineRule="auto"/>
    </w:pPr>
    <w:rPr>
      <w:rFonts w:ascii="Cambria" w:eastAsia="MS Mincho" w:hAnsi="Cambria" w:cs="Times New Roman"/>
      <w:sz w:val="24"/>
      <w:szCs w:val="24"/>
    </w:rPr>
  </w:style>
  <w:style w:type="paragraph" w:styleId="NormalWeb">
    <w:name w:val="Normal (Web)"/>
    <w:basedOn w:val="Normal"/>
    <w:uiPriority w:val="99"/>
    <w:semiHidden/>
    <w:unhideWhenUsed/>
    <w:rsid w:val="00A1264E"/>
    <w:pPr>
      <w:widowControl/>
      <w:autoSpaceDE/>
      <w:autoSpaceDN/>
      <w:adjustRightInd/>
      <w:spacing w:before="100" w:beforeAutospacing="1" w:after="100" w:afterAutospacing="1"/>
    </w:pPr>
    <w:rPr>
      <w:lang w:val="ru-RU" w:eastAsia="ru-RU"/>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l,본문(내용"/>
    <w:basedOn w:val="Normal"/>
    <w:uiPriority w:val="34"/>
    <w:qFormat/>
    <w:rsid w:val="00E85734"/>
    <w:pPr>
      <w:ind w:left="720"/>
      <w:contextualSpacing/>
    </w:pPr>
  </w:style>
  <w:style w:type="paragraph" w:styleId="Header">
    <w:name w:val="header"/>
    <w:basedOn w:val="Normal"/>
    <w:link w:val="HeaderChar"/>
    <w:uiPriority w:val="99"/>
    <w:unhideWhenUsed/>
    <w:rsid w:val="00574937"/>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4937"/>
  </w:style>
  <w:style w:type="paragraph" w:customStyle="1" w:styleId="Ha1">
    <w:name w:val="Ha1"/>
    <w:basedOn w:val="Normal"/>
    <w:next w:val="ListParagraph"/>
    <w:link w:val="a"/>
    <w:uiPriority w:val="34"/>
    <w:qFormat/>
    <w:rsid w:val="00574937"/>
    <w:pPr>
      <w:widowControl/>
      <w:autoSpaceDE/>
      <w:autoSpaceDN/>
      <w:adjustRightInd/>
      <w:spacing w:after="160" w:line="259" w:lineRule="auto"/>
      <w:ind w:left="720"/>
      <w:contextualSpacing/>
    </w:pPr>
    <w:rPr>
      <w:rFonts w:ascii="Calibri" w:hAnsi="Calibri"/>
      <w:sz w:val="20"/>
      <w:szCs w:val="20"/>
    </w:rPr>
  </w:style>
  <w:style w:type="character" w:customStyle="1" w:styleId="a">
    <w:name w:val="Абзац списка Знак"/>
    <w:aliases w:val="ADB paragraph numbering Знак,List Paragraph (numbered (a)) Знак,List_Paragraph Знак,Multilevel para_II Знак,List Paragraph1 Знак,Akapit z listą BS Знак,List Paragraph 1 Знак,Bullet1 Знак,Main numbered paragraph Знак,Абзац вправо-1 Знак"/>
    <w:link w:val="Ha1"/>
    <w:uiPriority w:val="34"/>
    <w:qFormat/>
    <w:locked/>
    <w:rsid w:val="00574937"/>
    <w:rPr>
      <w:rFonts w:ascii="Calibri" w:eastAsia="Times New Roman" w:hAnsi="Calibri" w:cs="Times New Roman"/>
      <w:sz w:val="20"/>
      <w:szCs w:val="20"/>
    </w:rPr>
  </w:style>
  <w:style w:type="character" w:customStyle="1" w:styleId="Heading4Char">
    <w:name w:val="Heading 4 Char"/>
    <w:basedOn w:val="DefaultParagraphFont"/>
    <w:link w:val="Heading4"/>
    <w:uiPriority w:val="9"/>
    <w:rsid w:val="00C1274E"/>
    <w:rPr>
      <w:rFonts w:ascii="Times New Roman" w:eastAsia="Times New Roman" w:hAnsi="Times New Roman" w:cs="Times New Roman"/>
      <w:b/>
      <w:bCs/>
      <w:sz w:val="24"/>
      <w:szCs w:val="24"/>
      <w:lang w:val="ru-RU" w:eastAsia="ru-RU"/>
    </w:rPr>
  </w:style>
  <w:style w:type="character" w:customStyle="1" w:styleId="rynqvb">
    <w:name w:val="rynqvb"/>
    <w:basedOn w:val="DefaultParagraphFont"/>
    <w:rsid w:val="007F27E5"/>
  </w:style>
  <w:style w:type="paragraph" w:customStyle="1" w:styleId="Normal133">
    <w:name w:val="Normal_133"/>
    <w:uiPriority w:val="99"/>
    <w:qFormat/>
    <w:rsid w:val="00C045C7"/>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72">
    <w:name w:val="Table Grid_72"/>
    <w:basedOn w:val="TableNormal"/>
    <w:uiPriority w:val="39"/>
    <w:rsid w:val="00C0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451D"/>
    <w:pPr>
      <w:autoSpaceDE/>
      <w:autoSpaceDN/>
      <w:adjustRightInd/>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11451D"/>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6060">
      <w:bodyDiv w:val="1"/>
      <w:marLeft w:val="0"/>
      <w:marRight w:val="0"/>
      <w:marTop w:val="0"/>
      <w:marBottom w:val="0"/>
      <w:divBdr>
        <w:top w:val="none" w:sz="0" w:space="0" w:color="auto"/>
        <w:left w:val="none" w:sz="0" w:space="0" w:color="auto"/>
        <w:bottom w:val="none" w:sz="0" w:space="0" w:color="auto"/>
        <w:right w:val="none" w:sz="0" w:space="0" w:color="auto"/>
      </w:divBdr>
    </w:div>
    <w:div w:id="431365195">
      <w:bodyDiv w:val="1"/>
      <w:marLeft w:val="0"/>
      <w:marRight w:val="0"/>
      <w:marTop w:val="0"/>
      <w:marBottom w:val="0"/>
      <w:divBdr>
        <w:top w:val="none" w:sz="0" w:space="0" w:color="auto"/>
        <w:left w:val="none" w:sz="0" w:space="0" w:color="auto"/>
        <w:bottom w:val="none" w:sz="0" w:space="0" w:color="auto"/>
        <w:right w:val="none" w:sz="0" w:space="0" w:color="auto"/>
      </w:divBdr>
    </w:div>
    <w:div w:id="906721810">
      <w:bodyDiv w:val="1"/>
      <w:marLeft w:val="0"/>
      <w:marRight w:val="0"/>
      <w:marTop w:val="0"/>
      <w:marBottom w:val="0"/>
      <w:divBdr>
        <w:top w:val="none" w:sz="0" w:space="0" w:color="auto"/>
        <w:left w:val="none" w:sz="0" w:space="0" w:color="auto"/>
        <w:bottom w:val="none" w:sz="0" w:space="0" w:color="auto"/>
        <w:right w:val="none" w:sz="0" w:space="0" w:color="auto"/>
      </w:divBdr>
    </w:div>
    <w:div w:id="13359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Bradley</dc:creator>
  <cp:keywords/>
  <dc:description/>
  <cp:lastModifiedBy>Damira Temirbaeva</cp:lastModifiedBy>
  <cp:revision>11</cp:revision>
  <dcterms:created xsi:type="dcterms:W3CDTF">2022-11-29T15:52:00Z</dcterms:created>
  <dcterms:modified xsi:type="dcterms:W3CDTF">2022-11-29T16:00:00Z</dcterms:modified>
</cp:coreProperties>
</file>