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ayout w:type="fixed"/>
        <w:tblCellMar>
          <w:left w:w="288" w:type="dxa"/>
          <w:right w:w="288" w:type="dxa"/>
        </w:tblCellMar>
        <w:tblLook w:val="04A0" w:firstRow="1" w:lastRow="0" w:firstColumn="1" w:lastColumn="0" w:noHBand="0" w:noVBand="1"/>
      </w:tblPr>
      <w:tblGrid>
        <w:gridCol w:w="9000"/>
      </w:tblGrid>
      <w:tr w:rsidR="00164F42" w:rsidRPr="00211208" w14:paraId="1B35EEB8" w14:textId="77777777" w:rsidTr="00164F42">
        <w:trPr>
          <w:trHeight w:val="4770"/>
          <w:jc w:val="center"/>
        </w:trPr>
        <w:tc>
          <w:tcPr>
            <w:tcW w:w="9000" w:type="dxa"/>
            <w:shd w:val="clear" w:color="auto" w:fill="FFFFFF"/>
          </w:tcPr>
          <w:p w14:paraId="047F1ADB" w14:textId="5F2A9910" w:rsidR="00164F42" w:rsidRPr="00211208" w:rsidRDefault="008B0C39" w:rsidP="008B0C39">
            <w:pPr>
              <w:spacing w:line="300" w:lineRule="auto"/>
              <w:jc w:val="center"/>
              <w:rPr>
                <w:rStyle w:val="Strong"/>
                <w:rFonts w:ascii="Arial" w:hAnsi="Arial" w:cs="Arial"/>
                <w:color w:val="757575"/>
              </w:rPr>
            </w:pPr>
            <w:r w:rsidRPr="008B0C39">
              <w:rPr>
                <w:noProof/>
                <w:color w:val="0000FF"/>
              </w:rPr>
              <w:drawing>
                <wp:inline distT="0" distB="0" distL="0" distR="0" wp14:anchorId="003ED5B4" wp14:editId="1BA8B57D">
                  <wp:extent cx="5529866" cy="309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217"/>
                          <a:stretch/>
                        </pic:blipFill>
                        <pic:spPr bwMode="auto">
                          <a:xfrm>
                            <a:off x="0" y="0"/>
                            <a:ext cx="5560579" cy="3108987"/>
                          </a:xfrm>
                          <a:prstGeom prst="rect">
                            <a:avLst/>
                          </a:prstGeom>
                          <a:ln>
                            <a:noFill/>
                          </a:ln>
                          <a:extLst>
                            <a:ext uri="{53640926-AAD7-44D8-BBD7-CCE9431645EC}">
                              <a14:shadowObscured xmlns:a14="http://schemas.microsoft.com/office/drawing/2010/main"/>
                            </a:ext>
                          </a:extLst>
                        </pic:spPr>
                      </pic:pic>
                    </a:graphicData>
                  </a:graphic>
                </wp:inline>
              </w:drawing>
            </w:r>
          </w:p>
        </w:tc>
      </w:tr>
      <w:tr w:rsidR="00164F42" w:rsidRPr="00211208" w14:paraId="36C43E14" w14:textId="77777777" w:rsidTr="00164F42">
        <w:trPr>
          <w:jc w:val="center"/>
        </w:trPr>
        <w:tc>
          <w:tcPr>
            <w:tcW w:w="9000" w:type="dxa"/>
            <w:shd w:val="clear" w:color="auto" w:fill="FFFFFF"/>
          </w:tcPr>
          <w:p w14:paraId="7F13D44B" w14:textId="77777777" w:rsidR="00164F42" w:rsidRPr="00211208" w:rsidRDefault="00164F42" w:rsidP="00E07D89">
            <w:pPr>
              <w:spacing w:line="300" w:lineRule="auto"/>
              <w:rPr>
                <w:rStyle w:val="Strong"/>
                <w:rFonts w:ascii="Arial" w:hAnsi="Arial" w:cs="Arial"/>
                <w:color w:val="757575"/>
              </w:rPr>
            </w:pPr>
          </w:p>
        </w:tc>
      </w:tr>
      <w:tr w:rsidR="00164F42" w:rsidRPr="00211208" w14:paraId="6BAFF9D3" w14:textId="77777777" w:rsidTr="00164F42">
        <w:trPr>
          <w:jc w:val="center"/>
        </w:trPr>
        <w:tc>
          <w:tcPr>
            <w:tcW w:w="9000" w:type="dxa"/>
            <w:shd w:val="clear" w:color="auto" w:fill="FFFFFF"/>
          </w:tcPr>
          <w:p w14:paraId="218E506C" w14:textId="77777777" w:rsidR="00164F42" w:rsidRPr="00211208" w:rsidRDefault="00164F42" w:rsidP="00E07D89">
            <w:pPr>
              <w:spacing w:line="300" w:lineRule="auto"/>
              <w:rPr>
                <w:rStyle w:val="Strong"/>
                <w:rFonts w:ascii="Arial" w:hAnsi="Arial" w:cs="Arial"/>
                <w:color w:val="757575"/>
              </w:rPr>
            </w:pPr>
          </w:p>
        </w:tc>
      </w:tr>
      <w:tr w:rsidR="00164F42" w:rsidRPr="00211208" w14:paraId="03F06321" w14:textId="77777777" w:rsidTr="00164F42">
        <w:trPr>
          <w:jc w:val="center"/>
        </w:trPr>
        <w:tc>
          <w:tcPr>
            <w:tcW w:w="9000" w:type="dxa"/>
            <w:tcBorders>
              <w:bottom w:val="single" w:sz="18" w:space="0" w:color="E7E6E6" w:themeColor="background2"/>
            </w:tcBorders>
            <w:shd w:val="clear" w:color="auto" w:fill="FFFFFF"/>
          </w:tcPr>
          <w:p w14:paraId="59101580" w14:textId="77777777" w:rsidR="00164F42" w:rsidRDefault="00164F42" w:rsidP="00164F42">
            <w:pPr>
              <w:spacing w:line="300" w:lineRule="auto"/>
              <w:rPr>
                <w:rFonts w:ascii="Helvetica" w:hAnsi="Helvetica" w:cs="Helvetica"/>
                <w:color w:val="757575"/>
              </w:rPr>
            </w:pPr>
            <w:r w:rsidRPr="00211208">
              <w:rPr>
                <w:rStyle w:val="Strong"/>
                <w:rFonts w:ascii="Arial" w:hAnsi="Arial" w:cs="Arial"/>
                <w:color w:val="757575"/>
              </w:rPr>
              <w:t>Dear CDD Community of Practice Members,</w:t>
            </w:r>
          </w:p>
          <w:p w14:paraId="5915C776" w14:textId="77777777" w:rsidR="00164F42" w:rsidRPr="00211208" w:rsidRDefault="00164F42" w:rsidP="00164F42">
            <w:pPr>
              <w:spacing w:line="300" w:lineRule="auto"/>
              <w:rPr>
                <w:rFonts w:ascii="Helvetica" w:hAnsi="Helvetica" w:cs="Helvetica"/>
                <w:color w:val="757575"/>
              </w:rPr>
            </w:pPr>
            <w:r w:rsidRPr="00211208">
              <w:rPr>
                <w:rFonts w:ascii="Helvetica" w:hAnsi="Helvetica" w:cs="Helvetica"/>
                <w:color w:val="757575"/>
              </w:rPr>
              <w:t xml:space="preserve">  </w:t>
            </w:r>
          </w:p>
          <w:p w14:paraId="2981506C" w14:textId="1E85C21B" w:rsidR="00D205C9" w:rsidRDefault="00164F42" w:rsidP="003E71BF">
            <w:pPr>
              <w:spacing w:line="300" w:lineRule="auto"/>
              <w:jc w:val="both"/>
              <w:rPr>
                <w:rFonts w:ascii="Arial" w:hAnsi="Arial" w:cs="Arial"/>
                <w:color w:val="757575"/>
              </w:rPr>
            </w:pPr>
            <w:r>
              <w:rPr>
                <w:rFonts w:ascii="Arial" w:hAnsi="Arial" w:cs="Arial"/>
                <w:color w:val="757575"/>
              </w:rPr>
              <w:t>We hope this finds you all well</w:t>
            </w:r>
            <w:r w:rsidR="00D205C9">
              <w:rPr>
                <w:rFonts w:ascii="Arial" w:hAnsi="Arial" w:cs="Arial"/>
                <w:color w:val="757575"/>
              </w:rPr>
              <w:t xml:space="preserve">! In this month’s newsletter, we share recent blogs from the World Bank and Evidence Consortium on Women’s Groups on the role of women and girls in fostering peace, community-led biodiversity conservation, and the impact of training self-help groups in finance and accounting. We also </w:t>
            </w:r>
            <w:r w:rsidR="001079FD">
              <w:rPr>
                <w:rFonts w:ascii="Arial" w:hAnsi="Arial" w:cs="Arial"/>
                <w:color w:val="757575"/>
              </w:rPr>
              <w:t>highlight</w:t>
            </w:r>
            <w:r w:rsidR="00D205C9">
              <w:rPr>
                <w:rFonts w:ascii="Arial" w:hAnsi="Arial" w:cs="Arial"/>
                <w:color w:val="757575"/>
              </w:rPr>
              <w:t xml:space="preserve"> resources on Mercy Corps’ community-led peacebuilding program in Niger and the U.S. Federal Reserve’s upcoming community development series on supporting an inclusive recovery.</w:t>
            </w:r>
          </w:p>
          <w:p w14:paraId="0222443C" w14:textId="77777777" w:rsidR="00D205C9" w:rsidRDefault="00D205C9" w:rsidP="003E71BF">
            <w:pPr>
              <w:spacing w:line="300" w:lineRule="auto"/>
              <w:jc w:val="both"/>
              <w:rPr>
                <w:rFonts w:ascii="Arial" w:hAnsi="Arial" w:cs="Arial"/>
                <w:color w:val="757575"/>
              </w:rPr>
            </w:pPr>
          </w:p>
          <w:p w14:paraId="547073D0" w14:textId="5095C882" w:rsidR="00CC7F34" w:rsidRDefault="00D205C9" w:rsidP="003E71BF">
            <w:pPr>
              <w:spacing w:line="300" w:lineRule="auto"/>
              <w:jc w:val="both"/>
              <w:rPr>
                <w:rFonts w:ascii="Arial" w:hAnsi="Arial" w:cs="Arial"/>
                <w:color w:val="757575"/>
              </w:rPr>
            </w:pPr>
            <w:r>
              <w:rPr>
                <w:rFonts w:ascii="Arial" w:hAnsi="Arial" w:cs="Arial"/>
                <w:color w:val="757575"/>
              </w:rPr>
              <w:t>In case you missed the Bank’s recent events on Inclusive Policies for Migrants and Refugees and Women’s Groups in South Asia: Landscape, Impact, and the Future, we’ve shared links to the recordings below.</w:t>
            </w:r>
          </w:p>
          <w:p w14:paraId="7917C235" w14:textId="77777777" w:rsidR="00CC7F34" w:rsidRDefault="00CC7F34" w:rsidP="00CC7F34">
            <w:pPr>
              <w:spacing w:line="300" w:lineRule="auto"/>
              <w:jc w:val="both"/>
              <w:rPr>
                <w:rFonts w:ascii="Arial" w:hAnsi="Arial" w:cs="Arial"/>
                <w:color w:val="757575"/>
              </w:rPr>
            </w:pPr>
          </w:p>
          <w:p w14:paraId="1F826EAE" w14:textId="77777777" w:rsidR="00164F42" w:rsidRPr="00211208" w:rsidRDefault="00164F42" w:rsidP="00CC7F34">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14:paraId="69DCD3C3" w14:textId="77777777" w:rsidR="00164F42" w:rsidRPr="00211208" w:rsidRDefault="00164F42" w:rsidP="00CC7F34">
            <w:pPr>
              <w:spacing w:line="300" w:lineRule="auto"/>
              <w:jc w:val="both"/>
              <w:rPr>
                <w:rFonts w:ascii="Helvetica" w:hAnsi="Helvetica" w:cs="Helvetica"/>
                <w:color w:val="757575"/>
              </w:rPr>
            </w:pPr>
          </w:p>
          <w:p w14:paraId="57B4D5C7" w14:textId="77777777"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With best wishes,</w:t>
            </w:r>
          </w:p>
          <w:p w14:paraId="4F7A0963" w14:textId="77777777"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 </w:t>
            </w:r>
          </w:p>
          <w:p w14:paraId="17C6E97E" w14:textId="77777777" w:rsidR="00164F42" w:rsidRDefault="00164F42" w:rsidP="00CC7F34">
            <w:pPr>
              <w:spacing w:line="300" w:lineRule="auto"/>
              <w:rPr>
                <w:rFonts w:ascii="Arial" w:hAnsi="Arial" w:cs="Arial"/>
                <w:color w:val="757575"/>
              </w:rPr>
            </w:pPr>
            <w:r w:rsidRPr="00211208">
              <w:rPr>
                <w:rFonts w:ascii="Arial" w:hAnsi="Arial" w:cs="Arial"/>
                <w:color w:val="757575"/>
              </w:rPr>
              <w:t>Susan, Nik, Stephen, Helen, Camila</w:t>
            </w:r>
            <w:r w:rsidR="003D0960">
              <w:rPr>
                <w:rFonts w:ascii="Arial" w:hAnsi="Arial" w:cs="Arial"/>
                <w:color w:val="757575"/>
              </w:rPr>
              <w:t xml:space="preserve"> and Anastasiia</w:t>
            </w:r>
          </w:p>
          <w:p w14:paraId="44F84809" w14:textId="77777777" w:rsidR="00164F42" w:rsidRPr="00164F42" w:rsidRDefault="00164F42" w:rsidP="00164F42">
            <w:pPr>
              <w:spacing w:line="300" w:lineRule="auto"/>
              <w:rPr>
                <w:rStyle w:val="Strong"/>
                <w:rFonts w:ascii="Arial" w:hAnsi="Arial" w:cs="Arial"/>
                <w:b w:val="0"/>
                <w:bCs w:val="0"/>
                <w:color w:val="757575"/>
              </w:rPr>
            </w:pPr>
          </w:p>
        </w:tc>
      </w:tr>
      <w:tr w:rsidR="00567B68" w:rsidRPr="00211208" w14:paraId="66D99BFB"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1CA425AE" w14:textId="77777777" w:rsidTr="00F729E0">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3C778046" w14:textId="77777777" w:rsidTr="00F729E0">
                    <w:tc>
                      <w:tcPr>
                        <w:tcW w:w="8460" w:type="dxa"/>
                        <w:tcBorders>
                          <w:top w:val="single" w:sz="12" w:space="0" w:color="EAEAEA"/>
                          <w:left w:val="nil"/>
                          <w:bottom w:val="nil"/>
                          <w:right w:val="nil"/>
                        </w:tcBorders>
                        <w:vAlign w:val="center"/>
                        <w:hideMark/>
                      </w:tcPr>
                      <w:p w14:paraId="36A39427" w14:textId="77777777" w:rsidR="00567B68" w:rsidRDefault="00567B68" w:rsidP="00567B68"/>
                    </w:tc>
                  </w:tr>
                </w:tbl>
                <w:p w14:paraId="4F80D625" w14:textId="77777777" w:rsidR="00567B68" w:rsidRDefault="00567B68" w:rsidP="00567B68">
                  <w:pPr>
                    <w:rPr>
                      <w:rFonts w:ascii="Times New Roman" w:eastAsia="Times New Roman" w:hAnsi="Times New Roman" w:cs="Times New Roman"/>
                      <w:sz w:val="20"/>
                      <w:szCs w:val="20"/>
                    </w:rPr>
                  </w:pPr>
                </w:p>
              </w:tc>
            </w:tr>
            <w:tr w:rsidR="00567B68" w14:paraId="0445A4E9" w14:textId="77777777" w:rsidTr="00F729E0">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60464EB0" w14:textId="6CF9C30E"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lastRenderedPageBreak/>
                    <w:t>BLOGS</w:t>
                  </w:r>
                </w:p>
              </w:tc>
            </w:tr>
          </w:tbl>
          <w:p w14:paraId="7A4C9413" w14:textId="77777777" w:rsidR="00567B68" w:rsidRPr="008D7193" w:rsidRDefault="00567B68" w:rsidP="00567B68">
            <w:pPr>
              <w:spacing w:line="300" w:lineRule="auto"/>
              <w:jc w:val="both"/>
              <w:rPr>
                <w:rFonts w:ascii="Arial" w:hAnsi="Arial" w:cs="Arial"/>
                <w:color w:val="757575"/>
              </w:rPr>
            </w:pPr>
          </w:p>
        </w:tc>
      </w:tr>
      <w:tr w:rsidR="00C5508E" w:rsidRPr="00211208" w14:paraId="7E573B97" w14:textId="77777777" w:rsidTr="00164F42">
        <w:trPr>
          <w:jc w:val="center"/>
        </w:trPr>
        <w:tc>
          <w:tcPr>
            <w:tcW w:w="9000" w:type="dxa"/>
            <w:shd w:val="clear" w:color="auto" w:fill="FFFFFF"/>
          </w:tcPr>
          <w:p w14:paraId="143CDF82" w14:textId="77777777" w:rsidR="00C5508E" w:rsidRPr="00567B68" w:rsidRDefault="00C5508E" w:rsidP="00C5508E">
            <w:pPr>
              <w:jc w:val="center"/>
              <w:rPr>
                <w:rStyle w:val="Hyperlink"/>
                <w:color w:val="009FDA"/>
              </w:rPr>
            </w:pPr>
          </w:p>
        </w:tc>
      </w:tr>
      <w:tr w:rsidR="00567B68" w:rsidRPr="00211208" w14:paraId="07B2A1B8" w14:textId="77777777" w:rsidTr="00164F42">
        <w:trPr>
          <w:jc w:val="center"/>
        </w:trPr>
        <w:tc>
          <w:tcPr>
            <w:tcW w:w="9000" w:type="dxa"/>
            <w:shd w:val="clear" w:color="auto" w:fill="FFFFFF"/>
          </w:tcPr>
          <w:p w14:paraId="4541C86C" w14:textId="0C996605" w:rsidR="00567B68" w:rsidRDefault="00A37AC0" w:rsidP="00C5508E">
            <w:pPr>
              <w:spacing w:after="120"/>
              <w:jc w:val="center"/>
            </w:pPr>
            <w:hyperlink r:id="rId6" w:history="1">
              <w:r w:rsidR="00310573" w:rsidRPr="00FF5ECF">
                <w:rPr>
                  <w:rStyle w:val="Hyperlink"/>
                  <w:rFonts w:ascii="Arial" w:hAnsi="Arial" w:cs="Arial"/>
                  <w:color w:val="009FDA"/>
                </w:rPr>
                <w:t>Empowering South Sudan’s women and girls is key to fostering peace</w:t>
              </w:r>
            </w:hyperlink>
          </w:p>
        </w:tc>
      </w:tr>
      <w:tr w:rsidR="00567B68" w:rsidRPr="00211208" w14:paraId="7BA6D034" w14:textId="77777777" w:rsidTr="00164F42">
        <w:trPr>
          <w:jc w:val="center"/>
        </w:trPr>
        <w:tc>
          <w:tcPr>
            <w:tcW w:w="9000" w:type="dxa"/>
            <w:shd w:val="clear" w:color="auto" w:fill="FFFFFF"/>
          </w:tcPr>
          <w:p w14:paraId="396636A0" w14:textId="495C9739" w:rsidR="001D590B" w:rsidRDefault="00FF5ECF" w:rsidP="003E71BF">
            <w:pPr>
              <w:spacing w:line="300" w:lineRule="auto"/>
              <w:jc w:val="both"/>
              <w:rPr>
                <w:rFonts w:ascii="Arial" w:hAnsi="Arial" w:cs="Arial"/>
                <w:color w:val="757575"/>
              </w:rPr>
            </w:pPr>
            <w:r>
              <w:rPr>
                <w:rFonts w:ascii="Arial" w:hAnsi="Arial" w:cs="Arial"/>
                <w:color w:val="757575"/>
              </w:rPr>
              <w:t>In this blog, a</w:t>
            </w:r>
            <w:r w:rsidR="00567B68" w:rsidRPr="00567B68">
              <w:rPr>
                <w:rFonts w:ascii="Arial" w:hAnsi="Arial" w:cs="Arial"/>
                <w:color w:val="757575"/>
              </w:rPr>
              <w:t>uthor</w:t>
            </w:r>
            <w:r>
              <w:rPr>
                <w:rFonts w:ascii="Arial" w:hAnsi="Arial" w:cs="Arial"/>
                <w:color w:val="757575"/>
              </w:rPr>
              <w:t xml:space="preserve">s Charity </w:t>
            </w:r>
            <w:proofErr w:type="spellStart"/>
            <w:r>
              <w:rPr>
                <w:rFonts w:ascii="Arial" w:hAnsi="Arial" w:cs="Arial"/>
                <w:color w:val="757575"/>
              </w:rPr>
              <w:t>Nyombe</w:t>
            </w:r>
            <w:proofErr w:type="spellEnd"/>
            <w:r>
              <w:rPr>
                <w:rFonts w:ascii="Arial" w:hAnsi="Arial" w:cs="Arial"/>
                <w:color w:val="757575"/>
              </w:rPr>
              <w:t xml:space="preserve"> Gabriel Modi and Daniel </w:t>
            </w:r>
            <w:proofErr w:type="spellStart"/>
            <w:r>
              <w:rPr>
                <w:rFonts w:ascii="Arial" w:hAnsi="Arial" w:cs="Arial"/>
                <w:color w:val="757575"/>
              </w:rPr>
              <w:t>Balke</w:t>
            </w:r>
            <w:proofErr w:type="spellEnd"/>
            <w:r w:rsidR="00567B68" w:rsidRPr="00567B68">
              <w:rPr>
                <w:rFonts w:ascii="Arial" w:hAnsi="Arial" w:cs="Arial"/>
                <w:color w:val="757575"/>
              </w:rPr>
              <w:t xml:space="preserve"> </w:t>
            </w:r>
            <w:r>
              <w:rPr>
                <w:rFonts w:ascii="Arial" w:hAnsi="Arial" w:cs="Arial"/>
                <w:color w:val="757575"/>
              </w:rPr>
              <w:t>reflect on the critical role that women and girls’ social and economic empowerment plays in fostering peace and sustainable development in South Sudan.</w:t>
            </w:r>
            <w:r w:rsidR="00034F49">
              <w:rPr>
                <w:rFonts w:ascii="Arial" w:hAnsi="Arial" w:cs="Arial"/>
                <w:color w:val="757575"/>
              </w:rPr>
              <w:t xml:space="preserve"> In the face of extraordinary challenges, </w:t>
            </w:r>
            <w:r w:rsidR="001079FD">
              <w:rPr>
                <w:rFonts w:ascii="Arial" w:hAnsi="Arial" w:cs="Arial"/>
                <w:color w:val="757575"/>
              </w:rPr>
              <w:t>South Sudan’s</w:t>
            </w:r>
            <w:r w:rsidR="00034F49">
              <w:rPr>
                <w:rFonts w:ascii="Arial" w:hAnsi="Arial" w:cs="Arial"/>
                <w:color w:val="757575"/>
              </w:rPr>
              <w:t xml:space="preserve"> women demonstrate extraordinary resilience through collective support and action in survivor networks, village savings and loan associations, and other women’s groups.</w:t>
            </w:r>
            <w:r w:rsidR="00E367B4">
              <w:rPr>
                <w:rFonts w:ascii="Arial" w:hAnsi="Arial" w:cs="Arial"/>
                <w:color w:val="757575"/>
              </w:rPr>
              <w:t xml:space="preserve"> </w:t>
            </w:r>
            <w:r w:rsidR="00034F49">
              <w:rPr>
                <w:rFonts w:ascii="Arial" w:hAnsi="Arial" w:cs="Arial"/>
                <w:color w:val="757575"/>
              </w:rPr>
              <w:t>Investing in their</w:t>
            </w:r>
            <w:r w:rsidR="00E367B4">
              <w:rPr>
                <w:rFonts w:ascii="Arial" w:hAnsi="Arial" w:cs="Arial"/>
                <w:color w:val="757575"/>
              </w:rPr>
              <w:t xml:space="preserve"> s</w:t>
            </w:r>
            <w:r w:rsidR="007D686A">
              <w:rPr>
                <w:rFonts w:ascii="Arial" w:hAnsi="Arial" w:cs="Arial"/>
                <w:color w:val="757575"/>
              </w:rPr>
              <w:t xml:space="preserve">ocial and economic empowerment is foundational to the </w:t>
            </w:r>
            <w:r>
              <w:rPr>
                <w:rFonts w:ascii="Arial" w:hAnsi="Arial" w:cs="Arial"/>
                <w:color w:val="757575"/>
              </w:rPr>
              <w:t>newly launched Women’s Social and Economic Empower</w:t>
            </w:r>
            <w:r w:rsidR="001079FD">
              <w:rPr>
                <w:rFonts w:ascii="Arial" w:hAnsi="Arial" w:cs="Arial"/>
                <w:color w:val="757575"/>
              </w:rPr>
              <w:t>ment</w:t>
            </w:r>
            <w:r>
              <w:rPr>
                <w:rFonts w:ascii="Arial" w:hAnsi="Arial" w:cs="Arial"/>
                <w:color w:val="757575"/>
              </w:rPr>
              <w:t xml:space="preserve"> Project (WSEEP)</w:t>
            </w:r>
            <w:r w:rsidR="00034F49">
              <w:rPr>
                <w:rFonts w:ascii="Arial" w:hAnsi="Arial" w:cs="Arial"/>
                <w:color w:val="757575"/>
              </w:rPr>
              <w:t>, led by the Ministry for Gender, Child and Social Welfare in partnership with the World Bank and UN Women.</w:t>
            </w:r>
          </w:p>
          <w:p w14:paraId="6AF2B215" w14:textId="1F3E7048" w:rsidR="00A1698E" w:rsidRPr="00723150" w:rsidRDefault="00A1698E" w:rsidP="003E71BF">
            <w:pPr>
              <w:spacing w:line="300" w:lineRule="auto"/>
              <w:jc w:val="both"/>
              <w:rPr>
                <w:rFonts w:ascii="Arial" w:hAnsi="Arial" w:cs="Arial"/>
              </w:rPr>
            </w:pPr>
          </w:p>
        </w:tc>
      </w:tr>
      <w:tr w:rsidR="007876C7" w:rsidRPr="00211208" w14:paraId="18A2AB66" w14:textId="77777777" w:rsidTr="00164F42">
        <w:trPr>
          <w:jc w:val="center"/>
        </w:trPr>
        <w:tc>
          <w:tcPr>
            <w:tcW w:w="9000" w:type="dxa"/>
            <w:shd w:val="clear" w:color="auto" w:fill="FFFFFF"/>
          </w:tcPr>
          <w:p w14:paraId="44DE20F2" w14:textId="3F40375F" w:rsidR="007876C7" w:rsidRPr="007876C7" w:rsidRDefault="00A37AC0" w:rsidP="0026703E">
            <w:pPr>
              <w:spacing w:line="300" w:lineRule="auto"/>
              <w:jc w:val="center"/>
              <w:rPr>
                <w:rFonts w:ascii="Arial" w:hAnsi="Arial" w:cs="Arial"/>
                <w:color w:val="009FDA"/>
              </w:rPr>
            </w:pPr>
            <w:hyperlink r:id="rId7" w:tgtFrame="_blank" w:history="1">
              <w:r w:rsidR="007876C7" w:rsidRPr="007876C7">
                <w:rPr>
                  <w:rStyle w:val="Hyperlink"/>
                  <w:rFonts w:ascii="Arial" w:hAnsi="Arial" w:cs="Arial"/>
                  <w:color w:val="009FDA"/>
                </w:rPr>
                <w:t>To protect nature, put local communities at the center of climate action</w:t>
              </w:r>
            </w:hyperlink>
          </w:p>
        </w:tc>
      </w:tr>
      <w:tr w:rsidR="007876C7" w:rsidRPr="00211208" w14:paraId="3FA3F6B1" w14:textId="77777777" w:rsidTr="00164F42">
        <w:trPr>
          <w:jc w:val="center"/>
        </w:trPr>
        <w:tc>
          <w:tcPr>
            <w:tcW w:w="9000" w:type="dxa"/>
            <w:shd w:val="clear" w:color="auto" w:fill="FFFFFF"/>
          </w:tcPr>
          <w:p w14:paraId="3D9E9DF3" w14:textId="3E11E257" w:rsidR="007876C7" w:rsidRDefault="0026703E" w:rsidP="003E71BF">
            <w:pPr>
              <w:spacing w:line="300" w:lineRule="auto"/>
              <w:jc w:val="both"/>
              <w:rPr>
                <w:rFonts w:ascii="Arial" w:hAnsi="Arial" w:cs="Arial"/>
                <w:color w:val="757575"/>
              </w:rPr>
            </w:pPr>
            <w:r>
              <w:rPr>
                <w:rFonts w:ascii="Arial" w:hAnsi="Arial" w:cs="Arial"/>
                <w:color w:val="757575"/>
              </w:rPr>
              <w:t xml:space="preserve">Authors Susan Shen and William Bleich share how achieving biodiversity conservation goals (like the “30x30” target in the draft Post-2020 Global Biodiversity Framework) requires engaging and empowering local communities and </w:t>
            </w:r>
            <w:r w:rsidR="001079FD">
              <w:rPr>
                <w:rFonts w:ascii="Arial" w:hAnsi="Arial" w:cs="Arial"/>
                <w:color w:val="757575"/>
              </w:rPr>
              <w:t>i</w:t>
            </w:r>
            <w:r>
              <w:rPr>
                <w:rFonts w:ascii="Arial" w:hAnsi="Arial" w:cs="Arial"/>
                <w:color w:val="757575"/>
              </w:rPr>
              <w:t>ndigenous people. Examples of conservation initiatives with a community-led focus include participatory community-based forest management systems in Cameroon, decentralizing forest management decision-making to the village level in Lao PDR, and the first national-scale model of devolved climate finance in Kenya.</w:t>
            </w:r>
          </w:p>
          <w:p w14:paraId="224EAF33" w14:textId="214A6202" w:rsidR="00A1698E" w:rsidRPr="00567B68" w:rsidRDefault="00A1698E" w:rsidP="003E71BF">
            <w:pPr>
              <w:spacing w:line="300" w:lineRule="auto"/>
              <w:jc w:val="both"/>
              <w:rPr>
                <w:rFonts w:ascii="Arial" w:hAnsi="Arial" w:cs="Arial"/>
                <w:color w:val="757575"/>
              </w:rPr>
            </w:pPr>
          </w:p>
        </w:tc>
      </w:tr>
      <w:tr w:rsidR="00F97F18" w:rsidRPr="00211208" w14:paraId="0BBFE1FE" w14:textId="77777777" w:rsidTr="00164F42">
        <w:trPr>
          <w:jc w:val="center"/>
        </w:trPr>
        <w:tc>
          <w:tcPr>
            <w:tcW w:w="9000" w:type="dxa"/>
            <w:shd w:val="clear" w:color="auto" w:fill="FFFFFF"/>
          </w:tcPr>
          <w:p w14:paraId="41844E62" w14:textId="4DF6BD30" w:rsidR="00F97F18" w:rsidRPr="00567B68" w:rsidRDefault="00A37AC0" w:rsidP="00A1698E">
            <w:pPr>
              <w:spacing w:line="300" w:lineRule="auto"/>
              <w:jc w:val="center"/>
              <w:rPr>
                <w:rFonts w:ascii="Arial" w:hAnsi="Arial" w:cs="Arial"/>
                <w:color w:val="757575"/>
              </w:rPr>
            </w:pPr>
            <w:hyperlink r:id="rId8" w:history="1">
              <w:r w:rsidR="00F97F18" w:rsidRPr="00A1698E">
                <w:rPr>
                  <w:rStyle w:val="Hyperlink"/>
                  <w:rFonts w:ascii="Arial" w:hAnsi="Arial" w:cs="Arial"/>
                  <w:color w:val="009FDA"/>
                </w:rPr>
                <w:t>Empowering women’s economic groups with an innovative financial and accounting training</w:t>
              </w:r>
            </w:hyperlink>
          </w:p>
        </w:tc>
      </w:tr>
      <w:tr w:rsidR="00F97F18" w:rsidRPr="00211208" w14:paraId="5DC287B3" w14:textId="77777777" w:rsidTr="00164F42">
        <w:trPr>
          <w:jc w:val="center"/>
        </w:trPr>
        <w:tc>
          <w:tcPr>
            <w:tcW w:w="9000" w:type="dxa"/>
            <w:shd w:val="clear" w:color="auto" w:fill="FFFFFF"/>
          </w:tcPr>
          <w:p w14:paraId="5949DC67" w14:textId="57437756" w:rsidR="00F97F18" w:rsidRDefault="00F97F18" w:rsidP="003E71BF">
            <w:pPr>
              <w:spacing w:line="300" w:lineRule="auto"/>
              <w:jc w:val="both"/>
              <w:rPr>
                <w:rFonts w:ascii="Arial" w:hAnsi="Arial" w:cs="Arial"/>
                <w:color w:val="757575"/>
              </w:rPr>
            </w:pPr>
            <w:r>
              <w:rPr>
                <w:rFonts w:ascii="Arial" w:hAnsi="Arial" w:cs="Arial"/>
                <w:color w:val="757575"/>
              </w:rPr>
              <w:t xml:space="preserve">This blog from the </w:t>
            </w:r>
            <w:hyperlink r:id="rId9" w:history="1">
              <w:r w:rsidRPr="001079FD">
                <w:rPr>
                  <w:rStyle w:val="Hyperlink"/>
                  <w:rFonts w:ascii="Arial" w:hAnsi="Arial" w:cs="Arial"/>
                  <w:color w:val="009FDA"/>
                </w:rPr>
                <w:t>Evidence Consortium on Women’s Groups</w:t>
              </w:r>
            </w:hyperlink>
            <w:r>
              <w:rPr>
                <w:rFonts w:ascii="Arial" w:hAnsi="Arial" w:cs="Arial"/>
                <w:color w:val="757575"/>
              </w:rPr>
              <w:t xml:space="preserve"> </w:t>
            </w:r>
            <w:r w:rsidR="00A1698E">
              <w:rPr>
                <w:rFonts w:ascii="Arial" w:hAnsi="Arial" w:cs="Arial"/>
                <w:color w:val="757575"/>
              </w:rPr>
              <w:t xml:space="preserve">outlines the process, materials, and </w:t>
            </w:r>
            <w:r>
              <w:rPr>
                <w:rFonts w:ascii="Arial" w:hAnsi="Arial" w:cs="Arial"/>
                <w:color w:val="757575"/>
              </w:rPr>
              <w:t xml:space="preserve">preliminary results from </w:t>
            </w:r>
            <w:r w:rsidR="00A1698E">
              <w:rPr>
                <w:rFonts w:ascii="Arial" w:hAnsi="Arial" w:cs="Arial"/>
                <w:color w:val="757575"/>
              </w:rPr>
              <w:t xml:space="preserve">delivering financial and accounting </w:t>
            </w:r>
            <w:r>
              <w:rPr>
                <w:rFonts w:ascii="Arial" w:hAnsi="Arial" w:cs="Arial"/>
                <w:color w:val="757575"/>
              </w:rPr>
              <w:t xml:space="preserve">training </w:t>
            </w:r>
            <w:r w:rsidR="00A1698E">
              <w:rPr>
                <w:rFonts w:ascii="Arial" w:hAnsi="Arial" w:cs="Arial"/>
                <w:color w:val="757575"/>
              </w:rPr>
              <w:t>to 30</w:t>
            </w:r>
            <w:r>
              <w:rPr>
                <w:rFonts w:ascii="Arial" w:hAnsi="Arial" w:cs="Arial"/>
                <w:color w:val="757575"/>
              </w:rPr>
              <w:t xml:space="preserve"> self-help groups in</w:t>
            </w:r>
            <w:r w:rsidR="00A1698E">
              <w:rPr>
                <w:rFonts w:ascii="Arial" w:hAnsi="Arial" w:cs="Arial"/>
                <w:color w:val="757575"/>
              </w:rPr>
              <w:t xml:space="preserve"> India as part of the National Rural Livelihoods Mission program. Preliminary results suggest</w:t>
            </w:r>
            <w:r w:rsidR="008B0C39">
              <w:rPr>
                <w:rFonts w:ascii="Arial" w:hAnsi="Arial" w:cs="Arial"/>
                <w:color w:val="757575"/>
              </w:rPr>
              <w:t xml:space="preserve"> SHGs were more financially mature and</w:t>
            </w:r>
            <w:r w:rsidR="00A1698E">
              <w:rPr>
                <w:rFonts w:ascii="Arial" w:hAnsi="Arial" w:cs="Arial"/>
                <w:color w:val="757575"/>
              </w:rPr>
              <w:t xml:space="preserve"> members </w:t>
            </w:r>
            <w:r w:rsidR="008B0C39">
              <w:rPr>
                <w:rFonts w:ascii="Arial" w:hAnsi="Arial" w:cs="Arial"/>
                <w:color w:val="757575"/>
              </w:rPr>
              <w:t>reported</w:t>
            </w:r>
            <w:r w:rsidR="00A1698E">
              <w:rPr>
                <w:rFonts w:ascii="Arial" w:hAnsi="Arial" w:cs="Arial"/>
                <w:color w:val="757575"/>
              </w:rPr>
              <w:t xml:space="preserve"> </w:t>
            </w:r>
            <w:r w:rsidR="001079FD">
              <w:rPr>
                <w:rFonts w:ascii="Arial" w:hAnsi="Arial" w:cs="Arial"/>
                <w:color w:val="757575"/>
              </w:rPr>
              <w:t>g</w:t>
            </w:r>
            <w:r w:rsidR="00A1698E">
              <w:rPr>
                <w:rFonts w:ascii="Arial" w:hAnsi="Arial" w:cs="Arial"/>
                <w:color w:val="757575"/>
              </w:rPr>
              <w:t xml:space="preserve">reater confidence </w:t>
            </w:r>
            <w:r w:rsidR="008B0C39">
              <w:rPr>
                <w:rFonts w:ascii="Arial" w:hAnsi="Arial" w:cs="Arial"/>
                <w:color w:val="757575"/>
              </w:rPr>
              <w:t>in</w:t>
            </w:r>
            <w:r w:rsidR="00A1698E">
              <w:rPr>
                <w:rFonts w:ascii="Arial" w:hAnsi="Arial" w:cs="Arial"/>
                <w:color w:val="757575"/>
              </w:rPr>
              <w:t xml:space="preserve"> hold</w:t>
            </w:r>
            <w:r w:rsidR="008B0C39">
              <w:rPr>
                <w:rFonts w:ascii="Arial" w:hAnsi="Arial" w:cs="Arial"/>
                <w:color w:val="757575"/>
              </w:rPr>
              <w:t>ing</w:t>
            </w:r>
            <w:r w:rsidR="00A1698E">
              <w:rPr>
                <w:rFonts w:ascii="Arial" w:hAnsi="Arial" w:cs="Arial"/>
                <w:color w:val="757575"/>
              </w:rPr>
              <w:t xml:space="preserve"> effective meetings</w:t>
            </w:r>
            <w:r w:rsidR="001079FD">
              <w:rPr>
                <w:rFonts w:ascii="Arial" w:hAnsi="Arial" w:cs="Arial"/>
                <w:color w:val="757575"/>
              </w:rPr>
              <w:t xml:space="preserve"> and </w:t>
            </w:r>
            <w:r w:rsidR="005D71D9">
              <w:rPr>
                <w:rFonts w:ascii="Arial" w:hAnsi="Arial" w:cs="Arial"/>
                <w:color w:val="757575"/>
              </w:rPr>
              <w:t>improved savings attitudes</w:t>
            </w:r>
            <w:r w:rsidR="008B0C39">
              <w:rPr>
                <w:rFonts w:ascii="Arial" w:hAnsi="Arial" w:cs="Arial"/>
                <w:color w:val="757575"/>
              </w:rPr>
              <w:t>.</w:t>
            </w:r>
            <w:r w:rsidR="00A1698E">
              <w:rPr>
                <w:rFonts w:ascii="Arial" w:hAnsi="Arial" w:cs="Arial"/>
                <w:color w:val="757575"/>
              </w:rPr>
              <w:t xml:space="preserve">  </w:t>
            </w:r>
          </w:p>
          <w:p w14:paraId="471A79E1" w14:textId="4F24FEA5" w:rsidR="001079FD" w:rsidRPr="00567B68" w:rsidRDefault="001079FD" w:rsidP="003E71BF">
            <w:pPr>
              <w:spacing w:line="300" w:lineRule="auto"/>
              <w:jc w:val="both"/>
              <w:rPr>
                <w:rFonts w:ascii="Arial" w:hAnsi="Arial" w:cs="Arial"/>
                <w:color w:val="757575"/>
              </w:rPr>
            </w:pPr>
          </w:p>
        </w:tc>
      </w:tr>
      <w:tr w:rsidR="004120B3" w:rsidRPr="00211208" w14:paraId="2C42E962"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4120B3" w14:paraId="157CA720" w14:textId="77777777" w:rsidTr="00F56D5E">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4120B3" w14:paraId="77A93846" w14:textId="77777777" w:rsidTr="00F56D5E">
                    <w:tc>
                      <w:tcPr>
                        <w:tcW w:w="8460" w:type="dxa"/>
                        <w:tcBorders>
                          <w:top w:val="single" w:sz="12" w:space="0" w:color="EAEAEA"/>
                          <w:left w:val="nil"/>
                          <w:bottom w:val="nil"/>
                          <w:right w:val="nil"/>
                        </w:tcBorders>
                        <w:vAlign w:val="center"/>
                        <w:hideMark/>
                      </w:tcPr>
                      <w:p w14:paraId="0ECD5E59" w14:textId="77777777" w:rsidR="004120B3" w:rsidRDefault="004120B3" w:rsidP="004120B3"/>
                    </w:tc>
                  </w:tr>
                </w:tbl>
                <w:p w14:paraId="31E0BB42" w14:textId="77777777" w:rsidR="004120B3" w:rsidRDefault="004120B3" w:rsidP="004120B3">
                  <w:pPr>
                    <w:rPr>
                      <w:rFonts w:ascii="Times New Roman" w:eastAsia="Times New Roman" w:hAnsi="Times New Roman" w:cs="Times New Roman"/>
                      <w:sz w:val="20"/>
                      <w:szCs w:val="20"/>
                    </w:rPr>
                  </w:pPr>
                </w:p>
              </w:tc>
            </w:tr>
            <w:tr w:rsidR="004120B3" w14:paraId="08561A49" w14:textId="77777777" w:rsidTr="00F56D5E">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6A24296D" w14:textId="77777777" w:rsidR="004120B3" w:rsidRDefault="004120B3" w:rsidP="004120B3">
                  <w:pPr>
                    <w:jc w:val="center"/>
                    <w:rPr>
                      <w:rFonts w:ascii="Arial" w:hAnsi="Arial" w:cs="Arial"/>
                      <w:sz w:val="36"/>
                      <w:szCs w:val="36"/>
                    </w:rPr>
                  </w:pPr>
                  <w:r>
                    <w:rPr>
                      <w:rFonts w:ascii="Arial" w:hAnsi="Arial" w:cs="Arial"/>
                      <w:b/>
                      <w:bCs/>
                      <w:color w:val="FFFFFF" w:themeColor="background1"/>
                      <w:sz w:val="36"/>
                      <w:szCs w:val="36"/>
                    </w:rPr>
                    <w:t>RESOURCES AND REPORTS</w:t>
                  </w:r>
                </w:p>
              </w:tc>
            </w:tr>
          </w:tbl>
          <w:p w14:paraId="629293F4" w14:textId="77777777" w:rsidR="004120B3" w:rsidRDefault="004120B3" w:rsidP="003E71BF">
            <w:pPr>
              <w:spacing w:line="300" w:lineRule="auto"/>
              <w:jc w:val="both"/>
              <w:rPr>
                <w:rFonts w:ascii="Arial" w:hAnsi="Arial" w:cs="Arial"/>
                <w:color w:val="757575"/>
              </w:rPr>
            </w:pPr>
          </w:p>
        </w:tc>
      </w:tr>
      <w:tr w:rsidR="004120B3" w:rsidRPr="00211208" w14:paraId="6F9C5BAF" w14:textId="77777777" w:rsidTr="00164F42">
        <w:trPr>
          <w:jc w:val="center"/>
        </w:trPr>
        <w:tc>
          <w:tcPr>
            <w:tcW w:w="9000" w:type="dxa"/>
            <w:shd w:val="clear" w:color="auto" w:fill="FFFFFF"/>
          </w:tcPr>
          <w:p w14:paraId="0675C893" w14:textId="77777777" w:rsidR="004120B3" w:rsidRDefault="004120B3" w:rsidP="003E71BF">
            <w:pPr>
              <w:spacing w:line="300" w:lineRule="auto"/>
              <w:jc w:val="both"/>
              <w:rPr>
                <w:rFonts w:ascii="Arial" w:hAnsi="Arial" w:cs="Arial"/>
                <w:color w:val="757575"/>
              </w:rPr>
            </w:pPr>
          </w:p>
        </w:tc>
      </w:tr>
      <w:tr w:rsidR="004120B3" w:rsidRPr="00211208" w14:paraId="00559E46" w14:textId="77777777" w:rsidTr="00164F42">
        <w:trPr>
          <w:jc w:val="center"/>
        </w:trPr>
        <w:tc>
          <w:tcPr>
            <w:tcW w:w="9000" w:type="dxa"/>
            <w:shd w:val="clear" w:color="auto" w:fill="FFFFFF"/>
          </w:tcPr>
          <w:p w14:paraId="3D15972E" w14:textId="71EBD1D4" w:rsidR="004120B3" w:rsidRDefault="00A37AC0" w:rsidP="004120B3">
            <w:pPr>
              <w:spacing w:line="300" w:lineRule="auto"/>
              <w:jc w:val="center"/>
              <w:rPr>
                <w:rFonts w:ascii="Arial" w:hAnsi="Arial" w:cs="Arial"/>
                <w:color w:val="757575"/>
              </w:rPr>
            </w:pPr>
            <w:hyperlink r:id="rId10" w:history="1">
              <w:r w:rsidR="004120B3" w:rsidRPr="00D23112">
                <w:rPr>
                  <w:rStyle w:val="Hyperlink"/>
                  <w:rFonts w:ascii="Arial" w:hAnsi="Arial" w:cs="Arial"/>
                  <w:color w:val="009FDA"/>
                </w:rPr>
                <w:t>Mobilizing Communities to Build Social Cohesion and Reduce Vulnerability to Violent Extremism: Evidence from a Peacebuilding Program in Niger</w:t>
              </w:r>
            </w:hyperlink>
          </w:p>
        </w:tc>
      </w:tr>
      <w:tr w:rsidR="004120B3" w:rsidRPr="00211208" w14:paraId="32CE2E84" w14:textId="77777777" w:rsidTr="00164F42">
        <w:trPr>
          <w:jc w:val="center"/>
        </w:trPr>
        <w:tc>
          <w:tcPr>
            <w:tcW w:w="9000" w:type="dxa"/>
            <w:shd w:val="clear" w:color="auto" w:fill="FFFFFF"/>
          </w:tcPr>
          <w:p w14:paraId="25F66F29" w14:textId="77777777" w:rsidR="004120B3" w:rsidRDefault="004120B3" w:rsidP="004120B3">
            <w:pPr>
              <w:spacing w:line="300" w:lineRule="auto"/>
              <w:jc w:val="both"/>
              <w:rPr>
                <w:rFonts w:ascii="Arial" w:hAnsi="Arial" w:cs="Arial"/>
                <w:color w:val="757575"/>
              </w:rPr>
            </w:pPr>
            <w:r>
              <w:rPr>
                <w:rFonts w:ascii="Arial" w:hAnsi="Arial" w:cs="Arial"/>
                <w:color w:val="757575"/>
              </w:rPr>
              <w:t xml:space="preserve">This report examines the impact of Mercy Corps’ USAID-funded PEACE program operating in Niger’s </w:t>
            </w:r>
            <w:proofErr w:type="spellStart"/>
            <w:r w:rsidRPr="00D23112">
              <w:rPr>
                <w:rFonts w:ascii="Arial" w:hAnsi="Arial" w:cs="Arial"/>
                <w:color w:val="757575"/>
              </w:rPr>
              <w:t>Tillabéri</w:t>
            </w:r>
            <w:proofErr w:type="spellEnd"/>
            <w:r>
              <w:rPr>
                <w:rFonts w:ascii="Arial" w:hAnsi="Arial" w:cs="Arial"/>
                <w:color w:val="757575"/>
              </w:rPr>
              <w:t xml:space="preserve"> region. This program used Mercy Corps’ approach to community mobilization and participatory planning to support communities in identifying </w:t>
            </w:r>
            <w:r>
              <w:rPr>
                <w:rFonts w:ascii="Arial" w:hAnsi="Arial" w:cs="Arial"/>
                <w:color w:val="757575"/>
              </w:rPr>
              <w:lastRenderedPageBreak/>
              <w:t xml:space="preserve">local issues and implementing projects that addressed shared needs. </w:t>
            </w:r>
            <w:r w:rsidRPr="00D23112">
              <w:rPr>
                <w:rFonts w:ascii="Arial" w:hAnsi="Arial" w:cs="Arial"/>
                <w:color w:val="757575"/>
              </w:rPr>
              <w:t xml:space="preserve">Drawing on surveys with more than 1,800 respondents before, during, and after the program, </w:t>
            </w:r>
            <w:r>
              <w:rPr>
                <w:rFonts w:ascii="Arial" w:hAnsi="Arial" w:cs="Arial"/>
                <w:color w:val="757575"/>
              </w:rPr>
              <w:t>this report presents findings on th</w:t>
            </w:r>
            <w:r w:rsidRPr="00D23112">
              <w:rPr>
                <w:rFonts w:ascii="Arial" w:hAnsi="Arial" w:cs="Arial"/>
                <w:color w:val="757575"/>
              </w:rPr>
              <w:t>e</w:t>
            </w:r>
            <w:r>
              <w:rPr>
                <w:rFonts w:ascii="Arial" w:hAnsi="Arial" w:cs="Arial"/>
                <w:color w:val="757575"/>
              </w:rPr>
              <w:t xml:space="preserve"> program’s</w:t>
            </w:r>
            <w:r w:rsidRPr="00D23112">
              <w:rPr>
                <w:rFonts w:ascii="Arial" w:hAnsi="Arial" w:cs="Arial"/>
                <w:color w:val="757575"/>
              </w:rPr>
              <w:t xml:space="preserve"> impact on multiple indicators of social cohesion and violent extremism.</w:t>
            </w:r>
          </w:p>
          <w:p w14:paraId="3FEE44B2" w14:textId="77777777" w:rsidR="004120B3" w:rsidRDefault="004120B3" w:rsidP="003E71BF">
            <w:pPr>
              <w:spacing w:line="300" w:lineRule="auto"/>
              <w:jc w:val="both"/>
              <w:rPr>
                <w:rFonts w:ascii="Arial" w:hAnsi="Arial" w:cs="Arial"/>
                <w:color w:val="757575"/>
              </w:rPr>
            </w:pPr>
          </w:p>
        </w:tc>
      </w:tr>
      <w:tr w:rsidR="004120B3" w:rsidRPr="00211208" w14:paraId="268A07AE" w14:textId="77777777" w:rsidTr="00164F42">
        <w:trPr>
          <w:jc w:val="center"/>
        </w:trPr>
        <w:tc>
          <w:tcPr>
            <w:tcW w:w="9000" w:type="dxa"/>
            <w:shd w:val="clear" w:color="auto" w:fill="FFFFFF"/>
          </w:tcPr>
          <w:p w14:paraId="3A2E8AA7" w14:textId="73153FED" w:rsidR="004120B3" w:rsidRDefault="00A37AC0" w:rsidP="004120B3">
            <w:pPr>
              <w:spacing w:line="300" w:lineRule="auto"/>
              <w:jc w:val="center"/>
              <w:rPr>
                <w:rFonts w:ascii="Arial" w:hAnsi="Arial" w:cs="Arial"/>
                <w:color w:val="757575"/>
              </w:rPr>
            </w:pPr>
            <w:hyperlink r:id="rId11" w:history="1">
              <w:r w:rsidR="004120B3" w:rsidRPr="001E12E0">
                <w:rPr>
                  <w:rStyle w:val="Hyperlink"/>
                  <w:rFonts w:ascii="Arial" w:hAnsi="Arial" w:cs="Arial"/>
                  <w:color w:val="009FDA"/>
                </w:rPr>
                <w:t>Nominations for the GCA Local Adaptation Champions Awards</w:t>
              </w:r>
            </w:hyperlink>
          </w:p>
        </w:tc>
      </w:tr>
      <w:tr w:rsidR="004120B3" w:rsidRPr="00211208" w14:paraId="758C7621" w14:textId="77777777" w:rsidTr="00164F42">
        <w:trPr>
          <w:jc w:val="center"/>
        </w:trPr>
        <w:tc>
          <w:tcPr>
            <w:tcW w:w="9000" w:type="dxa"/>
            <w:shd w:val="clear" w:color="auto" w:fill="FFFFFF"/>
          </w:tcPr>
          <w:p w14:paraId="49EAD73C" w14:textId="2508222A" w:rsidR="004120B3" w:rsidRDefault="004120B3" w:rsidP="004120B3">
            <w:pPr>
              <w:spacing w:line="300" w:lineRule="auto"/>
              <w:jc w:val="both"/>
              <w:rPr>
                <w:rFonts w:ascii="Arial" w:hAnsi="Arial" w:cs="Arial"/>
                <w:color w:val="757575"/>
              </w:rPr>
            </w:pPr>
            <w:r w:rsidRPr="0097146C">
              <w:rPr>
                <w:rFonts w:ascii="Arial" w:hAnsi="Arial" w:cs="Arial"/>
                <w:color w:val="757575"/>
              </w:rPr>
              <w:t xml:space="preserve">The </w:t>
            </w:r>
            <w:hyperlink r:id="rId12" w:history="1">
              <w:r w:rsidRPr="004120B3">
                <w:rPr>
                  <w:rStyle w:val="Hyperlink"/>
                  <w:rFonts w:ascii="Arial" w:hAnsi="Arial" w:cs="Arial"/>
                  <w:color w:val="009FDA"/>
                </w:rPr>
                <w:t>Global Center on Adaptation</w:t>
              </w:r>
            </w:hyperlink>
            <w:r w:rsidRPr="0097146C">
              <w:rPr>
                <w:rFonts w:ascii="Arial" w:hAnsi="Arial" w:cs="Arial"/>
                <w:color w:val="757575"/>
              </w:rPr>
              <w:t xml:space="preserve"> has launched the Local Adaptation Champions Awards to highlight and reward inspiring, innovative and scalable locally led efforts that address climate change and build resilience among vulnerable communities. The call for applications opened on June 10</w:t>
            </w:r>
            <w:r w:rsidRPr="004120B3">
              <w:rPr>
                <w:rFonts w:ascii="Arial" w:hAnsi="Arial" w:cs="Arial"/>
                <w:color w:val="757575"/>
                <w:vertAlign w:val="superscript"/>
              </w:rPr>
              <w:t>th</w:t>
            </w:r>
            <w:r>
              <w:rPr>
                <w:rFonts w:ascii="Arial" w:hAnsi="Arial" w:cs="Arial"/>
                <w:color w:val="757575"/>
              </w:rPr>
              <w:t xml:space="preserve"> </w:t>
            </w:r>
            <w:r w:rsidRPr="0097146C">
              <w:rPr>
                <w:rFonts w:ascii="Arial" w:hAnsi="Arial" w:cs="Arial"/>
                <w:color w:val="757575"/>
              </w:rPr>
              <w:t>and runs to July 10, 2022.</w:t>
            </w:r>
          </w:p>
          <w:p w14:paraId="1E030967" w14:textId="77777777" w:rsidR="004120B3" w:rsidRDefault="004120B3" w:rsidP="003E71BF">
            <w:pPr>
              <w:spacing w:line="300" w:lineRule="auto"/>
              <w:jc w:val="both"/>
              <w:rPr>
                <w:rFonts w:ascii="Arial" w:hAnsi="Arial" w:cs="Arial"/>
                <w:color w:val="757575"/>
              </w:rPr>
            </w:pPr>
          </w:p>
        </w:tc>
      </w:tr>
      <w:tr w:rsidR="005067E8" w:rsidRPr="00211208" w14:paraId="71FCA9B1"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067E8" w14:paraId="03EF18F0" w14:textId="77777777" w:rsidTr="00F56D5E">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067E8" w14:paraId="6BCCC396" w14:textId="77777777" w:rsidTr="00F56D5E">
                    <w:tc>
                      <w:tcPr>
                        <w:tcW w:w="8460" w:type="dxa"/>
                        <w:tcBorders>
                          <w:top w:val="single" w:sz="12" w:space="0" w:color="EAEAEA"/>
                          <w:left w:val="nil"/>
                          <w:bottom w:val="nil"/>
                          <w:right w:val="nil"/>
                        </w:tcBorders>
                        <w:vAlign w:val="center"/>
                        <w:hideMark/>
                      </w:tcPr>
                      <w:p w14:paraId="7F11E009" w14:textId="77777777" w:rsidR="005067E8" w:rsidRDefault="005067E8" w:rsidP="005067E8"/>
                    </w:tc>
                  </w:tr>
                </w:tbl>
                <w:p w14:paraId="29783752" w14:textId="77777777" w:rsidR="005067E8" w:rsidRDefault="005067E8" w:rsidP="005067E8">
                  <w:pPr>
                    <w:rPr>
                      <w:rFonts w:ascii="Times New Roman" w:eastAsia="Times New Roman" w:hAnsi="Times New Roman" w:cs="Times New Roman"/>
                      <w:sz w:val="20"/>
                      <w:szCs w:val="20"/>
                    </w:rPr>
                  </w:pPr>
                </w:p>
              </w:tc>
            </w:tr>
            <w:tr w:rsidR="005067E8" w14:paraId="38680698" w14:textId="77777777" w:rsidTr="00F56D5E">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069C61FE" w14:textId="7D01FBF0" w:rsidR="005067E8" w:rsidRDefault="005067E8" w:rsidP="005067E8">
                  <w:pPr>
                    <w:jc w:val="center"/>
                    <w:rPr>
                      <w:rFonts w:ascii="Arial" w:hAnsi="Arial" w:cs="Arial"/>
                      <w:sz w:val="36"/>
                      <w:szCs w:val="36"/>
                    </w:rPr>
                  </w:pPr>
                  <w:r>
                    <w:rPr>
                      <w:rFonts w:ascii="Arial" w:hAnsi="Arial" w:cs="Arial"/>
                      <w:b/>
                      <w:bCs/>
                      <w:color w:val="FFFFFF" w:themeColor="background1"/>
                      <w:sz w:val="36"/>
                      <w:szCs w:val="36"/>
                    </w:rPr>
                    <w:t>UPCOMING EVENTS</w:t>
                  </w:r>
                </w:p>
              </w:tc>
            </w:tr>
          </w:tbl>
          <w:p w14:paraId="6D690BF5" w14:textId="60A29C8F" w:rsidR="005067E8" w:rsidRDefault="005067E8" w:rsidP="00684AAF">
            <w:pPr>
              <w:spacing w:line="300" w:lineRule="auto"/>
              <w:jc w:val="center"/>
              <w:rPr>
                <w:rFonts w:ascii="Arial" w:hAnsi="Arial" w:cs="Arial"/>
                <w:color w:val="757575"/>
              </w:rPr>
            </w:pPr>
          </w:p>
        </w:tc>
      </w:tr>
      <w:tr w:rsidR="001E12E0" w:rsidRPr="00211208" w14:paraId="457B6FDB" w14:textId="77777777" w:rsidTr="00164F42">
        <w:trPr>
          <w:jc w:val="center"/>
        </w:trPr>
        <w:tc>
          <w:tcPr>
            <w:tcW w:w="9000" w:type="dxa"/>
            <w:shd w:val="clear" w:color="auto" w:fill="FFFFFF"/>
          </w:tcPr>
          <w:p w14:paraId="31CDF6A2" w14:textId="77777777" w:rsidR="001E12E0" w:rsidRPr="00684AAF" w:rsidRDefault="001E12E0" w:rsidP="001E12E0">
            <w:pPr>
              <w:spacing w:line="300" w:lineRule="auto"/>
              <w:jc w:val="center"/>
              <w:rPr>
                <w:rFonts w:ascii="Arial" w:hAnsi="Arial" w:cs="Arial"/>
                <w:color w:val="009FDA"/>
              </w:rPr>
            </w:pPr>
          </w:p>
        </w:tc>
      </w:tr>
      <w:tr w:rsidR="001E12E0" w:rsidRPr="00211208" w14:paraId="2AD7FA83" w14:textId="77777777" w:rsidTr="00164F42">
        <w:trPr>
          <w:jc w:val="center"/>
        </w:trPr>
        <w:tc>
          <w:tcPr>
            <w:tcW w:w="9000" w:type="dxa"/>
            <w:shd w:val="clear" w:color="auto" w:fill="FFFFFF"/>
          </w:tcPr>
          <w:p w14:paraId="2550E117" w14:textId="595D11D5" w:rsidR="001E12E0" w:rsidRDefault="00A37AC0" w:rsidP="001E12E0">
            <w:pPr>
              <w:spacing w:line="300" w:lineRule="auto"/>
              <w:jc w:val="center"/>
              <w:rPr>
                <w:rFonts w:ascii="Arial" w:hAnsi="Arial" w:cs="Arial"/>
                <w:color w:val="757575"/>
              </w:rPr>
            </w:pPr>
            <w:hyperlink r:id="rId13" w:history="1">
              <w:r w:rsidR="001E12E0" w:rsidRPr="00684AAF">
                <w:rPr>
                  <w:rStyle w:val="Hyperlink"/>
                  <w:rFonts w:ascii="Arial" w:hAnsi="Arial" w:cs="Arial"/>
                  <w:color w:val="009FDA"/>
                </w:rPr>
                <w:t>Toward an Inclusive Recovery</w:t>
              </w:r>
            </w:hyperlink>
          </w:p>
        </w:tc>
      </w:tr>
      <w:tr w:rsidR="005067E8" w:rsidRPr="00211208" w14:paraId="015FC0A6" w14:textId="77777777" w:rsidTr="00164F42">
        <w:trPr>
          <w:jc w:val="center"/>
        </w:trPr>
        <w:tc>
          <w:tcPr>
            <w:tcW w:w="9000" w:type="dxa"/>
            <w:shd w:val="clear" w:color="auto" w:fill="FFFFFF"/>
          </w:tcPr>
          <w:p w14:paraId="20B9B72F" w14:textId="77777777" w:rsidR="005067E8" w:rsidRDefault="00684AAF" w:rsidP="003E71BF">
            <w:pPr>
              <w:spacing w:line="300" w:lineRule="auto"/>
              <w:jc w:val="both"/>
              <w:rPr>
                <w:rFonts w:ascii="Arial" w:hAnsi="Arial" w:cs="Arial"/>
                <w:color w:val="757575"/>
              </w:rPr>
            </w:pPr>
            <w:r>
              <w:rPr>
                <w:rFonts w:ascii="Arial" w:hAnsi="Arial" w:cs="Arial"/>
                <w:color w:val="757575"/>
              </w:rPr>
              <w:t>The United States Federal Reserve is launching a Community Development Research Seminar Series that is focused on supporting an inclusive recovery. Each seminar will present research illuminating an issue critical to the economy and presenters will discuss how the community development field can use these findings to support a recovery that benefits everyone. Upcoming seminars include:</w:t>
            </w:r>
          </w:p>
          <w:p w14:paraId="32F3B182" w14:textId="77777777" w:rsidR="00684AAF" w:rsidRDefault="00684AAF" w:rsidP="00684AAF">
            <w:pPr>
              <w:pStyle w:val="ListParagraph"/>
              <w:numPr>
                <w:ilvl w:val="0"/>
                <w:numId w:val="3"/>
              </w:numPr>
              <w:spacing w:line="300" w:lineRule="auto"/>
              <w:jc w:val="both"/>
              <w:rPr>
                <w:rFonts w:ascii="Arial" w:hAnsi="Arial" w:cs="Arial"/>
                <w:color w:val="757575"/>
              </w:rPr>
            </w:pPr>
            <w:r>
              <w:rPr>
                <w:rFonts w:ascii="Arial" w:hAnsi="Arial" w:cs="Arial"/>
                <w:color w:val="757575"/>
              </w:rPr>
              <w:t>June 29, 2022: Achieving an Equitable and Inclusive Wealth Recovery</w:t>
            </w:r>
          </w:p>
          <w:p w14:paraId="4C80136E" w14:textId="77777777" w:rsidR="00684AAF" w:rsidRDefault="00684AAF" w:rsidP="00684AAF">
            <w:pPr>
              <w:pStyle w:val="ListParagraph"/>
              <w:numPr>
                <w:ilvl w:val="0"/>
                <w:numId w:val="3"/>
              </w:numPr>
              <w:spacing w:line="300" w:lineRule="auto"/>
              <w:jc w:val="both"/>
              <w:rPr>
                <w:rFonts w:ascii="Arial" w:hAnsi="Arial" w:cs="Arial"/>
                <w:color w:val="757575"/>
              </w:rPr>
            </w:pPr>
            <w:r>
              <w:rPr>
                <w:rFonts w:ascii="Arial" w:hAnsi="Arial" w:cs="Arial"/>
                <w:color w:val="757575"/>
              </w:rPr>
              <w:t>September 8, 2022: How the Rules of the Labor Market Matter for Workers</w:t>
            </w:r>
          </w:p>
          <w:p w14:paraId="7260A9D2" w14:textId="7F342968" w:rsidR="00684AAF" w:rsidRPr="00684AAF" w:rsidRDefault="00684AAF" w:rsidP="00684AAF">
            <w:pPr>
              <w:pStyle w:val="ListParagraph"/>
              <w:numPr>
                <w:ilvl w:val="0"/>
                <w:numId w:val="3"/>
              </w:numPr>
              <w:spacing w:line="300" w:lineRule="auto"/>
              <w:jc w:val="both"/>
              <w:rPr>
                <w:rFonts w:ascii="Arial" w:hAnsi="Arial" w:cs="Arial"/>
                <w:color w:val="757575"/>
              </w:rPr>
            </w:pPr>
            <w:r>
              <w:rPr>
                <w:rFonts w:ascii="Arial" w:hAnsi="Arial" w:cs="Arial"/>
                <w:color w:val="757575"/>
              </w:rPr>
              <w:t>October 20, 2022: Consequences of the Pandemic for Short and Long-Run Educational and Labor Market Outcomes</w:t>
            </w:r>
          </w:p>
        </w:tc>
      </w:tr>
      <w:tr w:rsidR="00684AAF" w:rsidRPr="00211208" w14:paraId="2D571639" w14:textId="77777777" w:rsidTr="00164F42">
        <w:trPr>
          <w:jc w:val="center"/>
        </w:trPr>
        <w:tc>
          <w:tcPr>
            <w:tcW w:w="9000" w:type="dxa"/>
            <w:shd w:val="clear" w:color="auto" w:fill="FFFFFF"/>
          </w:tcPr>
          <w:p w14:paraId="7517CE6D" w14:textId="77777777" w:rsidR="00684AAF" w:rsidRDefault="00684AAF" w:rsidP="003E71BF">
            <w:pPr>
              <w:spacing w:line="300" w:lineRule="auto"/>
              <w:jc w:val="both"/>
              <w:rPr>
                <w:rFonts w:ascii="Arial" w:hAnsi="Arial" w:cs="Arial"/>
                <w:color w:val="757575"/>
              </w:rPr>
            </w:pPr>
          </w:p>
        </w:tc>
      </w:tr>
      <w:tr w:rsidR="00567B68" w:rsidRPr="00211208" w14:paraId="2125D4DC"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423A0226"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2FBB1E3F" w14:textId="77777777" w:rsidTr="00E07D89">
                    <w:tc>
                      <w:tcPr>
                        <w:tcW w:w="8460" w:type="dxa"/>
                        <w:tcBorders>
                          <w:top w:val="single" w:sz="12" w:space="0" w:color="EAEAEA"/>
                          <w:left w:val="nil"/>
                          <w:bottom w:val="nil"/>
                          <w:right w:val="nil"/>
                        </w:tcBorders>
                        <w:vAlign w:val="center"/>
                        <w:hideMark/>
                      </w:tcPr>
                      <w:p w14:paraId="6AA75029" w14:textId="77777777" w:rsidR="00567B68" w:rsidRDefault="00567B68" w:rsidP="00567B68"/>
                    </w:tc>
                  </w:tr>
                </w:tbl>
                <w:p w14:paraId="38843034" w14:textId="77777777" w:rsidR="00567B68" w:rsidRDefault="00567B68" w:rsidP="00567B68">
                  <w:pPr>
                    <w:rPr>
                      <w:rFonts w:ascii="Times New Roman" w:eastAsia="Times New Roman" w:hAnsi="Times New Roman" w:cs="Times New Roman"/>
                      <w:sz w:val="20"/>
                      <w:szCs w:val="20"/>
                    </w:rPr>
                  </w:pPr>
                </w:p>
              </w:tc>
            </w:tr>
            <w:tr w:rsidR="00567B68" w14:paraId="010B4DD1"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46713BAE" w14:textId="77777777"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t>RECENT EVENTS</w:t>
                  </w:r>
                </w:p>
              </w:tc>
            </w:tr>
          </w:tbl>
          <w:p w14:paraId="29B508F8" w14:textId="77777777" w:rsidR="00567B68" w:rsidRPr="00211208" w:rsidRDefault="00567B68" w:rsidP="00567B68">
            <w:pPr>
              <w:spacing w:line="300" w:lineRule="auto"/>
              <w:rPr>
                <w:rStyle w:val="Strong"/>
                <w:rFonts w:ascii="Arial" w:hAnsi="Arial" w:cs="Arial"/>
                <w:color w:val="757575"/>
              </w:rPr>
            </w:pPr>
          </w:p>
        </w:tc>
      </w:tr>
      <w:tr w:rsidR="00567B68" w:rsidRPr="00211208" w14:paraId="631D1459" w14:textId="77777777" w:rsidTr="00164F42">
        <w:trPr>
          <w:jc w:val="center"/>
        </w:trPr>
        <w:tc>
          <w:tcPr>
            <w:tcW w:w="9000" w:type="dxa"/>
            <w:shd w:val="clear" w:color="auto" w:fill="FFFFFF"/>
          </w:tcPr>
          <w:p w14:paraId="4363B4D4" w14:textId="77777777" w:rsidR="00567B68" w:rsidRDefault="00567B68" w:rsidP="00567B68"/>
        </w:tc>
      </w:tr>
      <w:tr w:rsidR="00567B68" w:rsidRPr="00211208" w14:paraId="07B8BE3F" w14:textId="77777777" w:rsidTr="00164F42">
        <w:trPr>
          <w:jc w:val="center"/>
        </w:trPr>
        <w:tc>
          <w:tcPr>
            <w:tcW w:w="9000" w:type="dxa"/>
            <w:shd w:val="clear" w:color="auto" w:fill="FFFFFF"/>
          </w:tcPr>
          <w:p w14:paraId="6DA28F11" w14:textId="2DA7D207" w:rsidR="00567B68" w:rsidRPr="00A1698E" w:rsidRDefault="00A1698E" w:rsidP="00567B68">
            <w:pPr>
              <w:spacing w:line="360" w:lineRule="auto"/>
              <w:jc w:val="center"/>
              <w:rPr>
                <w:rStyle w:val="Hyperlink"/>
                <w:rFonts w:ascii="Arial" w:hAnsi="Arial" w:cs="Arial"/>
                <w:color w:val="009FDA"/>
              </w:rPr>
            </w:pPr>
            <w:r>
              <w:rPr>
                <w:rFonts w:ascii="Arial" w:hAnsi="Arial" w:cs="Arial"/>
              </w:rPr>
              <w:fldChar w:fldCharType="begin"/>
            </w:r>
            <w:r>
              <w:rPr>
                <w:rFonts w:ascii="Arial" w:hAnsi="Arial" w:cs="Arial"/>
              </w:rPr>
              <w:instrText xml:space="preserve"> HYPERLINK "https://www.worldbank.org/en/topic/social-cohesion-and-resilience/brief/forced-displacement-social-cohesion" \l "2" </w:instrText>
            </w:r>
            <w:r>
              <w:rPr>
                <w:rFonts w:ascii="Arial" w:hAnsi="Arial" w:cs="Arial"/>
              </w:rPr>
              <w:fldChar w:fldCharType="separate"/>
            </w:r>
            <w:r w:rsidRPr="00A1698E">
              <w:rPr>
                <w:rStyle w:val="Hyperlink"/>
                <w:rFonts w:ascii="Arial" w:hAnsi="Arial" w:cs="Arial"/>
                <w:color w:val="009FDA"/>
              </w:rPr>
              <w:t>Inclusive Policies for Migrants and Refugees</w:t>
            </w:r>
          </w:p>
          <w:p w14:paraId="10577F3B" w14:textId="0FA592CB" w:rsidR="00567B68" w:rsidRPr="008847B8" w:rsidRDefault="00A1698E" w:rsidP="00567B68">
            <w:pPr>
              <w:spacing w:line="360" w:lineRule="auto"/>
              <w:jc w:val="center"/>
              <w:rPr>
                <w:color w:val="009FDA"/>
                <w:u w:val="single"/>
              </w:rPr>
            </w:pPr>
            <w:r>
              <w:rPr>
                <w:rFonts w:ascii="Arial" w:hAnsi="Arial" w:cs="Arial"/>
              </w:rPr>
              <w:fldChar w:fldCharType="end"/>
            </w:r>
            <w:r>
              <w:rPr>
                <w:rFonts w:ascii="Arial" w:hAnsi="Arial" w:cs="Arial"/>
                <w:color w:val="757575"/>
              </w:rPr>
              <w:t>June 7</w:t>
            </w:r>
            <w:r w:rsidR="00567B68">
              <w:rPr>
                <w:rFonts w:ascii="Arial" w:hAnsi="Arial" w:cs="Arial"/>
                <w:color w:val="757575"/>
              </w:rPr>
              <w:t>, 2022</w:t>
            </w:r>
          </w:p>
        </w:tc>
      </w:tr>
      <w:tr w:rsidR="00567B68" w:rsidRPr="00211208" w14:paraId="56ADF55A" w14:textId="77777777" w:rsidTr="00164F42">
        <w:trPr>
          <w:jc w:val="center"/>
        </w:trPr>
        <w:tc>
          <w:tcPr>
            <w:tcW w:w="9000" w:type="dxa"/>
            <w:shd w:val="clear" w:color="auto" w:fill="FFFFFF"/>
          </w:tcPr>
          <w:p w14:paraId="5567391F" w14:textId="1D030009" w:rsidR="00567B68" w:rsidRDefault="00A1698E" w:rsidP="00567B68">
            <w:pPr>
              <w:spacing w:line="300" w:lineRule="auto"/>
              <w:jc w:val="both"/>
              <w:rPr>
                <w:rFonts w:ascii="Arial" w:hAnsi="Arial" w:cs="Arial"/>
                <w:color w:val="757575"/>
              </w:rPr>
            </w:pPr>
            <w:r>
              <w:rPr>
                <w:rFonts w:ascii="Arial" w:hAnsi="Arial" w:cs="Arial"/>
                <w:color w:val="757575"/>
              </w:rPr>
              <w:t xml:space="preserve">The second event in our Forced Displacement and Social Cohesion series discussed the long-term impacts of inclusive refugee policies on social cohesion, with insights from Greece, Colombia, and elsewhere. </w:t>
            </w:r>
          </w:p>
          <w:p w14:paraId="740749FA" w14:textId="77777777" w:rsidR="00567B68" w:rsidRPr="008847B8" w:rsidRDefault="00567B68" w:rsidP="00567B68">
            <w:pPr>
              <w:spacing w:line="360" w:lineRule="auto"/>
              <w:jc w:val="both"/>
              <w:rPr>
                <w:rFonts w:ascii="Arial" w:hAnsi="Arial" w:cs="Arial"/>
                <w:color w:val="757575"/>
              </w:rPr>
            </w:pPr>
          </w:p>
        </w:tc>
      </w:tr>
      <w:tr w:rsidR="00567B68" w:rsidRPr="00211208" w14:paraId="2C6EC974" w14:textId="77777777" w:rsidTr="00164F42">
        <w:trPr>
          <w:jc w:val="center"/>
        </w:trPr>
        <w:tc>
          <w:tcPr>
            <w:tcW w:w="9000" w:type="dxa"/>
            <w:shd w:val="clear" w:color="auto" w:fill="FFFFFF"/>
          </w:tcPr>
          <w:p w14:paraId="6AAA6F82" w14:textId="681293AD" w:rsidR="00567B68" w:rsidRPr="007876C7" w:rsidRDefault="00A37AC0" w:rsidP="007876C7">
            <w:pPr>
              <w:spacing w:line="300" w:lineRule="auto"/>
              <w:jc w:val="center"/>
              <w:rPr>
                <w:rStyle w:val="Hyperlink"/>
                <w:rFonts w:ascii="Arial" w:hAnsi="Arial" w:cs="Arial"/>
                <w:color w:val="009FDA"/>
              </w:rPr>
            </w:pPr>
            <w:hyperlink r:id="rId14" w:history="1">
              <w:r w:rsidR="007876C7" w:rsidRPr="007876C7">
                <w:rPr>
                  <w:rStyle w:val="Hyperlink"/>
                  <w:rFonts w:ascii="Arial" w:hAnsi="Arial" w:cs="Arial"/>
                  <w:color w:val="009FDA"/>
                </w:rPr>
                <w:t>Women’s Groups in South Asia: Landscape, Impact, and the Future</w:t>
              </w:r>
            </w:hyperlink>
            <w:r w:rsidR="001162DB" w:rsidRPr="001162DB">
              <w:rPr>
                <w:rStyle w:val="Hyperlink"/>
                <w:rFonts w:ascii="Arial" w:hAnsi="Arial" w:cs="Arial"/>
                <w:color w:val="009FDA"/>
              </w:rPr>
              <w:fldChar w:fldCharType="begin"/>
            </w:r>
            <w:r w:rsidR="001162DB" w:rsidRPr="007876C7">
              <w:rPr>
                <w:rStyle w:val="Hyperlink"/>
                <w:rFonts w:ascii="Arial" w:hAnsi="Arial" w:cs="Arial"/>
                <w:color w:val="009FDA"/>
              </w:rPr>
              <w:instrText xml:space="preserve"> HYPERLINK "https://1930181.mediaspace.kaltura.com/media/ASL+WebinarA+Sharing+successful+experiences+of+Indigenous+Peoples+and+Local+Communities%27+engagement+in+conservation/1_4nqn5mch" </w:instrText>
            </w:r>
            <w:r w:rsidR="001162DB" w:rsidRPr="001162DB">
              <w:rPr>
                <w:rStyle w:val="Hyperlink"/>
                <w:rFonts w:ascii="Arial" w:hAnsi="Arial" w:cs="Arial"/>
                <w:color w:val="009FDA"/>
              </w:rPr>
              <w:fldChar w:fldCharType="separate"/>
            </w:r>
          </w:p>
          <w:p w14:paraId="2784CB0F" w14:textId="6D82219C" w:rsidR="00567B68" w:rsidRDefault="001162DB" w:rsidP="001162DB">
            <w:pPr>
              <w:spacing w:line="300" w:lineRule="auto"/>
              <w:jc w:val="center"/>
              <w:rPr>
                <w:rFonts w:ascii="Arial" w:hAnsi="Arial" w:cs="Arial"/>
                <w:color w:val="757575"/>
              </w:rPr>
            </w:pPr>
            <w:r w:rsidRPr="001162DB">
              <w:rPr>
                <w:rStyle w:val="Hyperlink"/>
                <w:color w:val="009FDA"/>
              </w:rPr>
              <w:fldChar w:fldCharType="end"/>
            </w:r>
            <w:r w:rsidR="00567B68">
              <w:rPr>
                <w:rFonts w:ascii="Arial" w:hAnsi="Arial" w:cs="Arial"/>
                <w:color w:val="757575"/>
              </w:rPr>
              <w:t xml:space="preserve">May </w:t>
            </w:r>
            <w:r w:rsidR="007876C7">
              <w:rPr>
                <w:rFonts w:ascii="Arial" w:hAnsi="Arial" w:cs="Arial"/>
                <w:color w:val="757575"/>
              </w:rPr>
              <w:t>25</w:t>
            </w:r>
            <w:r w:rsidR="00567B68">
              <w:rPr>
                <w:rFonts w:ascii="Arial" w:hAnsi="Arial" w:cs="Arial"/>
                <w:color w:val="757575"/>
              </w:rPr>
              <w:t>, 2022</w:t>
            </w:r>
          </w:p>
        </w:tc>
      </w:tr>
      <w:tr w:rsidR="00567B68" w:rsidRPr="00211208" w14:paraId="154B1AA1" w14:textId="77777777" w:rsidTr="00164F42">
        <w:trPr>
          <w:jc w:val="center"/>
        </w:trPr>
        <w:tc>
          <w:tcPr>
            <w:tcW w:w="9000" w:type="dxa"/>
            <w:shd w:val="clear" w:color="auto" w:fill="FFFFFF"/>
          </w:tcPr>
          <w:p w14:paraId="04F9536C" w14:textId="3FD44BB9" w:rsidR="00567B68" w:rsidRDefault="007876C7" w:rsidP="00567B68">
            <w:pPr>
              <w:spacing w:line="300" w:lineRule="auto"/>
              <w:jc w:val="both"/>
              <w:rPr>
                <w:rFonts w:ascii="Arial" w:hAnsi="Arial" w:cs="Arial"/>
                <w:color w:val="757575"/>
              </w:rPr>
            </w:pPr>
            <w:r>
              <w:rPr>
                <w:rFonts w:ascii="Arial" w:hAnsi="Arial" w:cs="Arial"/>
                <w:color w:val="757575"/>
              </w:rPr>
              <w:lastRenderedPageBreak/>
              <w:t xml:space="preserve">This webinar, co-organized by the World Bank’s </w:t>
            </w:r>
            <w:hyperlink r:id="rId15" w:history="1">
              <w:r w:rsidRPr="00246D30">
                <w:rPr>
                  <w:rStyle w:val="Hyperlink"/>
                  <w:rFonts w:ascii="Arial" w:hAnsi="Arial" w:cs="Arial"/>
                  <w:color w:val="009FDA"/>
                </w:rPr>
                <w:t>South Asia Gender Innovation Lab</w:t>
              </w:r>
            </w:hyperlink>
            <w:r w:rsidRPr="00246D30">
              <w:rPr>
                <w:rStyle w:val="Hyperlink"/>
                <w:color w:val="009FDA"/>
                <w:u w:val="none"/>
              </w:rPr>
              <w:t xml:space="preserve"> </w:t>
            </w:r>
            <w:r>
              <w:rPr>
                <w:rFonts w:ascii="Arial" w:hAnsi="Arial" w:cs="Arial"/>
                <w:color w:val="757575"/>
              </w:rPr>
              <w:t xml:space="preserve">and the </w:t>
            </w:r>
            <w:hyperlink r:id="rId16" w:history="1">
              <w:r w:rsidRPr="00246D30">
                <w:rPr>
                  <w:rStyle w:val="Hyperlink"/>
                  <w:rFonts w:ascii="Arial" w:hAnsi="Arial" w:cs="Arial"/>
                  <w:color w:val="009FDA"/>
                </w:rPr>
                <w:t>Evidence Consortium on Women’s Groups</w:t>
              </w:r>
            </w:hyperlink>
            <w:r>
              <w:rPr>
                <w:rFonts w:ascii="Arial" w:hAnsi="Arial" w:cs="Arial"/>
                <w:color w:val="757575"/>
              </w:rPr>
              <w:t xml:space="preserve"> present</w:t>
            </w:r>
            <w:r w:rsidR="008B0C39">
              <w:rPr>
                <w:rFonts w:ascii="Arial" w:hAnsi="Arial" w:cs="Arial"/>
                <w:color w:val="757575"/>
              </w:rPr>
              <w:t>ed</w:t>
            </w:r>
            <w:r>
              <w:rPr>
                <w:rFonts w:ascii="Arial" w:hAnsi="Arial" w:cs="Arial"/>
                <w:color w:val="757575"/>
              </w:rPr>
              <w:t xml:space="preserve"> findings on recent work on women’s groups, including self-help groups, livelihood groups, and producer collectives. </w:t>
            </w:r>
          </w:p>
          <w:p w14:paraId="31333A2A" w14:textId="514FFF13" w:rsidR="004120B3" w:rsidRDefault="004120B3" w:rsidP="00567B68">
            <w:pPr>
              <w:spacing w:line="300" w:lineRule="auto"/>
              <w:jc w:val="both"/>
              <w:rPr>
                <w:rFonts w:ascii="Arial" w:hAnsi="Arial" w:cs="Arial"/>
                <w:color w:val="757575"/>
              </w:rPr>
            </w:pPr>
          </w:p>
        </w:tc>
      </w:tr>
      <w:tr w:rsidR="0097146C" w:rsidRPr="00211208" w14:paraId="2990CDB5"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97146C" w14:paraId="27B23917"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97146C" w14:paraId="36CA88D6" w14:textId="77777777" w:rsidTr="00E07D89">
                    <w:tc>
                      <w:tcPr>
                        <w:tcW w:w="8460" w:type="dxa"/>
                        <w:tcBorders>
                          <w:top w:val="single" w:sz="12" w:space="0" w:color="EAEAEA"/>
                          <w:left w:val="nil"/>
                          <w:bottom w:val="nil"/>
                          <w:right w:val="nil"/>
                        </w:tcBorders>
                        <w:vAlign w:val="center"/>
                        <w:hideMark/>
                      </w:tcPr>
                      <w:p w14:paraId="3404CA1D" w14:textId="77777777" w:rsidR="0097146C" w:rsidRDefault="0097146C" w:rsidP="0097146C"/>
                    </w:tc>
                  </w:tr>
                </w:tbl>
                <w:p w14:paraId="12F04C77" w14:textId="77777777" w:rsidR="0097146C" w:rsidRDefault="0097146C" w:rsidP="0097146C">
                  <w:pPr>
                    <w:rPr>
                      <w:rFonts w:ascii="Times New Roman" w:eastAsia="Times New Roman" w:hAnsi="Times New Roman" w:cs="Times New Roman"/>
                      <w:sz w:val="20"/>
                      <w:szCs w:val="20"/>
                    </w:rPr>
                  </w:pPr>
                </w:p>
              </w:tc>
            </w:tr>
            <w:tr w:rsidR="0097146C" w14:paraId="1CA88240"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7B44E23F" w14:textId="77777777" w:rsidR="0097146C" w:rsidRDefault="0097146C" w:rsidP="0097146C">
                  <w:pPr>
                    <w:jc w:val="center"/>
                    <w:rPr>
                      <w:rFonts w:ascii="Arial" w:hAnsi="Arial" w:cs="Arial"/>
                      <w:sz w:val="36"/>
                      <w:szCs w:val="36"/>
                    </w:rPr>
                  </w:pPr>
                  <w:r>
                    <w:rPr>
                      <w:rFonts w:ascii="Arial" w:hAnsi="Arial" w:cs="Arial"/>
                      <w:b/>
                      <w:bCs/>
                      <w:color w:val="FFFFFF" w:themeColor="background1"/>
                      <w:sz w:val="36"/>
                      <w:szCs w:val="36"/>
                    </w:rPr>
                    <w:t>PROJECT APPROVALS</w:t>
                  </w:r>
                </w:p>
              </w:tc>
            </w:tr>
          </w:tbl>
          <w:p w14:paraId="0799925E" w14:textId="77777777" w:rsidR="0097146C" w:rsidRPr="00211208" w:rsidRDefault="0097146C" w:rsidP="0097146C">
            <w:pPr>
              <w:spacing w:line="300" w:lineRule="auto"/>
              <w:rPr>
                <w:rStyle w:val="Strong"/>
                <w:rFonts w:ascii="Arial" w:hAnsi="Arial" w:cs="Arial"/>
                <w:color w:val="757575"/>
              </w:rPr>
            </w:pPr>
          </w:p>
        </w:tc>
      </w:tr>
      <w:tr w:rsidR="0097146C" w:rsidRPr="00211208" w14:paraId="616D2822" w14:textId="77777777" w:rsidTr="00164F42">
        <w:trPr>
          <w:jc w:val="center"/>
        </w:trPr>
        <w:tc>
          <w:tcPr>
            <w:tcW w:w="9000" w:type="dxa"/>
            <w:shd w:val="clear" w:color="auto" w:fill="FFFFFF"/>
          </w:tcPr>
          <w:p w14:paraId="2ED603FD" w14:textId="77777777" w:rsidR="0097146C" w:rsidRDefault="0097146C" w:rsidP="0097146C"/>
          <w:p w14:paraId="094A43BC" w14:textId="722234A9" w:rsidR="008A4A01" w:rsidRPr="008A4A01" w:rsidRDefault="008A4A01" w:rsidP="008A4A01">
            <w:pPr>
              <w:spacing w:line="300" w:lineRule="auto"/>
              <w:jc w:val="center"/>
              <w:rPr>
                <w:rFonts w:ascii="Arial" w:hAnsi="Arial" w:cs="Arial"/>
                <w:i/>
                <w:color w:val="757575"/>
              </w:rPr>
            </w:pPr>
            <w:r>
              <w:rPr>
                <w:rFonts w:ascii="Arial" w:hAnsi="Arial" w:cs="Arial"/>
                <w:i/>
                <w:color w:val="757575"/>
              </w:rPr>
              <w:t>A</w:t>
            </w:r>
            <w:r w:rsidRPr="008A4A01">
              <w:rPr>
                <w:rFonts w:ascii="Arial" w:hAnsi="Arial" w:cs="Arial"/>
                <w:i/>
                <w:color w:val="757575"/>
              </w:rPr>
              <w:t>s of June 21, 2022</w:t>
            </w:r>
          </w:p>
          <w:p w14:paraId="33305D04" w14:textId="6363DE0B" w:rsidR="008A4A01" w:rsidRDefault="008A4A01" w:rsidP="0097146C"/>
        </w:tc>
      </w:tr>
      <w:tr w:rsidR="008A4A01" w:rsidRPr="00211208" w14:paraId="275B772B" w14:textId="77777777" w:rsidTr="00164F42">
        <w:trPr>
          <w:jc w:val="center"/>
        </w:trPr>
        <w:tc>
          <w:tcPr>
            <w:tcW w:w="9000" w:type="dxa"/>
            <w:shd w:val="clear" w:color="auto" w:fill="FFFFFF"/>
          </w:tcPr>
          <w:p w14:paraId="6E1E9C34" w14:textId="480C117E" w:rsidR="008A4A01" w:rsidRDefault="008A4A01" w:rsidP="0097146C">
            <w:pPr>
              <w:spacing w:line="300" w:lineRule="auto"/>
              <w:jc w:val="center"/>
              <w:rPr>
                <w:rStyle w:val="Hyperlink"/>
                <w:rFonts w:ascii="Arial" w:hAnsi="Arial" w:cs="Arial"/>
                <w:color w:val="009FDA"/>
              </w:rPr>
            </w:pPr>
            <w:hyperlink r:id="rId17" w:tgtFrame="_blank" w:history="1">
              <w:r w:rsidRPr="008A4A01">
                <w:rPr>
                  <w:rStyle w:val="Hyperlink"/>
                  <w:rFonts w:ascii="Arial" w:hAnsi="Arial" w:cs="Arial"/>
                  <w:color w:val="009FDA"/>
                </w:rPr>
                <w:t>Uganda: Generating Growth Opportunities and Productivity for Women Enterprises Project (P176747)</w:t>
              </w:r>
            </w:hyperlink>
          </w:p>
        </w:tc>
      </w:tr>
      <w:tr w:rsidR="008A4A01" w:rsidRPr="00211208" w14:paraId="3F6FCF3A" w14:textId="77777777" w:rsidTr="00164F42">
        <w:trPr>
          <w:jc w:val="center"/>
        </w:trPr>
        <w:tc>
          <w:tcPr>
            <w:tcW w:w="9000" w:type="dxa"/>
            <w:shd w:val="clear" w:color="auto" w:fill="FFFFFF"/>
          </w:tcPr>
          <w:p w14:paraId="5E616C49" w14:textId="77777777" w:rsidR="008A4A01" w:rsidRDefault="008A4A01" w:rsidP="008A4A01">
            <w:pPr>
              <w:spacing w:line="300" w:lineRule="auto"/>
              <w:jc w:val="both"/>
              <w:rPr>
                <w:rStyle w:val="Hyperlink"/>
                <w:rFonts w:ascii="Arial" w:hAnsi="Arial" w:cs="Arial"/>
                <w:color w:val="767171" w:themeColor="background2" w:themeShade="80"/>
                <w:u w:val="none"/>
              </w:rPr>
            </w:pPr>
            <w:r w:rsidRPr="008A4A01">
              <w:rPr>
                <w:rStyle w:val="Hyperlink"/>
                <w:rFonts w:ascii="Arial" w:hAnsi="Arial" w:cs="Arial"/>
                <w:color w:val="767171" w:themeColor="background2" w:themeShade="80"/>
                <w:u w:val="none"/>
              </w:rPr>
              <w:t>This</w:t>
            </w:r>
            <w:r>
              <w:rPr>
                <w:rStyle w:val="Hyperlink"/>
                <w:rFonts w:ascii="Arial" w:hAnsi="Arial" w:cs="Arial"/>
                <w:color w:val="767171" w:themeColor="background2" w:themeShade="80"/>
                <w:u w:val="none"/>
              </w:rPr>
              <w:t xml:space="preserve"> project was approved on June 17, 2022 for $217 million and seeks to increase access to entrepreneurial services that enable female entrepreneurs to grow their enterprises in targeted locations, including host and refugee communities.</w:t>
            </w:r>
          </w:p>
          <w:p w14:paraId="2E6A4F45" w14:textId="00A1E882" w:rsidR="008A4A01" w:rsidRPr="008A4A01" w:rsidRDefault="008A4A01" w:rsidP="008A4A01">
            <w:pPr>
              <w:spacing w:line="300" w:lineRule="auto"/>
              <w:rPr>
                <w:rStyle w:val="Hyperlink"/>
                <w:rFonts w:ascii="Arial" w:hAnsi="Arial" w:cs="Arial"/>
                <w:color w:val="009FDA"/>
                <w:u w:val="none"/>
              </w:rPr>
            </w:pPr>
            <w:r w:rsidRPr="008A4A01">
              <w:rPr>
                <w:rStyle w:val="Hyperlink"/>
                <w:rFonts w:ascii="Arial" w:hAnsi="Arial" w:cs="Arial"/>
                <w:color w:val="767171" w:themeColor="background2" w:themeShade="80"/>
                <w:u w:val="none"/>
              </w:rPr>
              <w:t xml:space="preserve"> </w:t>
            </w:r>
          </w:p>
        </w:tc>
      </w:tr>
      <w:tr w:rsidR="008A4A01" w:rsidRPr="00211208" w14:paraId="283220DB" w14:textId="77777777" w:rsidTr="00164F42">
        <w:trPr>
          <w:jc w:val="center"/>
        </w:trPr>
        <w:tc>
          <w:tcPr>
            <w:tcW w:w="9000" w:type="dxa"/>
            <w:shd w:val="clear" w:color="auto" w:fill="FFFFFF"/>
          </w:tcPr>
          <w:p w14:paraId="715D6D2C" w14:textId="12CC8C69" w:rsidR="008A4A01" w:rsidRDefault="008A4A01" w:rsidP="0097146C">
            <w:pPr>
              <w:spacing w:line="300" w:lineRule="auto"/>
              <w:jc w:val="center"/>
              <w:rPr>
                <w:rStyle w:val="Hyperlink"/>
                <w:rFonts w:ascii="Arial" w:hAnsi="Arial" w:cs="Arial"/>
                <w:color w:val="009FDA"/>
              </w:rPr>
            </w:pPr>
            <w:hyperlink r:id="rId18" w:tgtFrame="_blank" w:history="1">
              <w:r w:rsidRPr="008A4A01">
                <w:rPr>
                  <w:rStyle w:val="Hyperlink"/>
                  <w:rFonts w:ascii="Arial" w:hAnsi="Arial" w:cs="Arial"/>
                  <w:color w:val="009FDA"/>
                </w:rPr>
                <w:t>Development Response to Displacement Impacts in the Horn of Africa Phase II (P178047)</w:t>
              </w:r>
            </w:hyperlink>
          </w:p>
        </w:tc>
      </w:tr>
      <w:tr w:rsidR="008A4A01" w:rsidRPr="00211208" w14:paraId="54CB304C" w14:textId="77777777" w:rsidTr="00164F42">
        <w:trPr>
          <w:jc w:val="center"/>
        </w:trPr>
        <w:tc>
          <w:tcPr>
            <w:tcW w:w="9000" w:type="dxa"/>
            <w:shd w:val="clear" w:color="auto" w:fill="FFFFFF"/>
          </w:tcPr>
          <w:p w14:paraId="29144095" w14:textId="656C8DE2" w:rsidR="008A4A01" w:rsidRDefault="008A4A01" w:rsidP="008A4A01">
            <w:pPr>
              <w:spacing w:line="300" w:lineRule="auto"/>
              <w:jc w:val="both"/>
              <w:rPr>
                <w:rStyle w:val="Hyperlink"/>
                <w:rFonts w:ascii="Arial" w:hAnsi="Arial" w:cs="Arial"/>
                <w:color w:val="767171" w:themeColor="background2" w:themeShade="80"/>
                <w:u w:val="none"/>
              </w:rPr>
            </w:pPr>
            <w:r w:rsidRPr="008A4A01">
              <w:rPr>
                <w:rStyle w:val="Hyperlink"/>
                <w:rFonts w:ascii="Arial" w:hAnsi="Arial" w:cs="Arial"/>
                <w:color w:val="767171" w:themeColor="background2" w:themeShade="80"/>
                <w:u w:val="none"/>
              </w:rPr>
              <w:t>This</w:t>
            </w:r>
            <w:r>
              <w:rPr>
                <w:rStyle w:val="Hyperlink"/>
                <w:rFonts w:ascii="Arial" w:hAnsi="Arial" w:cs="Arial"/>
                <w:color w:val="767171" w:themeColor="background2" w:themeShade="80"/>
                <w:u w:val="none"/>
              </w:rPr>
              <w:t xml:space="preserve"> project was approved on June 17, 2022 for $</w:t>
            </w:r>
            <w:r>
              <w:rPr>
                <w:rStyle w:val="Hyperlink"/>
                <w:rFonts w:ascii="Arial" w:hAnsi="Arial" w:cs="Arial"/>
                <w:color w:val="767171" w:themeColor="background2" w:themeShade="80"/>
                <w:u w:val="none"/>
              </w:rPr>
              <w:t>180</w:t>
            </w:r>
            <w:r>
              <w:rPr>
                <w:rStyle w:val="Hyperlink"/>
                <w:rFonts w:ascii="Arial" w:hAnsi="Arial" w:cs="Arial"/>
                <w:color w:val="767171" w:themeColor="background2" w:themeShade="80"/>
                <w:u w:val="none"/>
              </w:rPr>
              <w:t xml:space="preserve"> million</w:t>
            </w:r>
            <w:r w:rsidR="005F38B1">
              <w:rPr>
                <w:rStyle w:val="Hyperlink"/>
                <w:rFonts w:ascii="Arial" w:hAnsi="Arial" w:cs="Arial"/>
                <w:color w:val="767171" w:themeColor="background2" w:themeShade="80"/>
                <w:u w:val="none"/>
              </w:rPr>
              <w:t xml:space="preserve"> </w:t>
            </w:r>
            <w:r w:rsidR="00A37AC0">
              <w:rPr>
                <w:rStyle w:val="Hyperlink"/>
                <w:rFonts w:ascii="Arial" w:hAnsi="Arial" w:cs="Arial"/>
                <w:color w:val="767171" w:themeColor="background2" w:themeShade="80"/>
                <w:u w:val="none"/>
              </w:rPr>
              <w:t>and will be implemented in Djibouti, Ethiopia, Kenya and Uganda</w:t>
            </w:r>
            <w:r>
              <w:rPr>
                <w:rStyle w:val="Hyperlink"/>
                <w:rFonts w:ascii="Arial" w:hAnsi="Arial" w:cs="Arial"/>
                <w:color w:val="767171" w:themeColor="background2" w:themeShade="80"/>
                <w:u w:val="none"/>
              </w:rPr>
              <w:t>.</w:t>
            </w:r>
            <w:bookmarkStart w:id="0" w:name="_GoBack"/>
            <w:bookmarkEnd w:id="0"/>
            <w:r>
              <w:rPr>
                <w:rStyle w:val="Hyperlink"/>
                <w:rFonts w:ascii="Arial" w:hAnsi="Arial" w:cs="Arial"/>
                <w:color w:val="767171" w:themeColor="background2" w:themeShade="80"/>
                <w:u w:val="none"/>
              </w:rPr>
              <w:t xml:space="preserve"> The project aims to improve access to basic social and economic services, expand livelihoods opportunities and </w:t>
            </w:r>
            <w:r w:rsidRPr="008A4A01">
              <w:rPr>
                <w:rStyle w:val="Hyperlink"/>
                <w:rFonts w:ascii="Arial" w:hAnsi="Arial" w:cs="Arial"/>
                <w:color w:val="767171" w:themeColor="background2" w:themeShade="80"/>
                <w:u w:val="none"/>
              </w:rPr>
              <w:t xml:space="preserve">enhance environmental management for host communities and refugees in the target areas. </w:t>
            </w:r>
          </w:p>
          <w:p w14:paraId="53F7642F" w14:textId="22CCE259" w:rsidR="008A4A01" w:rsidRDefault="008A4A01" w:rsidP="008A4A01">
            <w:pPr>
              <w:spacing w:line="300" w:lineRule="auto"/>
              <w:jc w:val="both"/>
              <w:rPr>
                <w:rStyle w:val="Hyperlink"/>
                <w:rFonts w:ascii="Arial" w:hAnsi="Arial" w:cs="Arial"/>
                <w:color w:val="009FDA"/>
              </w:rPr>
            </w:pPr>
          </w:p>
        </w:tc>
      </w:tr>
      <w:tr w:rsidR="008A4A01" w:rsidRPr="00211208" w14:paraId="5388B2D0" w14:textId="77777777" w:rsidTr="00164F42">
        <w:trPr>
          <w:jc w:val="center"/>
        </w:trPr>
        <w:tc>
          <w:tcPr>
            <w:tcW w:w="9000" w:type="dxa"/>
            <w:shd w:val="clear" w:color="auto" w:fill="FFFFFF"/>
          </w:tcPr>
          <w:p w14:paraId="44B0F3E0" w14:textId="768D1581" w:rsidR="008A4A01" w:rsidRDefault="008A4A01" w:rsidP="0097146C">
            <w:pPr>
              <w:spacing w:line="300" w:lineRule="auto"/>
              <w:jc w:val="center"/>
              <w:rPr>
                <w:rStyle w:val="Hyperlink"/>
                <w:rFonts w:ascii="Arial" w:hAnsi="Arial" w:cs="Arial"/>
                <w:color w:val="009FDA"/>
              </w:rPr>
            </w:pPr>
            <w:hyperlink r:id="rId19" w:tgtFrame="_blank" w:history="1">
              <w:r w:rsidRPr="008A4A01">
                <w:rPr>
                  <w:rStyle w:val="Hyperlink"/>
                  <w:rFonts w:ascii="Arial" w:hAnsi="Arial" w:cs="Arial"/>
                  <w:color w:val="009FDA"/>
                </w:rPr>
                <w:t>Burkina Faso Emergency Local Development and Resilience Project – Additional Financing (P178650)</w:t>
              </w:r>
            </w:hyperlink>
          </w:p>
        </w:tc>
      </w:tr>
      <w:tr w:rsidR="008A4A01" w:rsidRPr="00211208" w14:paraId="1283C149" w14:textId="77777777" w:rsidTr="00164F42">
        <w:trPr>
          <w:jc w:val="center"/>
        </w:trPr>
        <w:tc>
          <w:tcPr>
            <w:tcW w:w="9000" w:type="dxa"/>
            <w:shd w:val="clear" w:color="auto" w:fill="FFFFFF"/>
          </w:tcPr>
          <w:p w14:paraId="2124536B" w14:textId="71AF54BC" w:rsidR="008A4A01" w:rsidRDefault="008A4A01" w:rsidP="008A4A01">
            <w:pPr>
              <w:spacing w:line="300" w:lineRule="auto"/>
              <w:jc w:val="both"/>
              <w:rPr>
                <w:rStyle w:val="Hyperlink"/>
                <w:rFonts w:ascii="Arial" w:hAnsi="Arial" w:cs="Arial"/>
                <w:color w:val="009FDA"/>
              </w:rPr>
            </w:pPr>
            <w:r>
              <w:rPr>
                <w:rFonts w:ascii="Arial" w:hAnsi="Arial" w:cs="Arial"/>
                <w:color w:val="757575"/>
              </w:rPr>
              <w:t xml:space="preserve">This additional financing was approved on June </w:t>
            </w:r>
            <w:r>
              <w:rPr>
                <w:rFonts w:ascii="Arial" w:hAnsi="Arial" w:cs="Arial"/>
                <w:color w:val="757575"/>
              </w:rPr>
              <w:t>17</w:t>
            </w:r>
            <w:r>
              <w:rPr>
                <w:rFonts w:ascii="Arial" w:hAnsi="Arial" w:cs="Arial"/>
                <w:color w:val="757575"/>
              </w:rPr>
              <w:t>, 2022 for $</w:t>
            </w:r>
            <w:r>
              <w:rPr>
                <w:rFonts w:ascii="Arial" w:hAnsi="Arial" w:cs="Arial"/>
                <w:color w:val="757575"/>
              </w:rPr>
              <w:t>123</w:t>
            </w:r>
            <w:r>
              <w:rPr>
                <w:rFonts w:ascii="Arial" w:hAnsi="Arial" w:cs="Arial"/>
                <w:color w:val="757575"/>
              </w:rPr>
              <w:t xml:space="preserve"> million. </w:t>
            </w:r>
            <w:r w:rsidRPr="00D205C9">
              <w:rPr>
                <w:rFonts w:ascii="Arial" w:hAnsi="Arial" w:cs="Arial"/>
                <w:color w:val="757575"/>
              </w:rPr>
              <w:t>The additional financing will</w:t>
            </w:r>
            <w:r>
              <w:rPr>
                <w:rFonts w:ascii="Arial" w:hAnsi="Arial" w:cs="Arial"/>
                <w:color w:val="757575"/>
              </w:rPr>
              <w:t xml:space="preserve"> </w:t>
            </w:r>
            <w:r w:rsidRPr="008A4A01">
              <w:rPr>
                <w:rFonts w:ascii="Arial" w:hAnsi="Arial" w:cs="Arial"/>
                <w:color w:val="757575"/>
              </w:rPr>
              <w:t>scale up the investment in food security, nutrition,</w:t>
            </w:r>
            <w:r>
              <w:rPr>
                <w:rFonts w:ascii="Arial" w:hAnsi="Arial" w:cs="Arial"/>
                <w:color w:val="757575"/>
              </w:rPr>
              <w:t xml:space="preserve"> </w:t>
            </w:r>
            <w:r w:rsidRPr="008A4A01">
              <w:rPr>
                <w:rFonts w:ascii="Arial" w:hAnsi="Arial" w:cs="Arial"/>
                <w:color w:val="757575"/>
              </w:rPr>
              <w:t>and resilience,</w:t>
            </w:r>
            <w:r>
              <w:rPr>
                <w:rFonts w:ascii="Arial" w:hAnsi="Arial" w:cs="Arial"/>
                <w:color w:val="757575"/>
              </w:rPr>
              <w:t xml:space="preserve"> </w:t>
            </w:r>
            <w:r w:rsidRPr="008A4A01">
              <w:rPr>
                <w:rFonts w:ascii="Arial" w:hAnsi="Arial" w:cs="Arial"/>
                <w:color w:val="757575"/>
              </w:rPr>
              <w:t xml:space="preserve">targeting hard-to-reach crisis-affected areas with interventions not already supported through the parent project. </w:t>
            </w:r>
          </w:p>
          <w:p w14:paraId="34A75565" w14:textId="08FE5C37" w:rsidR="008A4A01" w:rsidRDefault="008A4A01" w:rsidP="0097146C">
            <w:pPr>
              <w:spacing w:line="300" w:lineRule="auto"/>
              <w:jc w:val="center"/>
              <w:rPr>
                <w:rStyle w:val="Hyperlink"/>
                <w:rFonts w:ascii="Arial" w:hAnsi="Arial" w:cs="Arial"/>
                <w:color w:val="009FDA"/>
              </w:rPr>
            </w:pPr>
          </w:p>
        </w:tc>
      </w:tr>
      <w:tr w:rsidR="0097146C" w:rsidRPr="00211208" w14:paraId="0D13FE2D" w14:textId="77777777" w:rsidTr="00164F42">
        <w:trPr>
          <w:jc w:val="center"/>
        </w:trPr>
        <w:tc>
          <w:tcPr>
            <w:tcW w:w="9000" w:type="dxa"/>
            <w:shd w:val="clear" w:color="auto" w:fill="FFFFFF"/>
          </w:tcPr>
          <w:p w14:paraId="33A99DB5" w14:textId="7FDDA1F6" w:rsidR="0097146C" w:rsidRPr="003E71BF" w:rsidRDefault="0097146C" w:rsidP="0097146C">
            <w:pPr>
              <w:spacing w:line="300" w:lineRule="auto"/>
              <w:jc w:val="center"/>
              <w:rPr>
                <w:rStyle w:val="Hyperlink"/>
                <w:rFonts w:ascii="Arial" w:hAnsi="Arial" w:cs="Arial"/>
                <w:color w:val="009FDA"/>
              </w:rPr>
            </w:pPr>
            <w:r>
              <w:rPr>
                <w:rStyle w:val="Hyperlink"/>
                <w:rFonts w:ascii="Arial" w:hAnsi="Arial" w:cs="Arial"/>
                <w:color w:val="009FDA"/>
              </w:rPr>
              <w:t xml:space="preserve">Solomon Islands: </w:t>
            </w:r>
            <w:hyperlink r:id="rId20" w:history="1">
              <w:r w:rsidRPr="003E71BF">
                <w:rPr>
                  <w:rStyle w:val="Hyperlink"/>
                  <w:rFonts w:ascii="Arial" w:hAnsi="Arial" w:cs="Arial"/>
                  <w:color w:val="009FDA"/>
                </w:rPr>
                <w:t>Integrated Economic Development and Community Resilience Project (P173688)</w:t>
              </w:r>
            </w:hyperlink>
          </w:p>
        </w:tc>
      </w:tr>
      <w:tr w:rsidR="0097146C" w:rsidRPr="00211208" w14:paraId="5DA266AB" w14:textId="77777777" w:rsidTr="00164F42">
        <w:trPr>
          <w:jc w:val="center"/>
        </w:trPr>
        <w:tc>
          <w:tcPr>
            <w:tcW w:w="9000" w:type="dxa"/>
            <w:shd w:val="clear" w:color="auto" w:fill="FFFFFF"/>
          </w:tcPr>
          <w:p w14:paraId="0FC0EA9F" w14:textId="3EEB63CD" w:rsidR="0097146C" w:rsidRDefault="0097146C" w:rsidP="0097146C">
            <w:pPr>
              <w:spacing w:line="300" w:lineRule="auto"/>
              <w:jc w:val="both"/>
            </w:pPr>
            <w:r w:rsidRPr="00567B68">
              <w:rPr>
                <w:rFonts w:ascii="Arial" w:hAnsi="Arial" w:cs="Arial"/>
                <w:color w:val="757575"/>
              </w:rPr>
              <w:t xml:space="preserve">This </w:t>
            </w:r>
            <w:r>
              <w:rPr>
                <w:rFonts w:ascii="Arial" w:hAnsi="Arial" w:cs="Arial"/>
                <w:color w:val="757575"/>
              </w:rPr>
              <w:t xml:space="preserve">project was approved on June 9, 2022 for $23.5 million and </w:t>
            </w:r>
            <w:r w:rsidR="008B0C39">
              <w:rPr>
                <w:rFonts w:ascii="Arial" w:hAnsi="Arial" w:cs="Arial"/>
                <w:color w:val="757575"/>
              </w:rPr>
              <w:t>aims to</w:t>
            </w:r>
            <w:r>
              <w:rPr>
                <w:rFonts w:ascii="Arial" w:hAnsi="Arial" w:cs="Arial"/>
                <w:color w:val="757575"/>
              </w:rPr>
              <w:t xml:space="preserve"> increase</w:t>
            </w:r>
            <w:r w:rsidRPr="003E71BF">
              <w:rPr>
                <w:rFonts w:ascii="Arial" w:hAnsi="Arial" w:cs="Arial"/>
                <w:color w:val="757575"/>
              </w:rPr>
              <w:t xml:space="preserve"> access to economic and social infrastructure in rural wards, deliver climate and disaster resilience actions and enhance Provincial Governments’ accountability to citizens.</w:t>
            </w:r>
          </w:p>
          <w:p w14:paraId="530ABA85" w14:textId="2758ABBB" w:rsidR="0097146C" w:rsidRDefault="0097146C" w:rsidP="0097146C">
            <w:pPr>
              <w:spacing w:line="300" w:lineRule="auto"/>
              <w:jc w:val="both"/>
            </w:pPr>
          </w:p>
        </w:tc>
      </w:tr>
      <w:tr w:rsidR="00DE2AA0" w:rsidRPr="00211208" w14:paraId="57B033C9" w14:textId="77777777" w:rsidTr="00164F42">
        <w:trPr>
          <w:jc w:val="center"/>
        </w:trPr>
        <w:tc>
          <w:tcPr>
            <w:tcW w:w="9000" w:type="dxa"/>
            <w:shd w:val="clear" w:color="auto" w:fill="FFFFFF"/>
          </w:tcPr>
          <w:p w14:paraId="7CC97591" w14:textId="533F082A" w:rsidR="00DE2AA0" w:rsidRPr="00567B68" w:rsidRDefault="00A37AC0" w:rsidP="00D205C9">
            <w:pPr>
              <w:spacing w:line="300" w:lineRule="auto"/>
              <w:jc w:val="center"/>
              <w:rPr>
                <w:rFonts w:ascii="Arial" w:hAnsi="Arial" w:cs="Arial"/>
                <w:color w:val="757575"/>
              </w:rPr>
            </w:pPr>
            <w:hyperlink r:id="rId21" w:tgtFrame="_blank" w:history="1">
              <w:r w:rsidR="00D205C9" w:rsidRPr="00D205C9">
                <w:rPr>
                  <w:rStyle w:val="Hyperlink"/>
                  <w:rFonts w:ascii="Arial" w:hAnsi="Arial" w:cs="Arial"/>
                  <w:color w:val="009FDA"/>
                </w:rPr>
                <w:t>Somalia Urban Resilience Project Phase II Additional Financing (P178887)</w:t>
              </w:r>
            </w:hyperlink>
          </w:p>
        </w:tc>
      </w:tr>
      <w:tr w:rsidR="00DE2AA0" w:rsidRPr="00211208" w14:paraId="2BEDC2FD" w14:textId="77777777" w:rsidTr="00164F42">
        <w:trPr>
          <w:jc w:val="center"/>
        </w:trPr>
        <w:tc>
          <w:tcPr>
            <w:tcW w:w="9000" w:type="dxa"/>
            <w:shd w:val="clear" w:color="auto" w:fill="FFFFFF"/>
          </w:tcPr>
          <w:p w14:paraId="5C56E747" w14:textId="77777777" w:rsidR="00DE2AA0" w:rsidRDefault="00D205C9" w:rsidP="0097146C">
            <w:pPr>
              <w:spacing w:line="300" w:lineRule="auto"/>
              <w:jc w:val="both"/>
              <w:rPr>
                <w:rFonts w:ascii="Arial" w:hAnsi="Arial" w:cs="Arial"/>
                <w:color w:val="757575"/>
              </w:rPr>
            </w:pPr>
            <w:r>
              <w:rPr>
                <w:rFonts w:ascii="Arial" w:hAnsi="Arial" w:cs="Arial"/>
                <w:color w:val="757575"/>
              </w:rPr>
              <w:t xml:space="preserve">This additional financing was approved on June 3, 2022 for $41.5 million. </w:t>
            </w:r>
            <w:r w:rsidRPr="00D205C9">
              <w:rPr>
                <w:rFonts w:ascii="Arial" w:hAnsi="Arial" w:cs="Arial"/>
                <w:color w:val="757575"/>
              </w:rPr>
              <w:t>The additional financing will allow the program to help address unmet urban service needs, scale up the successful model for delivering infrastructure investments using country government systems, and replenish the program’s CERC funds.</w:t>
            </w:r>
          </w:p>
          <w:p w14:paraId="5795E136" w14:textId="0E0E797A" w:rsidR="00D205C9" w:rsidRPr="00567B68" w:rsidRDefault="00D205C9" w:rsidP="0097146C">
            <w:pPr>
              <w:spacing w:line="300" w:lineRule="auto"/>
              <w:jc w:val="both"/>
              <w:rPr>
                <w:rFonts w:ascii="Arial" w:hAnsi="Arial" w:cs="Arial"/>
                <w:color w:val="757575"/>
              </w:rPr>
            </w:pPr>
          </w:p>
        </w:tc>
      </w:tr>
      <w:tr w:rsidR="0097146C" w:rsidRPr="00211208" w14:paraId="04D28B5C" w14:textId="77777777" w:rsidTr="00164F42">
        <w:trPr>
          <w:jc w:val="center"/>
        </w:trPr>
        <w:tc>
          <w:tcPr>
            <w:tcW w:w="9000" w:type="dxa"/>
            <w:shd w:val="clear" w:color="auto" w:fill="FFFFFF"/>
          </w:tcPr>
          <w:p w14:paraId="26181461" w14:textId="293CD59B" w:rsidR="0097146C" w:rsidRPr="00696F5B" w:rsidRDefault="00A37AC0" w:rsidP="0097146C">
            <w:pPr>
              <w:spacing w:line="300" w:lineRule="auto"/>
              <w:jc w:val="center"/>
              <w:rPr>
                <w:rStyle w:val="Hyperlink"/>
                <w:color w:val="009FDA"/>
              </w:rPr>
            </w:pPr>
            <w:hyperlink r:id="rId22" w:tgtFrame="_blank" w:history="1">
              <w:r w:rsidR="0097146C" w:rsidRPr="003E71BF">
                <w:rPr>
                  <w:rStyle w:val="Hyperlink"/>
                  <w:rFonts w:ascii="Arial" w:hAnsi="Arial" w:cs="Arial"/>
                  <w:color w:val="009FDA"/>
                </w:rPr>
                <w:t>South Sudan Women’s Social and Economic Empowerment Project (P176900)</w:t>
              </w:r>
            </w:hyperlink>
          </w:p>
        </w:tc>
      </w:tr>
      <w:tr w:rsidR="0097146C" w:rsidRPr="00211208" w14:paraId="19038606" w14:textId="77777777" w:rsidTr="00164F42">
        <w:trPr>
          <w:jc w:val="center"/>
        </w:trPr>
        <w:tc>
          <w:tcPr>
            <w:tcW w:w="9000" w:type="dxa"/>
            <w:shd w:val="clear" w:color="auto" w:fill="FFFFFF"/>
          </w:tcPr>
          <w:p w14:paraId="14032667" w14:textId="7147596B" w:rsidR="0097146C" w:rsidRDefault="0097146C" w:rsidP="0097146C">
            <w:pPr>
              <w:spacing w:line="300" w:lineRule="auto"/>
              <w:jc w:val="both"/>
              <w:rPr>
                <w:rFonts w:ascii="Arial" w:hAnsi="Arial" w:cs="Arial"/>
                <w:color w:val="757575"/>
              </w:rPr>
            </w:pPr>
            <w:r w:rsidRPr="00696F5B">
              <w:rPr>
                <w:rFonts w:ascii="Arial" w:hAnsi="Arial" w:cs="Arial"/>
                <w:color w:val="757575"/>
              </w:rPr>
              <w:t>This project was approved on May 2</w:t>
            </w:r>
            <w:r>
              <w:rPr>
                <w:rFonts w:ascii="Arial" w:hAnsi="Arial" w:cs="Arial"/>
                <w:color w:val="757575"/>
              </w:rPr>
              <w:t>4</w:t>
            </w:r>
            <w:r w:rsidRPr="00696F5B">
              <w:rPr>
                <w:rFonts w:ascii="Arial" w:hAnsi="Arial" w:cs="Arial"/>
                <w:color w:val="757575"/>
              </w:rPr>
              <w:t>, 2022 for $</w:t>
            </w:r>
            <w:r>
              <w:rPr>
                <w:rFonts w:ascii="Arial" w:hAnsi="Arial" w:cs="Arial"/>
                <w:color w:val="757575"/>
              </w:rPr>
              <w:t>70</w:t>
            </w:r>
            <w:r w:rsidRPr="00696F5B">
              <w:rPr>
                <w:rFonts w:ascii="Arial" w:hAnsi="Arial" w:cs="Arial"/>
                <w:color w:val="757575"/>
              </w:rPr>
              <w:t xml:space="preserve"> million and seeks to </w:t>
            </w:r>
            <w:r>
              <w:rPr>
                <w:rFonts w:ascii="Arial" w:hAnsi="Arial" w:cs="Arial"/>
                <w:color w:val="757575"/>
              </w:rPr>
              <w:t>increase girls and women’s access to livelihood, entrepreneurial and GBV services and to strengthen the government’s capacity to provide these services</w:t>
            </w:r>
            <w:r w:rsidRPr="00696F5B">
              <w:rPr>
                <w:rFonts w:ascii="Arial" w:hAnsi="Arial" w:cs="Arial"/>
                <w:color w:val="757575"/>
              </w:rPr>
              <w:t>.</w:t>
            </w:r>
          </w:p>
          <w:p w14:paraId="234B40D9" w14:textId="659B5B1C" w:rsidR="0097146C" w:rsidRPr="00696F5B" w:rsidRDefault="0097146C" w:rsidP="0097146C">
            <w:pPr>
              <w:spacing w:line="300" w:lineRule="auto"/>
              <w:jc w:val="both"/>
              <w:rPr>
                <w:rFonts w:ascii="Arial" w:hAnsi="Arial" w:cs="Arial"/>
                <w:color w:val="757575"/>
              </w:rPr>
            </w:pPr>
          </w:p>
        </w:tc>
      </w:tr>
      <w:tr w:rsidR="0097146C" w:rsidRPr="00211208" w14:paraId="7678B053"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97146C" w14:paraId="06F82FF0"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97146C" w14:paraId="53688D93" w14:textId="77777777" w:rsidTr="00E07D89">
                    <w:tc>
                      <w:tcPr>
                        <w:tcW w:w="8460" w:type="dxa"/>
                        <w:tcBorders>
                          <w:top w:val="single" w:sz="12" w:space="0" w:color="EAEAEA"/>
                          <w:left w:val="nil"/>
                          <w:bottom w:val="nil"/>
                          <w:right w:val="nil"/>
                        </w:tcBorders>
                        <w:vAlign w:val="center"/>
                        <w:hideMark/>
                      </w:tcPr>
                      <w:p w14:paraId="235A1F1E" w14:textId="77777777" w:rsidR="0097146C" w:rsidRDefault="0097146C" w:rsidP="0097146C"/>
                    </w:tc>
                  </w:tr>
                </w:tbl>
                <w:p w14:paraId="6D0C2BC6" w14:textId="77777777" w:rsidR="0097146C" w:rsidRDefault="0097146C" w:rsidP="0097146C">
                  <w:pPr>
                    <w:rPr>
                      <w:rFonts w:ascii="Times New Roman" w:eastAsia="Times New Roman" w:hAnsi="Times New Roman" w:cs="Times New Roman"/>
                      <w:sz w:val="20"/>
                      <w:szCs w:val="20"/>
                    </w:rPr>
                  </w:pPr>
                </w:p>
              </w:tc>
            </w:tr>
            <w:tr w:rsidR="0097146C" w14:paraId="78C57E41"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7A53B7F7" w14:textId="77777777" w:rsidR="0097146C" w:rsidRDefault="0097146C" w:rsidP="0097146C">
                  <w:pPr>
                    <w:jc w:val="center"/>
                    <w:rPr>
                      <w:rFonts w:ascii="Arial" w:hAnsi="Arial" w:cs="Arial"/>
                      <w:sz w:val="36"/>
                      <w:szCs w:val="36"/>
                    </w:rPr>
                  </w:pPr>
                  <w:r>
                    <w:rPr>
                      <w:rFonts w:ascii="Arial" w:hAnsi="Arial" w:cs="Arial"/>
                      <w:b/>
                      <w:bCs/>
                      <w:color w:val="FFFFFF" w:themeColor="background1"/>
                      <w:sz w:val="36"/>
                      <w:szCs w:val="36"/>
                    </w:rPr>
                    <w:t>JOIN OUR COMMUNITY</w:t>
                  </w:r>
                </w:p>
              </w:tc>
            </w:tr>
          </w:tbl>
          <w:p w14:paraId="4B8989CF" w14:textId="77777777" w:rsidR="0097146C" w:rsidRPr="00211208" w:rsidRDefault="0097146C" w:rsidP="0097146C">
            <w:pPr>
              <w:spacing w:line="300" w:lineRule="auto"/>
              <w:rPr>
                <w:rStyle w:val="Strong"/>
                <w:rFonts w:ascii="Arial" w:hAnsi="Arial" w:cs="Arial"/>
                <w:color w:val="757575"/>
              </w:rPr>
            </w:pPr>
          </w:p>
        </w:tc>
      </w:tr>
      <w:tr w:rsidR="0097146C" w:rsidRPr="00211208" w14:paraId="263A90F2" w14:textId="77777777" w:rsidTr="00164F42">
        <w:trPr>
          <w:jc w:val="center"/>
        </w:trPr>
        <w:tc>
          <w:tcPr>
            <w:tcW w:w="9000" w:type="dxa"/>
            <w:shd w:val="clear" w:color="auto" w:fill="FFFFFF"/>
          </w:tcPr>
          <w:p w14:paraId="0F115019" w14:textId="77777777" w:rsidR="0097146C" w:rsidRDefault="0097146C" w:rsidP="0097146C"/>
        </w:tc>
      </w:tr>
      <w:tr w:rsidR="0097146C" w:rsidRPr="00211208" w14:paraId="146AA754" w14:textId="77777777" w:rsidTr="00164F42">
        <w:trPr>
          <w:jc w:val="center"/>
        </w:trPr>
        <w:tc>
          <w:tcPr>
            <w:tcW w:w="9000" w:type="dxa"/>
            <w:shd w:val="clear" w:color="auto" w:fill="FFFFFF"/>
          </w:tcPr>
          <w:p w14:paraId="2FD760CB" w14:textId="77777777" w:rsidR="0097146C" w:rsidRDefault="0097146C" w:rsidP="0097146C">
            <w:pPr>
              <w:spacing w:line="300" w:lineRule="auto"/>
              <w:jc w:val="both"/>
              <w:rPr>
                <w:rFonts w:ascii="Arial" w:hAnsi="Arial" w:cs="Arial"/>
                <w:color w:val="757575"/>
              </w:rPr>
            </w:pPr>
            <w:r w:rsidRPr="00382A6D">
              <w:rPr>
                <w:rFonts w:ascii="Arial" w:hAnsi="Arial" w:cs="Arial"/>
                <w:color w:val="757575"/>
              </w:rPr>
              <w:t xml:space="preserve">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                                                                   </w:t>
            </w:r>
            <w:r w:rsidRPr="00382A6D">
              <w:rPr>
                <w:rFonts w:ascii="Arial" w:hAnsi="Arial" w:cs="Arial"/>
                <w:color w:val="757575"/>
              </w:rPr>
              <w:br/>
            </w:r>
            <w:r w:rsidRPr="00382A6D">
              <w:rPr>
                <w:rFonts w:ascii="Arial" w:hAnsi="Arial" w:cs="Arial"/>
                <w:color w:val="757575"/>
              </w:rPr>
              <w:br/>
              <w:t>To share papers, project news, interesting blogs, or upcoming events on CDD and other relevant themes with the CDD CoP, please email the </w:t>
            </w:r>
            <w:hyperlink r:id="rId23" w:tgtFrame="_blank" w:history="1">
              <w:r w:rsidRPr="00382A6D">
                <w:rPr>
                  <w:rFonts w:ascii="Arial" w:hAnsi="Arial" w:cs="Arial"/>
                  <w:color w:val="757575"/>
                </w:rPr>
                <w:t>CDD email</w:t>
              </w:r>
            </w:hyperlink>
            <w:r w:rsidRPr="00382A6D">
              <w:rPr>
                <w:rFonts w:ascii="Arial" w:hAnsi="Arial" w:cs="Arial"/>
                <w:color w:val="757575"/>
              </w:rPr>
              <w:t> and we'll incorporate these in the next "What's happening in CDD" newsletter.</w:t>
            </w:r>
          </w:p>
          <w:p w14:paraId="74A90D28" w14:textId="77777777" w:rsidR="0097146C" w:rsidRDefault="0097146C" w:rsidP="0097146C"/>
        </w:tc>
      </w:tr>
      <w:tr w:rsidR="0097146C" w:rsidRPr="00211208" w14:paraId="124C056E" w14:textId="77777777" w:rsidTr="00164F42">
        <w:trPr>
          <w:jc w:val="center"/>
        </w:trPr>
        <w:tc>
          <w:tcPr>
            <w:tcW w:w="9000" w:type="dxa"/>
            <w:tcBorders>
              <w:bottom w:val="single" w:sz="18" w:space="0" w:color="E7E6E6" w:themeColor="background2"/>
            </w:tcBorders>
            <w:shd w:val="clear" w:color="auto" w:fill="FFFFFF"/>
          </w:tcPr>
          <w:p w14:paraId="5AA1F54A" w14:textId="77777777" w:rsidR="0097146C" w:rsidRDefault="0097146C" w:rsidP="0097146C"/>
        </w:tc>
      </w:tr>
      <w:tr w:rsidR="0097146C" w:rsidRPr="00211208" w14:paraId="0548B560" w14:textId="77777777" w:rsidTr="00164F42">
        <w:trPr>
          <w:jc w:val="center"/>
        </w:trPr>
        <w:tc>
          <w:tcPr>
            <w:tcW w:w="9000" w:type="dxa"/>
            <w:tcBorders>
              <w:top w:val="single" w:sz="18" w:space="0" w:color="E7E6E6" w:themeColor="background2"/>
            </w:tcBorders>
            <w:shd w:val="clear" w:color="auto" w:fill="FFFFFF"/>
          </w:tcPr>
          <w:p w14:paraId="097915DF" w14:textId="77777777" w:rsidR="0097146C" w:rsidRDefault="0097146C" w:rsidP="0097146C"/>
        </w:tc>
      </w:tr>
      <w:tr w:rsidR="0097146C" w:rsidRPr="00211208" w14:paraId="1D125BF0" w14:textId="77777777" w:rsidTr="00164F42">
        <w:trPr>
          <w:jc w:val="center"/>
        </w:trPr>
        <w:tc>
          <w:tcPr>
            <w:tcW w:w="9000" w:type="dxa"/>
            <w:shd w:val="clear" w:color="auto" w:fill="FFFFFF"/>
          </w:tcPr>
          <w:p w14:paraId="5162E18A" w14:textId="77777777" w:rsidR="0097146C" w:rsidRDefault="0097146C" w:rsidP="0097146C">
            <w:pPr>
              <w:jc w:val="center"/>
              <w:rPr>
                <w:rStyle w:val="Hyperlink"/>
                <w:rFonts w:ascii="Arial" w:hAnsi="Arial" w:cs="Arial"/>
                <w:color w:val="009FDA"/>
              </w:rPr>
            </w:pPr>
            <w:r w:rsidRPr="00CA23EE">
              <w:rPr>
                <w:rFonts w:ascii="Arial" w:hAnsi="Arial" w:cs="Arial"/>
                <w:color w:val="757575"/>
              </w:rPr>
              <w:t>To sign up for CDD CoP membership and receive our monthly newsletter, please </w:t>
            </w:r>
            <w:hyperlink r:id="rId24" w:history="1">
              <w:r w:rsidRPr="001653A9">
                <w:rPr>
                  <w:rStyle w:val="Hyperlink"/>
                  <w:rFonts w:ascii="Arial" w:hAnsi="Arial" w:cs="Arial"/>
                  <w:color w:val="009FD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25" w:history="1">
              <w:r w:rsidRPr="001653A9">
                <w:rPr>
                  <w:rStyle w:val="Hyperlink"/>
                  <w:rFonts w:ascii="Arial" w:hAnsi="Arial" w:cs="Arial"/>
                  <w:color w:val="009FD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26" w:history="1">
              <w:r w:rsidRPr="001653A9">
                <w:rPr>
                  <w:rStyle w:val="Hyperlink"/>
                  <w:rFonts w:ascii="Arial" w:hAnsi="Arial" w:cs="Arial"/>
                  <w:color w:val="009FDA"/>
                </w:rPr>
                <w:t>https://collaboration.worldbank.org/content/sites/collaboration-for-development/en/groups/community-driven-development-global-solutions-group.html</w:t>
              </w:r>
            </w:hyperlink>
          </w:p>
          <w:p w14:paraId="597357C7" w14:textId="77777777" w:rsidR="0097146C" w:rsidRDefault="0097146C" w:rsidP="0097146C">
            <w:pPr>
              <w:jc w:val="center"/>
            </w:pPr>
          </w:p>
          <w:p w14:paraId="38FB55AB" w14:textId="77777777" w:rsidR="0097146C" w:rsidRDefault="0097146C" w:rsidP="0097146C">
            <w:pPr>
              <w:jc w:val="center"/>
            </w:pPr>
          </w:p>
        </w:tc>
      </w:tr>
      <w:tr w:rsidR="0097146C" w:rsidRPr="00211208" w14:paraId="388F1867" w14:textId="77777777" w:rsidTr="00164F42">
        <w:trPr>
          <w:jc w:val="center"/>
        </w:trPr>
        <w:tc>
          <w:tcPr>
            <w:tcW w:w="9000" w:type="dxa"/>
            <w:tcBorders>
              <w:bottom w:val="single" w:sz="18" w:space="0" w:color="E7E6E6" w:themeColor="background2"/>
            </w:tcBorders>
            <w:shd w:val="clear" w:color="auto" w:fill="FFFFFF"/>
          </w:tcPr>
          <w:p w14:paraId="645DBF5B" w14:textId="77777777" w:rsidR="0097146C" w:rsidRDefault="0097146C" w:rsidP="0097146C"/>
          <w:p w14:paraId="7B82F699" w14:textId="77777777" w:rsidR="0097146C" w:rsidRDefault="0097146C" w:rsidP="0097146C">
            <w:pPr>
              <w:jc w:val="center"/>
              <w:rPr>
                <w:rStyle w:val="Hyperlink"/>
                <w:rFonts w:ascii="Arial" w:hAnsi="Arial" w:cs="Arial"/>
                <w:color w:val="009FDA"/>
                <w:sz w:val="24"/>
                <w:szCs w:val="24"/>
              </w:rPr>
            </w:pPr>
            <w:r w:rsidRPr="001653A9">
              <w:rPr>
                <w:rStyle w:val="Strong"/>
                <w:rFonts w:ascii="Arial" w:hAnsi="Arial" w:cs="Arial"/>
                <w:color w:val="002244"/>
                <w:sz w:val="24"/>
                <w:szCs w:val="24"/>
              </w:rPr>
              <w:t>GLOBAL PROGRAMS UNIT - SSIGL | THE WORLD BANK</w:t>
            </w:r>
            <w:r w:rsidRPr="001653A9">
              <w:rPr>
                <w:rFonts w:ascii="Arial" w:hAnsi="Arial" w:cs="Arial"/>
                <w:color w:val="002244"/>
                <w:sz w:val="24"/>
                <w:szCs w:val="24"/>
              </w:rPr>
              <w:br/>
              <w:t>Email: </w:t>
            </w:r>
            <w:hyperlink r:id="rId27" w:history="1">
              <w:r w:rsidRPr="001653A9">
                <w:rPr>
                  <w:rStyle w:val="Hyperlink"/>
                  <w:rFonts w:ascii="Arial" w:hAnsi="Arial" w:cs="Arial"/>
                  <w:color w:val="009FDA"/>
                  <w:sz w:val="24"/>
                  <w:szCs w:val="24"/>
                </w:rPr>
                <w:t>cddgsg@worldbank.org</w:t>
              </w:r>
            </w:hyperlink>
          </w:p>
          <w:p w14:paraId="6A3B450A" w14:textId="77777777" w:rsidR="0097146C" w:rsidRDefault="0097146C" w:rsidP="0097146C"/>
          <w:p w14:paraId="7ED47B67" w14:textId="77777777" w:rsidR="0097146C" w:rsidRDefault="0097146C" w:rsidP="0097146C"/>
        </w:tc>
      </w:tr>
    </w:tbl>
    <w:p w14:paraId="64A7F62A" w14:textId="77777777" w:rsidR="001E4EF8" w:rsidRDefault="001E4EF8"/>
    <w:sectPr w:rsidR="001E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776"/>
    <w:multiLevelType w:val="hybridMultilevel"/>
    <w:tmpl w:val="4078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3758"/>
    <w:multiLevelType w:val="hybridMultilevel"/>
    <w:tmpl w:val="F4B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2058A"/>
    <w:multiLevelType w:val="hybridMultilevel"/>
    <w:tmpl w:val="4E80D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2"/>
    <w:rsid w:val="00034F49"/>
    <w:rsid w:val="00064BFC"/>
    <w:rsid w:val="0008058D"/>
    <w:rsid w:val="000C4614"/>
    <w:rsid w:val="001079FD"/>
    <w:rsid w:val="001162DB"/>
    <w:rsid w:val="001340A1"/>
    <w:rsid w:val="00164F42"/>
    <w:rsid w:val="001D590B"/>
    <w:rsid w:val="001D76B2"/>
    <w:rsid w:val="001E12E0"/>
    <w:rsid w:val="001E4EF8"/>
    <w:rsid w:val="002052EA"/>
    <w:rsid w:val="002057B2"/>
    <w:rsid w:val="00210750"/>
    <w:rsid w:val="00236B76"/>
    <w:rsid w:val="002431F0"/>
    <w:rsid w:val="00246D30"/>
    <w:rsid w:val="0026703E"/>
    <w:rsid w:val="002E371B"/>
    <w:rsid w:val="002F3922"/>
    <w:rsid w:val="00310573"/>
    <w:rsid w:val="003959AE"/>
    <w:rsid w:val="003D0960"/>
    <w:rsid w:val="003E71BF"/>
    <w:rsid w:val="004120B3"/>
    <w:rsid w:val="00426378"/>
    <w:rsid w:val="004E09EB"/>
    <w:rsid w:val="004F2CB6"/>
    <w:rsid w:val="005067E8"/>
    <w:rsid w:val="0051070D"/>
    <w:rsid w:val="00510A39"/>
    <w:rsid w:val="00566421"/>
    <w:rsid w:val="00567B68"/>
    <w:rsid w:val="005D71D9"/>
    <w:rsid w:val="005F38B1"/>
    <w:rsid w:val="00684AAF"/>
    <w:rsid w:val="00687D3A"/>
    <w:rsid w:val="00691FA3"/>
    <w:rsid w:val="00696F5B"/>
    <w:rsid w:val="006C7F90"/>
    <w:rsid w:val="006E436A"/>
    <w:rsid w:val="006E7679"/>
    <w:rsid w:val="00723150"/>
    <w:rsid w:val="007876C7"/>
    <w:rsid w:val="007D5BD1"/>
    <w:rsid w:val="007D686A"/>
    <w:rsid w:val="00805CB5"/>
    <w:rsid w:val="00830BF6"/>
    <w:rsid w:val="008847B8"/>
    <w:rsid w:val="008A4A01"/>
    <w:rsid w:val="008B0C39"/>
    <w:rsid w:val="008D6EA1"/>
    <w:rsid w:val="008D7193"/>
    <w:rsid w:val="009314FA"/>
    <w:rsid w:val="0097146C"/>
    <w:rsid w:val="009863A4"/>
    <w:rsid w:val="009A655D"/>
    <w:rsid w:val="00A1698E"/>
    <w:rsid w:val="00A35C16"/>
    <w:rsid w:val="00A37AC0"/>
    <w:rsid w:val="00A8773A"/>
    <w:rsid w:val="00AB57A7"/>
    <w:rsid w:val="00AF5607"/>
    <w:rsid w:val="00B022F6"/>
    <w:rsid w:val="00B26423"/>
    <w:rsid w:val="00B309CB"/>
    <w:rsid w:val="00B725CD"/>
    <w:rsid w:val="00BB4468"/>
    <w:rsid w:val="00C13FC0"/>
    <w:rsid w:val="00C4703C"/>
    <w:rsid w:val="00C5508E"/>
    <w:rsid w:val="00C5752C"/>
    <w:rsid w:val="00C777CC"/>
    <w:rsid w:val="00C77B9B"/>
    <w:rsid w:val="00C87B2F"/>
    <w:rsid w:val="00CA60C4"/>
    <w:rsid w:val="00CC7F34"/>
    <w:rsid w:val="00D04378"/>
    <w:rsid w:val="00D11363"/>
    <w:rsid w:val="00D205C9"/>
    <w:rsid w:val="00D23112"/>
    <w:rsid w:val="00DC6AB9"/>
    <w:rsid w:val="00DE2AA0"/>
    <w:rsid w:val="00E07D89"/>
    <w:rsid w:val="00E32E6E"/>
    <w:rsid w:val="00E367B4"/>
    <w:rsid w:val="00E6589F"/>
    <w:rsid w:val="00F357E6"/>
    <w:rsid w:val="00F410C1"/>
    <w:rsid w:val="00F97599"/>
    <w:rsid w:val="00F97F18"/>
    <w:rsid w:val="00FA41EE"/>
    <w:rsid w:val="00FA59B3"/>
    <w:rsid w:val="00FF5ECF"/>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476A"/>
  <w15:chartTrackingRefBased/>
  <w15:docId w15:val="{FF6873CF-6BCB-4EA3-9257-D039F73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42"/>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F42"/>
    <w:rPr>
      <w:b/>
      <w:bCs/>
    </w:rPr>
  </w:style>
  <w:style w:type="paragraph" w:styleId="BalloonText">
    <w:name w:val="Balloon Text"/>
    <w:basedOn w:val="Normal"/>
    <w:link w:val="BalloonTextChar"/>
    <w:uiPriority w:val="99"/>
    <w:semiHidden/>
    <w:unhideWhenUsed/>
    <w:rsid w:val="00164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42"/>
    <w:rPr>
      <w:rFonts w:ascii="Segoe UI" w:hAnsi="Segoe UI" w:cs="Segoe UI"/>
      <w:sz w:val="18"/>
      <w:szCs w:val="18"/>
    </w:rPr>
  </w:style>
  <w:style w:type="character" w:styleId="Hyperlink">
    <w:name w:val="Hyperlink"/>
    <w:basedOn w:val="DefaultParagraphFont"/>
    <w:uiPriority w:val="99"/>
    <w:unhideWhenUsed/>
    <w:rsid w:val="00164F42"/>
    <w:rPr>
      <w:color w:val="0000FF"/>
      <w:u w:val="single"/>
    </w:rPr>
  </w:style>
  <w:style w:type="character" w:styleId="FollowedHyperlink">
    <w:name w:val="FollowedHyperlink"/>
    <w:basedOn w:val="DefaultParagraphFont"/>
    <w:uiPriority w:val="99"/>
    <w:semiHidden/>
    <w:unhideWhenUsed/>
    <w:rsid w:val="002F3922"/>
    <w:rPr>
      <w:color w:val="954F72" w:themeColor="followedHyperlink"/>
      <w:u w:val="single"/>
    </w:rPr>
  </w:style>
  <w:style w:type="character" w:styleId="UnresolvedMention">
    <w:name w:val="Unresolved Mention"/>
    <w:basedOn w:val="DefaultParagraphFont"/>
    <w:uiPriority w:val="99"/>
    <w:semiHidden/>
    <w:unhideWhenUsed/>
    <w:rsid w:val="00723150"/>
    <w:rPr>
      <w:color w:val="605E5C"/>
      <w:shd w:val="clear" w:color="auto" w:fill="E1DFDD"/>
    </w:rPr>
  </w:style>
  <w:style w:type="character" w:styleId="CommentReference">
    <w:name w:val="annotation reference"/>
    <w:basedOn w:val="DefaultParagraphFont"/>
    <w:uiPriority w:val="99"/>
    <w:semiHidden/>
    <w:unhideWhenUsed/>
    <w:rsid w:val="0051070D"/>
    <w:rPr>
      <w:sz w:val="16"/>
      <w:szCs w:val="16"/>
    </w:rPr>
  </w:style>
  <w:style w:type="paragraph" w:styleId="CommentText">
    <w:name w:val="annotation text"/>
    <w:basedOn w:val="Normal"/>
    <w:link w:val="CommentTextChar"/>
    <w:uiPriority w:val="99"/>
    <w:semiHidden/>
    <w:unhideWhenUsed/>
    <w:rsid w:val="0051070D"/>
    <w:rPr>
      <w:sz w:val="20"/>
      <w:szCs w:val="20"/>
    </w:rPr>
  </w:style>
  <w:style w:type="character" w:customStyle="1" w:styleId="CommentTextChar">
    <w:name w:val="Comment Text Char"/>
    <w:basedOn w:val="DefaultParagraphFont"/>
    <w:link w:val="CommentText"/>
    <w:uiPriority w:val="99"/>
    <w:semiHidden/>
    <w:rsid w:val="0051070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70D"/>
    <w:rPr>
      <w:b/>
      <w:bCs/>
    </w:rPr>
  </w:style>
  <w:style w:type="character" w:customStyle="1" w:styleId="CommentSubjectChar">
    <w:name w:val="Comment Subject Char"/>
    <w:basedOn w:val="CommentTextChar"/>
    <w:link w:val="CommentSubject"/>
    <w:uiPriority w:val="99"/>
    <w:semiHidden/>
    <w:rsid w:val="0051070D"/>
    <w:rPr>
      <w:rFonts w:ascii="Calibri" w:hAnsi="Calibri" w:cs="Calibri"/>
      <w:b/>
      <w:bCs/>
      <w:sz w:val="20"/>
      <w:szCs w:val="20"/>
    </w:rPr>
  </w:style>
  <w:style w:type="paragraph" w:styleId="ListParagraph">
    <w:name w:val="List Paragraph"/>
    <w:basedOn w:val="Normal"/>
    <w:uiPriority w:val="34"/>
    <w:qFormat/>
    <w:rsid w:val="001D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0905">
      <w:bodyDiv w:val="1"/>
      <w:marLeft w:val="0"/>
      <w:marRight w:val="0"/>
      <w:marTop w:val="0"/>
      <w:marBottom w:val="0"/>
      <w:divBdr>
        <w:top w:val="none" w:sz="0" w:space="0" w:color="auto"/>
        <w:left w:val="none" w:sz="0" w:space="0" w:color="auto"/>
        <w:bottom w:val="none" w:sz="0" w:space="0" w:color="auto"/>
        <w:right w:val="none" w:sz="0" w:space="0" w:color="auto"/>
      </w:divBdr>
    </w:div>
    <w:div w:id="8218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groupevidence.org/empowering-womens-economic-groups-innovative-financial-and-accounting-training" TargetMode="External"/><Relationship Id="rId13" Type="http://schemas.openxmlformats.org/officeDocument/2006/relationships/hyperlink" Target="https://fedcommunities.org/community-development-research-seminar-series/2022-toward-inclusive-recovery/" TargetMode="External"/><Relationship Id="rId18" Type="http://schemas.openxmlformats.org/officeDocument/2006/relationships/hyperlink" Target="https://mcas-proxyweb.mcas.ms/certificate-checker?login=false&amp;originalUrl=https%3A%2F%2Foperationsportal.worldbank.org.mcas.ms%2Fsecure%2FP178047%2Fhome%3Ftab%3Ddashboard%26McasTsid%3D20893&amp;McasCSRF=2796c7958186fddff3ee732bc687ec622027ce5e460f95a2eb6c2cda5cfddc3a" TargetMode="External"/><Relationship Id="rId26"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3" Type="http://schemas.openxmlformats.org/officeDocument/2006/relationships/settings" Target="settings.xml"/><Relationship Id="rId21" Type="http://schemas.openxmlformats.org/officeDocument/2006/relationships/hyperlink" Target="https://mcas-proxyweb.mcas.ms/certificate-checker?login=false&amp;originalUrl=https%3A%2F%2Foperationsportal.worldbank.org.mcas.ms%2Fsecure%2FP178887%2Fhome%3Ftab%3Ddashboard%26McasTsid%3D20893%23monitoring&amp;McasCSRF=2796c7958186fddff3ee732bc687ec622027ce5e460f95a2eb6c2cda5cfddc3a" TargetMode="External"/><Relationship Id="rId7" Type="http://schemas.openxmlformats.org/officeDocument/2006/relationships/hyperlink" Target="https://mcas-proxyweb.mcas.ms/certificate-checker?login=false&amp;originalUrl=https%3A%2F%2Fblogs.worldbank.org.mcas.ms%2Fclimatechange%2Fprotect-nature-put-local-communities-center-climate-action%3FMcasTsid%3D20893&amp;McasCSRF=2796c7958186fddff3ee732bc687ec622027ce5e460f95a2eb6c2cda5cfddc3a" TargetMode="External"/><Relationship Id="rId12" Type="http://schemas.openxmlformats.org/officeDocument/2006/relationships/hyperlink" Target="https://gca.org/llachampions/" TargetMode="External"/><Relationship Id="rId17" Type="http://schemas.openxmlformats.org/officeDocument/2006/relationships/hyperlink" Target="https://mcas-proxyweb.mcas.ms/certificate-checker?login=false&amp;originalUrl=https%3A%2F%2Foperationsportal.worldbank.org.mcas.ms%2Fsecure%2FP176747%2Fhome%3Ftab%3Ddashboard%26McasTsid%3D20893&amp;McasCSRF=2796c7958186fddff3ee732bc687ec622027ce5e460f95a2eb6c2cda5cfddc3a" TargetMode="External"/><Relationship Id="rId25"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2" Type="http://schemas.openxmlformats.org/officeDocument/2006/relationships/styles" Target="styles.xml"/><Relationship Id="rId16" Type="http://schemas.openxmlformats.org/officeDocument/2006/relationships/hyperlink" Target="https://womensgroupevidence.org/" TargetMode="External"/><Relationship Id="rId20" Type="http://schemas.openxmlformats.org/officeDocument/2006/relationships/hyperlink" Target="https://mcas-proxyweb.mcas.ms/certificate-checker?login=false&amp;originalUrl=https%3A%2F%2Foperationsportal.worldbank.org.mcas.ms%2Fsecure%2FP173688%2Fhome%3Ftab%3Ddashboard%26McasTsid%3D20893%23monitoring&amp;McasCSRF=2796c7958186fddff3ee732bc687ec622027ce5e460f95a2eb6c2cda5cfddc3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s.worldbank.org/nasikiliza/empowering-south-sudans-women-and-girls-key-fostering-peace" TargetMode="External"/><Relationship Id="rId11" Type="http://schemas.openxmlformats.org/officeDocument/2006/relationships/hyperlink" Target="https://gca.org/llachampions/" TargetMode="External"/><Relationship Id="rId24"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5" Type="http://schemas.openxmlformats.org/officeDocument/2006/relationships/image" Target="media/image1.png"/><Relationship Id="rId15" Type="http://schemas.openxmlformats.org/officeDocument/2006/relationships/hyperlink" Target="https://www.worldbank.org/en/programs/world-bank-south-asia-region-gender-innovation-lab" TargetMode="External"/><Relationship Id="rId23" Type="http://schemas.openxmlformats.org/officeDocument/2006/relationships/hyperlink" Target="mailto:cddgsg@worldbank.org" TargetMode="External"/><Relationship Id="rId28" Type="http://schemas.openxmlformats.org/officeDocument/2006/relationships/fontTable" Target="fontTable.xml"/><Relationship Id="rId10" Type="http://schemas.openxmlformats.org/officeDocument/2006/relationships/hyperlink" Target="https://www.mercycorps.org/research-resources/communities-social-cohesion-violent-extremism" TargetMode="External"/><Relationship Id="rId19" Type="http://schemas.openxmlformats.org/officeDocument/2006/relationships/hyperlink" Target="https://mcas-proxyweb.mcas.ms/certificate-checker?login=false&amp;originalUrl=https%3A%2F%2Foperationsportal.worldbank.org.mcas.ms%2Fsecure%2FP178650%2Fhome%3FMcasTsid%3D20893&amp;McasCSRF=2796c7958186fddff3ee732bc687ec622027ce5e460f95a2eb6c2cda5cfddc3a" TargetMode="External"/><Relationship Id="rId4" Type="http://schemas.openxmlformats.org/officeDocument/2006/relationships/webSettings" Target="webSettings.xml"/><Relationship Id="rId9" Type="http://schemas.openxmlformats.org/officeDocument/2006/relationships/hyperlink" Target="https://womensgroupevidence.org/" TargetMode="External"/><Relationship Id="rId14" Type="http://schemas.openxmlformats.org/officeDocument/2006/relationships/hyperlink" Target="https://www.youtube.com/watch?v=Z6utitVO2NU" TargetMode="External"/><Relationship Id="rId22" Type="http://schemas.openxmlformats.org/officeDocument/2006/relationships/hyperlink" Target="https://mcas-proxyweb.mcas.ms/certificate-checker?login=false&amp;originalUrl=https%3A%2F%2Foperationsportal.worldbank.org.mcas.ms%2Fsecure%2FP176900%2Fhome%3Ftab%3Ddashboard%26McasTsid%3D20893&amp;McasCSRF=2796c7958186fddff3ee732bc687ec622027ce5e460f95a2eb6c2cda5cfddc3a" TargetMode="External"/><Relationship Id="rId27" Type="http://schemas.openxmlformats.org/officeDocument/2006/relationships/hyperlink" Target="mailto:cddgsg@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Linneman</dc:creator>
  <cp:keywords/>
  <dc:description/>
  <cp:lastModifiedBy>Camila</cp:lastModifiedBy>
  <cp:revision>3</cp:revision>
  <dcterms:created xsi:type="dcterms:W3CDTF">2022-06-21T14:36:00Z</dcterms:created>
  <dcterms:modified xsi:type="dcterms:W3CDTF">2022-06-21T14:37:00Z</dcterms:modified>
</cp:coreProperties>
</file>