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14" w:rsidRPr="0096586C" w:rsidRDefault="00662014" w:rsidP="00662014">
      <w:pPr>
        <w:jc w:val="center"/>
        <w:rPr>
          <w:rFonts w:ascii="Times New Roman" w:hAnsi="Times New Roman"/>
          <w:b/>
          <w:sz w:val="24"/>
          <w:szCs w:val="24"/>
        </w:rPr>
      </w:pPr>
      <w:r w:rsidRPr="0096586C">
        <w:rPr>
          <w:rFonts w:ascii="Times New Roman" w:hAnsi="Times New Roman"/>
          <w:b/>
          <w:sz w:val="24"/>
          <w:szCs w:val="24"/>
        </w:rPr>
        <w:t>MYANMAR</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8"/>
      </w:tblGrid>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Name of CDD Program: </w:t>
            </w:r>
          </w:p>
          <w:p w:rsidR="00662014" w:rsidRPr="0096586C" w:rsidRDefault="00037C83" w:rsidP="00037C83">
            <w:pPr>
              <w:spacing w:before="120" w:after="120"/>
              <w:rPr>
                <w:rFonts w:ascii="Times New Roman" w:hAnsi="Times New Roman"/>
                <w:sz w:val="24"/>
                <w:szCs w:val="24"/>
              </w:rPr>
            </w:pPr>
            <w:r w:rsidRPr="0096586C">
              <w:rPr>
                <w:rFonts w:ascii="Times New Roman" w:hAnsi="Times New Roman"/>
                <w:sz w:val="24"/>
                <w:szCs w:val="24"/>
              </w:rPr>
              <w:t>Myanmar Nation</w:t>
            </w:r>
            <w:r w:rsidR="0011061C" w:rsidRPr="0096586C">
              <w:rPr>
                <w:rFonts w:ascii="Times New Roman" w:hAnsi="Times New Roman"/>
                <w:sz w:val="24"/>
                <w:szCs w:val="24"/>
              </w:rPr>
              <w:t>al</w:t>
            </w:r>
            <w:r w:rsidRPr="0096586C">
              <w:rPr>
                <w:rFonts w:ascii="Times New Roman" w:hAnsi="Times New Roman"/>
                <w:sz w:val="24"/>
                <w:szCs w:val="24"/>
              </w:rPr>
              <w:t xml:space="preserve"> Community Driven D</w:t>
            </w:r>
            <w:r w:rsidR="00662014" w:rsidRPr="0096586C">
              <w:rPr>
                <w:rFonts w:ascii="Times New Roman" w:hAnsi="Times New Roman"/>
                <w:sz w:val="24"/>
                <w:szCs w:val="24"/>
              </w:rPr>
              <w:t xml:space="preserve">evelopment Project </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Program </w:t>
            </w:r>
            <w:r w:rsidR="00D45EE7">
              <w:rPr>
                <w:rFonts w:ascii="Times New Roman" w:hAnsi="Times New Roman"/>
                <w:b/>
                <w:sz w:val="24"/>
                <w:szCs w:val="24"/>
              </w:rPr>
              <w:t>Dates</w:t>
            </w:r>
            <w:r w:rsidRPr="0096586C">
              <w:rPr>
                <w:rFonts w:ascii="Times New Roman" w:hAnsi="Times New Roman"/>
                <w:b/>
                <w:sz w:val="24"/>
                <w:szCs w:val="24"/>
              </w:rPr>
              <w:t xml:space="preserve">:  </w:t>
            </w:r>
          </w:p>
          <w:p w:rsidR="00662014" w:rsidRPr="0096586C" w:rsidRDefault="0011061C" w:rsidP="004A7C95">
            <w:pPr>
              <w:spacing w:before="120" w:after="120"/>
              <w:rPr>
                <w:rFonts w:ascii="Times New Roman" w:hAnsi="Times New Roman"/>
                <w:sz w:val="24"/>
                <w:szCs w:val="24"/>
              </w:rPr>
            </w:pPr>
            <w:r w:rsidRPr="0096586C">
              <w:rPr>
                <w:rFonts w:ascii="Times New Roman" w:hAnsi="Times New Roman"/>
                <w:sz w:val="24"/>
                <w:szCs w:val="24"/>
              </w:rPr>
              <w:t>2013</w:t>
            </w:r>
            <w:r w:rsidR="00D45EE7">
              <w:rPr>
                <w:rFonts w:ascii="Times New Roman" w:hAnsi="Times New Roman"/>
                <w:sz w:val="24"/>
                <w:szCs w:val="24"/>
              </w:rPr>
              <w:t xml:space="preserve"> - 2021</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Implementing Agency:     </w:t>
            </w:r>
          </w:p>
          <w:p w:rsidR="00662014" w:rsidRPr="0096586C" w:rsidRDefault="00662014" w:rsidP="004A7C95">
            <w:pPr>
              <w:spacing w:before="120" w:after="120"/>
              <w:rPr>
                <w:rFonts w:ascii="Times New Roman" w:hAnsi="Times New Roman"/>
                <w:sz w:val="24"/>
                <w:szCs w:val="24"/>
              </w:rPr>
            </w:pPr>
            <w:r w:rsidRPr="0096586C">
              <w:rPr>
                <w:rFonts w:ascii="Times New Roman" w:hAnsi="Times New Roman"/>
                <w:sz w:val="24"/>
                <w:szCs w:val="24"/>
              </w:rPr>
              <w:t>Department of Rural Development</w:t>
            </w:r>
            <w:r w:rsidR="0011061C" w:rsidRPr="0096586C">
              <w:rPr>
                <w:rFonts w:ascii="Times New Roman" w:hAnsi="Times New Roman"/>
                <w:sz w:val="24"/>
                <w:szCs w:val="24"/>
              </w:rPr>
              <w:t xml:space="preserve">, </w:t>
            </w:r>
            <w:r w:rsidR="0011061C" w:rsidRPr="0096586C">
              <w:rPr>
                <w:rFonts w:ascii="Times New Roman" w:eastAsiaTheme="minorHAnsi" w:hAnsi="Times New Roman"/>
                <w:sz w:val="24"/>
                <w:szCs w:val="24"/>
              </w:rPr>
              <w:t>Government of the Republic of the Union of Myanmar</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Geographical Coverage (# of provinces/states, municipalities, villages, which parts of the country):</w:t>
            </w:r>
          </w:p>
          <w:p w:rsidR="00662014" w:rsidRPr="0096586C" w:rsidRDefault="003E35F2" w:rsidP="004A7C95">
            <w:pPr>
              <w:spacing w:before="120" w:after="120"/>
              <w:rPr>
                <w:rFonts w:ascii="Times New Roman" w:hAnsi="Times New Roman"/>
                <w:sz w:val="24"/>
                <w:szCs w:val="24"/>
              </w:rPr>
            </w:pPr>
            <w:r w:rsidRPr="0096586C">
              <w:rPr>
                <w:rFonts w:ascii="Times New Roman" w:hAnsi="Times New Roman"/>
                <w:sz w:val="24"/>
                <w:szCs w:val="24"/>
              </w:rPr>
              <w:t xml:space="preserve">One township per each of the 14 states and one union territory. </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Annual Program Budget (USD): </w:t>
            </w:r>
          </w:p>
          <w:p w:rsidR="00662014" w:rsidRPr="0096586C" w:rsidRDefault="0011061C" w:rsidP="004A7C95">
            <w:pPr>
              <w:spacing w:before="120" w:after="120"/>
              <w:rPr>
                <w:rFonts w:ascii="Times New Roman" w:hAnsi="Times New Roman"/>
                <w:sz w:val="24"/>
                <w:szCs w:val="24"/>
              </w:rPr>
            </w:pPr>
            <w:r w:rsidRPr="0096586C">
              <w:rPr>
                <w:rFonts w:ascii="Times New Roman" w:hAnsi="Times New Roman"/>
                <w:sz w:val="24"/>
                <w:szCs w:val="24"/>
              </w:rPr>
              <w:t>Total of US$86.3</w:t>
            </w:r>
            <w:r w:rsidR="00D45EE7">
              <w:rPr>
                <w:rFonts w:ascii="Times New Roman" w:hAnsi="Times New Roman"/>
                <w:sz w:val="24"/>
                <w:szCs w:val="24"/>
              </w:rPr>
              <w:t xml:space="preserve"> million</w:t>
            </w:r>
            <w:r w:rsidRPr="0096586C">
              <w:rPr>
                <w:rFonts w:ascii="Times New Roman" w:hAnsi="Times New Roman"/>
                <w:sz w:val="24"/>
                <w:szCs w:val="24"/>
              </w:rPr>
              <w:t>; IDA – US$80 million; Myanmar US$6.3 million</w:t>
            </w:r>
            <w:r w:rsidR="003E35F2" w:rsidRPr="0096586C">
              <w:rPr>
                <w:rFonts w:ascii="Times New Roman" w:hAnsi="Times New Roman"/>
                <w:sz w:val="24"/>
                <w:szCs w:val="24"/>
              </w:rPr>
              <w:t>. Average of US$13 million.</w:t>
            </w:r>
            <w:r w:rsidR="00D45EE7">
              <w:rPr>
                <w:rFonts w:ascii="Times New Roman" w:hAnsi="Times New Roman"/>
                <w:sz w:val="24"/>
                <w:szCs w:val="24"/>
              </w:rPr>
              <w:t xml:space="preserve"> Additional financing of US$425 million (IDA </w:t>
            </w:r>
            <w:r w:rsidR="007F61C8">
              <w:rPr>
                <w:rFonts w:ascii="Times New Roman" w:hAnsi="Times New Roman"/>
                <w:sz w:val="24"/>
                <w:szCs w:val="24"/>
              </w:rPr>
              <w:t xml:space="preserve">– </w:t>
            </w:r>
            <w:r w:rsidR="00D45EE7">
              <w:rPr>
                <w:rFonts w:ascii="Times New Roman" w:hAnsi="Times New Roman"/>
                <w:sz w:val="24"/>
                <w:szCs w:val="24"/>
              </w:rPr>
              <w:t>US$400; Italian Development Cooperation</w:t>
            </w:r>
            <w:r w:rsidR="007F61C8">
              <w:rPr>
                <w:rFonts w:ascii="Times New Roman" w:hAnsi="Times New Roman"/>
                <w:sz w:val="24"/>
                <w:szCs w:val="24"/>
              </w:rPr>
              <w:t xml:space="preserve"> –</w:t>
            </w:r>
            <w:r w:rsidR="00D45EE7">
              <w:rPr>
                <w:rFonts w:ascii="Times New Roman" w:hAnsi="Times New Roman"/>
                <w:sz w:val="24"/>
                <w:szCs w:val="24"/>
              </w:rPr>
              <w:t xml:space="preserve"> US$22.5 million; Myanmar </w:t>
            </w:r>
            <w:r w:rsidR="007F61C8">
              <w:rPr>
                <w:rFonts w:ascii="Times New Roman" w:hAnsi="Times New Roman"/>
                <w:sz w:val="24"/>
                <w:szCs w:val="24"/>
              </w:rPr>
              <w:t xml:space="preserve">– </w:t>
            </w:r>
            <w:r w:rsidR="00D45EE7">
              <w:rPr>
                <w:rFonts w:ascii="Times New Roman" w:hAnsi="Times New Roman"/>
                <w:sz w:val="24"/>
                <w:szCs w:val="24"/>
              </w:rPr>
              <w:t xml:space="preserve">US$30 million). </w:t>
            </w:r>
          </w:p>
        </w:tc>
      </w:tr>
      <w:tr w:rsidR="00662014" w:rsidRPr="0096586C">
        <w:tc>
          <w:tcPr>
            <w:tcW w:w="10458" w:type="dxa"/>
          </w:tcPr>
          <w:p w:rsidR="00662014" w:rsidRPr="0096586C" w:rsidRDefault="00662014" w:rsidP="007F61C8">
            <w:pPr>
              <w:spacing w:before="120" w:after="120" w:line="240" w:lineRule="auto"/>
              <w:rPr>
                <w:rFonts w:ascii="Times New Roman" w:hAnsi="Times New Roman"/>
                <w:b/>
                <w:sz w:val="24"/>
                <w:szCs w:val="24"/>
              </w:rPr>
            </w:pPr>
            <w:r w:rsidRPr="0096586C">
              <w:rPr>
                <w:rFonts w:ascii="Times New Roman" w:hAnsi="Times New Roman"/>
                <w:b/>
                <w:sz w:val="24"/>
                <w:szCs w:val="24"/>
              </w:rPr>
              <w:t>Program Objective:</w:t>
            </w:r>
          </w:p>
          <w:p w:rsidR="00662014" w:rsidRPr="0096586C" w:rsidRDefault="00662014" w:rsidP="007F61C8">
            <w:pPr>
              <w:spacing w:before="120" w:after="120" w:line="240" w:lineRule="auto"/>
              <w:rPr>
                <w:rFonts w:ascii="Times New Roman" w:hAnsi="Times New Roman"/>
                <w:b/>
                <w:sz w:val="24"/>
                <w:szCs w:val="24"/>
              </w:rPr>
            </w:pPr>
            <w:r w:rsidRPr="0096586C">
              <w:rPr>
                <w:rFonts w:ascii="Times New Roman" w:hAnsi="Times New Roman"/>
                <w:iCs/>
                <w:sz w:val="24"/>
                <w:szCs w:val="24"/>
              </w:rPr>
              <w:t xml:space="preserve">The program objective </w:t>
            </w:r>
            <w:r w:rsidRPr="0096586C">
              <w:rPr>
                <w:rFonts w:ascii="Times New Roman" w:hAnsi="Times New Roman"/>
                <w:iCs/>
                <w:sz w:val="24"/>
                <w:szCs w:val="24"/>
                <w:lang w:bidi="en-US"/>
              </w:rPr>
              <w:t>is to enable poor rural communities to benefit from improved access to and use of basic infrastructure and services through a people-centered approach and to enhance the government’s capacity to respond promptly and effectively to an eligible crisis or emergency. This approach will empower villagers to manage and participate in their own development.</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Main Program Components: </w:t>
            </w:r>
          </w:p>
          <w:p w:rsidR="00662014" w:rsidRPr="0096586C" w:rsidRDefault="00662014" w:rsidP="00662014">
            <w:pPr>
              <w:numPr>
                <w:ilvl w:val="0"/>
                <w:numId w:val="11"/>
              </w:numPr>
              <w:spacing w:after="120" w:line="240" w:lineRule="auto"/>
              <w:ind w:left="540"/>
              <w:rPr>
                <w:rFonts w:ascii="Times New Roman" w:hAnsi="Times New Roman"/>
                <w:sz w:val="24"/>
                <w:szCs w:val="24"/>
              </w:rPr>
            </w:pPr>
            <w:bookmarkStart w:id="0" w:name="OLE_LINK6"/>
            <w:bookmarkStart w:id="1" w:name="OLE_LINK5"/>
            <w:r w:rsidRPr="0096586C">
              <w:rPr>
                <w:rFonts w:ascii="Times New Roman" w:hAnsi="Times New Roman"/>
                <w:iCs/>
                <w:sz w:val="24"/>
                <w:szCs w:val="24"/>
              </w:rPr>
              <w:t>Community Block Grants</w:t>
            </w:r>
            <w:bookmarkEnd w:id="0"/>
            <w:bookmarkEnd w:id="1"/>
            <w:r w:rsidRPr="0096586C">
              <w:rPr>
                <w:rFonts w:ascii="Times New Roman" w:hAnsi="Times New Roman"/>
                <w:iCs/>
                <w:sz w:val="24"/>
                <w:szCs w:val="24"/>
              </w:rPr>
              <w:t>: This component finances three annual cycles of on average US$27,000 to about 640 village tracts in 15 townships for priority community level infrastructure with an open menu (using a negative list). Some examples include small feeder roads, foot-paths and bridges, drinking water systems, rehabilitation of class rooms and health centers, and small-scale rural electrification. Block grants are allocated through a participatory planning process covering all villages within a village tract</w:t>
            </w:r>
            <w:r w:rsidRPr="0096586C">
              <w:rPr>
                <w:rFonts w:ascii="Times New Roman" w:hAnsi="Times New Roman"/>
                <w:sz w:val="24"/>
                <w:szCs w:val="24"/>
              </w:rPr>
              <w:t>.</w:t>
            </w:r>
            <w:bookmarkStart w:id="2" w:name="OLE_LINK8"/>
            <w:bookmarkStart w:id="3" w:name="OLE_LINK7"/>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iCs/>
                <w:sz w:val="24"/>
                <w:szCs w:val="24"/>
              </w:rPr>
              <w:t xml:space="preserve">Facilitation and Capacity Development: </w:t>
            </w:r>
            <w:bookmarkEnd w:id="2"/>
            <w:bookmarkEnd w:id="3"/>
            <w:r w:rsidR="007F61C8">
              <w:rPr>
                <w:rFonts w:ascii="Times New Roman" w:hAnsi="Times New Roman"/>
                <w:iCs/>
                <w:sz w:val="24"/>
                <w:szCs w:val="24"/>
              </w:rPr>
              <w:t>This</w:t>
            </w:r>
            <w:r w:rsidRPr="0096586C">
              <w:rPr>
                <w:rFonts w:ascii="Times New Roman" w:hAnsi="Times New Roman"/>
                <w:iCs/>
                <w:sz w:val="24"/>
                <w:szCs w:val="24"/>
              </w:rPr>
              <w:t xml:space="preserve"> provides technical assistance and institutional support at the union and township levels, including hiring of community facilitators </w:t>
            </w:r>
            <w:r w:rsidRPr="0096586C">
              <w:rPr>
                <w:rFonts w:ascii="Times New Roman" w:hAnsi="Times New Roman"/>
                <w:iCs/>
                <w:sz w:val="24"/>
                <w:szCs w:val="24"/>
                <w:lang w:bidi="en-US"/>
              </w:rPr>
              <w:t>to support the implementation of community driven activities</w:t>
            </w:r>
            <w:r w:rsidRPr="0096586C">
              <w:rPr>
                <w:rFonts w:ascii="Times New Roman" w:hAnsi="Times New Roman"/>
                <w:iCs/>
                <w:sz w:val="24"/>
                <w:szCs w:val="24"/>
              </w:rPr>
              <w:t xml:space="preserve">. This component also supports capacity development for participatory processes, project management, gender equality and inclusion, environmental management and social accountability for local committee members as well as government staff at the township, region/state and union levels. </w:t>
            </w:r>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bCs/>
                <w:iCs/>
                <w:sz w:val="24"/>
                <w:szCs w:val="24"/>
              </w:rPr>
              <w:t xml:space="preserve">Knowledge and Learning: </w:t>
            </w:r>
            <w:r w:rsidR="007F61C8">
              <w:rPr>
                <w:rFonts w:ascii="Times New Roman" w:hAnsi="Times New Roman"/>
                <w:bCs/>
                <w:iCs/>
                <w:sz w:val="24"/>
                <w:szCs w:val="24"/>
              </w:rPr>
              <w:t>This</w:t>
            </w:r>
            <w:bookmarkStart w:id="4" w:name="_GoBack"/>
            <w:bookmarkEnd w:id="4"/>
            <w:r w:rsidRPr="0096586C">
              <w:rPr>
                <w:rFonts w:ascii="Times New Roman" w:hAnsi="Times New Roman"/>
                <w:bCs/>
                <w:iCs/>
                <w:sz w:val="24"/>
                <w:szCs w:val="24"/>
              </w:rPr>
              <w:t xml:space="preserve"> supports learning activities for community facilitators and government officials on CDD approaches implemented in Myanmar and south-south learning exchanges with ASEAN countries and other regions. The project holds annual multi-stakeholder reviews to share experiences from the previous cycle and discuss ways to improve the project’s design and implementation for the next cycle. The project will fund an annual “development marketplace” to highlight the most promising innovations in Myanmar. </w:t>
            </w:r>
            <w:bookmarkStart w:id="5" w:name="OLE_LINK10"/>
            <w:bookmarkStart w:id="6" w:name="OLE_LINK9"/>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iCs/>
                <w:sz w:val="24"/>
                <w:szCs w:val="24"/>
              </w:rPr>
              <w:lastRenderedPageBreak/>
              <w:t>Implementation Suppor</w:t>
            </w:r>
            <w:bookmarkEnd w:id="5"/>
            <w:bookmarkEnd w:id="6"/>
            <w:r w:rsidRPr="0096586C">
              <w:rPr>
                <w:rFonts w:ascii="Times New Roman" w:hAnsi="Times New Roman"/>
                <w:iCs/>
                <w:sz w:val="24"/>
                <w:szCs w:val="24"/>
              </w:rPr>
              <w:t>t: It supports project management at the union and township levels, including monitoring and evaluation, reporting and communications as well as administration and logistical support for project implementation. Furthermore, this component includes third-party financial and technical audits.</w:t>
            </w:r>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iCs/>
                <w:sz w:val="24"/>
                <w:szCs w:val="24"/>
              </w:rPr>
              <w:t xml:space="preserve">Emergency Contingency Response: It allows for the rapid reallocation of grant proceeds from other components </w:t>
            </w:r>
            <w:proofErr w:type="gramStart"/>
            <w:r w:rsidRPr="0096586C">
              <w:rPr>
                <w:rFonts w:ascii="Times New Roman" w:hAnsi="Times New Roman"/>
                <w:iCs/>
                <w:sz w:val="24"/>
                <w:szCs w:val="24"/>
              </w:rPr>
              <w:t>in order to</w:t>
            </w:r>
            <w:proofErr w:type="gramEnd"/>
            <w:r w:rsidRPr="0096586C">
              <w:rPr>
                <w:rFonts w:ascii="Times New Roman" w:hAnsi="Times New Roman"/>
                <w:iCs/>
                <w:sz w:val="24"/>
                <w:szCs w:val="24"/>
              </w:rPr>
              <w:t xml:space="preserve"> provide preparedness and rapid response support to disaster, emergency and/or catastrophic events, as needed.</w:t>
            </w:r>
          </w:p>
        </w:tc>
      </w:tr>
    </w:tbl>
    <w:p w:rsidR="00E62B3B" w:rsidRPr="0096586C" w:rsidRDefault="00E62B3B" w:rsidP="00D24B90">
      <w:pPr>
        <w:rPr>
          <w:rFonts w:ascii="Ayar" w:hAnsi="Ayar" w:cs="Ayar"/>
          <w:sz w:val="24"/>
          <w:szCs w:val="24"/>
        </w:rPr>
      </w:pPr>
    </w:p>
    <w:sectPr w:rsidR="00E62B3B" w:rsidRPr="0096586C"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yar">
    <w:altName w:val="Cambria"/>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2"/>
  </w:num>
  <w:num w:numId="4">
    <w:abstractNumId w:val="5"/>
  </w:num>
  <w:num w:numId="5">
    <w:abstractNumId w:val="4"/>
  </w:num>
  <w:num w:numId="6">
    <w:abstractNumId w:val="10"/>
  </w:num>
  <w:num w:numId="7">
    <w:abstractNumId w:val="9"/>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37C83"/>
    <w:rsid w:val="00077919"/>
    <w:rsid w:val="0011061C"/>
    <w:rsid w:val="003E35F2"/>
    <w:rsid w:val="0040123A"/>
    <w:rsid w:val="005939AE"/>
    <w:rsid w:val="005B12CA"/>
    <w:rsid w:val="00602948"/>
    <w:rsid w:val="00662014"/>
    <w:rsid w:val="0069490E"/>
    <w:rsid w:val="006A29CF"/>
    <w:rsid w:val="007F61C8"/>
    <w:rsid w:val="00962DE5"/>
    <w:rsid w:val="0096586C"/>
    <w:rsid w:val="00A45888"/>
    <w:rsid w:val="00B60E0D"/>
    <w:rsid w:val="00C97839"/>
    <w:rsid w:val="00D24B90"/>
    <w:rsid w:val="00D45EE7"/>
    <w:rsid w:val="00E62B3B"/>
    <w:rsid w:val="00ED1332"/>
    <w:rsid w:val="00F46E62"/>
    <w:rsid w:val="00F82A0B"/>
    <w:rsid w:val="00F923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1DC4"/>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6</cp:revision>
  <cp:lastPrinted>2015-03-18T06:49:00Z</cp:lastPrinted>
  <dcterms:created xsi:type="dcterms:W3CDTF">2018-03-12T19:23:00Z</dcterms:created>
  <dcterms:modified xsi:type="dcterms:W3CDTF">2018-03-27T15:13:00Z</dcterms:modified>
</cp:coreProperties>
</file>