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FB" w:rsidRPr="007942FB" w:rsidRDefault="007942FB" w:rsidP="007942FB">
      <w:pPr>
        <w:rPr>
          <w:rFonts w:asciiTheme="minorHAnsi" w:hAnsiTheme="minorHAnsi" w:cstheme="minorHAnsi"/>
          <w:b/>
          <w:bCs/>
        </w:rPr>
      </w:pPr>
      <w:r w:rsidRPr="007942FB">
        <w:rPr>
          <w:rFonts w:asciiTheme="minorHAnsi" w:hAnsiTheme="minorHAnsi" w:cstheme="minorHAnsi"/>
          <w:b/>
        </w:rPr>
        <w:t xml:space="preserve">Cross-Posting: Happening today - </w:t>
      </w:r>
      <w:r w:rsidRPr="007942FB">
        <w:rPr>
          <w:rFonts w:asciiTheme="minorHAnsi" w:hAnsiTheme="minorHAnsi" w:cstheme="minorHAnsi"/>
          <w:b/>
          <w:bCs/>
        </w:rPr>
        <w:t>Tuesday, October 09, 2018</w:t>
      </w:r>
      <w:r w:rsidRPr="007942FB">
        <w:rPr>
          <w:rFonts w:asciiTheme="minorHAnsi" w:hAnsiTheme="minorHAnsi" w:cstheme="minorHAnsi"/>
          <w:b/>
          <w:bCs/>
        </w:rPr>
        <w:t xml:space="preserve"> EDT</w:t>
      </w:r>
      <w:r w:rsidRPr="007942FB">
        <w:rPr>
          <w:rFonts w:asciiTheme="minorHAnsi" w:hAnsiTheme="minorHAnsi" w:cstheme="minorHAnsi"/>
          <w:b/>
          <w:bCs/>
        </w:rPr>
        <w:t xml:space="preserve"> | 12.30pm – 2.00pm | MC 5 -100</w:t>
      </w:r>
    </w:p>
    <w:p w:rsidR="005F2356" w:rsidRDefault="005F2356" w:rsidP="005F2356"/>
    <w:tbl>
      <w:tblPr>
        <w:tblW w:w="0" w:type="auto"/>
        <w:tblCellSpacing w:w="0" w:type="dxa"/>
        <w:tblInd w:w="630" w:type="dxa"/>
        <w:tblCellMar>
          <w:left w:w="0" w:type="dxa"/>
          <w:right w:w="0" w:type="dxa"/>
        </w:tblCellMar>
        <w:tblLook w:val="04A0" w:firstRow="1" w:lastRow="0" w:firstColumn="1" w:lastColumn="0" w:noHBand="0" w:noVBand="1"/>
      </w:tblPr>
      <w:tblGrid>
        <w:gridCol w:w="6"/>
        <w:gridCol w:w="8678"/>
        <w:gridCol w:w="46"/>
      </w:tblGrid>
      <w:tr w:rsidR="005F2356" w:rsidTr="005F2356">
        <w:trPr>
          <w:trHeight w:val="1620"/>
          <w:tblCellSpacing w:w="0" w:type="dxa"/>
        </w:trPr>
        <w:tc>
          <w:tcPr>
            <w:tcW w:w="0" w:type="auto"/>
            <w:gridSpan w:val="2"/>
            <w:vAlign w:val="center"/>
            <w:hideMark/>
          </w:tcPr>
          <w:p w:rsidR="005F2356" w:rsidRDefault="005F2356" w:rsidP="005F2356">
            <w:pPr>
              <w:spacing w:line="252" w:lineRule="auto"/>
              <w:jc w:val="center"/>
            </w:pPr>
            <w:r>
              <w:rPr>
                <w:noProof/>
              </w:rPr>
              <w:drawing>
                <wp:inline distT="0" distB="0" distL="0" distR="0">
                  <wp:extent cx="1765300" cy="488950"/>
                  <wp:effectExtent l="0" t="0" r="6350" b="6350"/>
                  <wp:docPr id="5" name="Picture 5" descr="cid:image007.jpg@01D4599B.D3A5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4599B.D3A50F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5300" cy="488950"/>
                          </a:xfrm>
                          <a:prstGeom prst="rect">
                            <a:avLst/>
                          </a:prstGeom>
                          <a:noFill/>
                          <a:ln>
                            <a:noFill/>
                          </a:ln>
                        </pic:spPr>
                      </pic:pic>
                    </a:graphicData>
                  </a:graphic>
                </wp:inline>
              </w:drawing>
            </w:r>
            <w:r>
              <w:rPr>
                <w:noProof/>
              </w:rPr>
              <w:drawing>
                <wp:inline distT="0" distB="0" distL="0" distR="0">
                  <wp:extent cx="1428750" cy="628650"/>
                  <wp:effectExtent l="0" t="0" r="0" b="0"/>
                  <wp:docPr id="4" name="Picture 4" descr="cid:image012.jpg@01D4599B.D3A5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4599B.D3A50F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r>
              <w:rPr>
                <w:noProof/>
              </w:rPr>
              <w:drawing>
                <wp:inline distT="0" distB="0" distL="0" distR="0">
                  <wp:extent cx="2012950" cy="438150"/>
                  <wp:effectExtent l="0" t="0" r="6350" b="0"/>
                  <wp:docPr id="3" name="Picture 3" descr="cid:image013.jpg@01D4599B.D3A5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4599B.D3A50F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2950" cy="438150"/>
                          </a:xfrm>
                          <a:prstGeom prst="rect">
                            <a:avLst/>
                          </a:prstGeom>
                          <a:noFill/>
                          <a:ln>
                            <a:noFill/>
                          </a:ln>
                        </pic:spPr>
                      </pic:pic>
                    </a:graphicData>
                  </a:graphic>
                </wp:inline>
              </w:drawing>
            </w:r>
          </w:p>
        </w:tc>
        <w:tc>
          <w:tcPr>
            <w:tcW w:w="0" w:type="auto"/>
            <w:vAlign w:val="center"/>
            <w:hideMark/>
          </w:tcPr>
          <w:p w:rsidR="005F2356" w:rsidRDefault="005F2356" w:rsidP="005F2356">
            <w:pPr>
              <w:jc w:val="center"/>
            </w:pPr>
          </w:p>
        </w:tc>
      </w:tr>
      <w:tr w:rsidR="005F2356" w:rsidTr="005F2356">
        <w:trPr>
          <w:tblCellSpacing w:w="0" w:type="dxa"/>
        </w:trPr>
        <w:tc>
          <w:tcPr>
            <w:tcW w:w="0" w:type="auto"/>
          </w:tcPr>
          <w:p w:rsidR="005F2356" w:rsidRDefault="005F2356">
            <w:pPr>
              <w:spacing w:line="252" w:lineRule="auto"/>
              <w:rPr>
                <w:rFonts w:ascii="Arial" w:hAnsi="Arial" w:cs="Arial"/>
                <w:color w:val="44546A"/>
                <w:sz w:val="20"/>
                <w:szCs w:val="20"/>
              </w:rPr>
            </w:pPr>
          </w:p>
          <w:p w:rsidR="005F2356" w:rsidRDefault="005F2356">
            <w:pPr>
              <w:spacing w:line="252" w:lineRule="auto"/>
              <w:rPr>
                <w:rFonts w:ascii="Arial" w:hAnsi="Arial" w:cs="Arial"/>
                <w:color w:val="44546A"/>
                <w:sz w:val="20"/>
                <w:szCs w:val="20"/>
              </w:rPr>
            </w:pPr>
          </w:p>
          <w:p w:rsidR="005F2356" w:rsidRDefault="005F2356">
            <w:pPr>
              <w:spacing w:line="252" w:lineRule="auto"/>
              <w:rPr>
                <w:rFonts w:ascii="Arial" w:hAnsi="Arial" w:cs="Arial"/>
                <w:color w:val="44546A"/>
                <w:sz w:val="20"/>
                <w:szCs w:val="20"/>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25400</wp:posOffset>
                  </wp:positionV>
                  <wp:extent cx="6705600" cy="952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pic:spPr>
                      </pic:pic>
                    </a:graphicData>
                  </a:graphic>
                  <wp14:sizeRelH relativeFrom="page">
                    <wp14:pctWidth>0</wp14:pctWidth>
                  </wp14:sizeRelH>
                  <wp14:sizeRelV relativeFrom="page">
                    <wp14:pctHeight>0</wp14:pctHeight>
                  </wp14:sizeRelV>
                </wp:anchor>
              </w:drawing>
            </w:r>
          </w:p>
          <w:p w:rsidR="005F2356" w:rsidRDefault="005F2356">
            <w:pPr>
              <w:spacing w:line="252" w:lineRule="auto"/>
              <w:rPr>
                <w:rFonts w:ascii="Times New Roman" w:hAnsi="Times New Roman" w:cs="Times New Roman"/>
                <w:i/>
                <w:iCs/>
                <w:color w:val="44546A"/>
                <w:sz w:val="16"/>
                <w:szCs w:val="16"/>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19135090</wp:posOffset>
                  </wp:positionV>
                  <wp:extent cx="6838950" cy="2857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0" cy="285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tcPr>
          <w:p w:rsidR="005F2356" w:rsidRDefault="005F2356" w:rsidP="005F2356">
            <w:pPr>
              <w:rPr>
                <w:rFonts w:ascii="Andes" w:hAnsi="Andes"/>
                <w:color w:val="00B0F0"/>
                <w:sz w:val="20"/>
                <w:szCs w:val="20"/>
              </w:rPr>
            </w:pPr>
            <w:r>
              <w:rPr>
                <w:rFonts w:ascii="Andes" w:hAnsi="Andes"/>
                <w:color w:val="00B0F0"/>
                <w:sz w:val="20"/>
                <w:szCs w:val="20"/>
              </w:rPr>
              <w:t>BBL hosted by the Environment &amp; Natural Resources GP and the Pollution Management GSG &amp; the Green Finance Community of Practice</w:t>
            </w:r>
          </w:p>
          <w:p w:rsidR="005F2356" w:rsidRDefault="005F2356" w:rsidP="005F2356">
            <w:pPr>
              <w:spacing w:line="252" w:lineRule="auto"/>
              <w:rPr>
                <w:rFonts w:ascii="Andes" w:hAnsi="Andes"/>
                <w:b/>
                <w:bCs/>
                <w:color w:val="44546A"/>
                <w:sz w:val="36"/>
                <w:szCs w:val="36"/>
              </w:rPr>
            </w:pPr>
          </w:p>
          <w:p w:rsidR="005F2356" w:rsidRDefault="005F2356" w:rsidP="005F2356">
            <w:pPr>
              <w:rPr>
                <w:rFonts w:ascii="Andes" w:hAnsi="Andes"/>
                <w:b/>
                <w:bCs/>
                <w:color w:val="525252"/>
                <w:sz w:val="36"/>
                <w:szCs w:val="36"/>
              </w:rPr>
            </w:pPr>
            <w:bookmarkStart w:id="0" w:name="_GoBack"/>
            <w:r>
              <w:rPr>
                <w:rFonts w:ascii="Andes" w:hAnsi="Andes"/>
                <w:b/>
                <w:bCs/>
                <w:color w:val="525252"/>
                <w:sz w:val="36"/>
                <w:szCs w:val="36"/>
              </w:rPr>
              <w:t>Green Bonds: Fiduciary Duty in the Context of Climate Change</w:t>
            </w:r>
          </w:p>
          <w:bookmarkEnd w:id="0"/>
          <w:p w:rsidR="005F2356" w:rsidRDefault="005F2356" w:rsidP="005F2356">
            <w:pPr>
              <w:spacing w:line="252" w:lineRule="auto"/>
              <w:rPr>
                <w:rFonts w:ascii="Andes" w:hAnsi="Andes"/>
                <w:b/>
                <w:bCs/>
                <w:color w:val="44546A"/>
                <w:sz w:val="34"/>
                <w:szCs w:val="34"/>
              </w:rPr>
            </w:pPr>
          </w:p>
          <w:p w:rsidR="005F2356" w:rsidRDefault="005F2356" w:rsidP="005F2356">
            <w:pPr>
              <w:spacing w:line="252" w:lineRule="auto"/>
              <w:rPr>
                <w:rFonts w:ascii="Andes" w:hAnsi="Andes"/>
                <w:b/>
                <w:bCs/>
                <w:color w:val="44546A"/>
                <w:sz w:val="36"/>
                <w:szCs w:val="36"/>
              </w:rPr>
            </w:pPr>
            <w:r>
              <w:rPr>
                <w:rFonts w:ascii="Andes" w:hAnsi="Andes"/>
                <w:noProof/>
              </w:rPr>
              <w:drawing>
                <wp:inline distT="0" distB="0" distL="0" distR="0">
                  <wp:extent cx="5956300" cy="3143250"/>
                  <wp:effectExtent l="0" t="0" r="635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56300" cy="3143250"/>
                          </a:xfrm>
                          <a:prstGeom prst="rect">
                            <a:avLst/>
                          </a:prstGeom>
                          <a:noFill/>
                          <a:ln>
                            <a:noFill/>
                          </a:ln>
                        </pic:spPr>
                      </pic:pic>
                    </a:graphicData>
                  </a:graphic>
                </wp:inline>
              </w:drawing>
            </w:r>
          </w:p>
          <w:p w:rsidR="005F2356" w:rsidRDefault="005F2356" w:rsidP="005F2356">
            <w:pPr>
              <w:spacing w:line="252" w:lineRule="auto"/>
              <w:rPr>
                <w:rFonts w:ascii="Andes" w:hAnsi="Andes"/>
                <w:b/>
                <w:bCs/>
                <w:color w:val="44546A"/>
                <w:sz w:val="32"/>
                <w:szCs w:val="32"/>
              </w:rPr>
            </w:pPr>
          </w:p>
          <w:p w:rsidR="005F2356" w:rsidRDefault="005F2356" w:rsidP="005F2356">
            <w:pPr>
              <w:rPr>
                <w:rFonts w:ascii="Andes" w:hAnsi="Andes"/>
                <w:b/>
                <w:bCs/>
              </w:rPr>
            </w:pPr>
            <w:r>
              <w:rPr>
                <w:rFonts w:ascii="Andes" w:hAnsi="Andes"/>
                <w:b/>
                <w:bCs/>
              </w:rPr>
              <w:t>Tuesday, October 09, 2018 | 12.30pm – 2.00pm | MC 5 -100</w:t>
            </w:r>
          </w:p>
          <w:p w:rsidR="005F2356" w:rsidRDefault="005F2356" w:rsidP="005F2356">
            <w:pPr>
              <w:spacing w:line="252" w:lineRule="auto"/>
              <w:rPr>
                <w:rFonts w:ascii="Andes" w:hAnsi="Andes"/>
                <w:b/>
                <w:bCs/>
                <w:color w:val="385723"/>
              </w:rPr>
            </w:pPr>
          </w:p>
          <w:p w:rsidR="005F2356" w:rsidRDefault="005F2356" w:rsidP="005F2356">
            <w:pPr>
              <w:spacing w:line="252" w:lineRule="auto"/>
              <w:rPr>
                <w:rFonts w:ascii="Andes" w:hAnsi="Andes"/>
                <w:b/>
                <w:bCs/>
                <w:color w:val="44546A"/>
              </w:rPr>
            </w:pPr>
            <w:r>
              <w:rPr>
                <w:noProof/>
              </w:rPr>
              <w:drawing>
                <wp:anchor distT="0" distB="0" distL="114300" distR="114300" simplePos="0" relativeHeight="251658240" behindDoc="0" locked="0" layoutInCell="1" allowOverlap="1">
                  <wp:simplePos x="0" y="0"/>
                  <wp:positionH relativeFrom="column">
                    <wp:posOffset>2446655</wp:posOffset>
                  </wp:positionH>
                  <wp:positionV relativeFrom="paragraph">
                    <wp:posOffset>18415</wp:posOffset>
                  </wp:positionV>
                  <wp:extent cx="1857375" cy="533400"/>
                  <wp:effectExtent l="0" t="0" r="9525" b="0"/>
                  <wp:wrapNone/>
                  <wp:docPr id="6" name="Picture 6" descr="RSVP and ADD to Calenda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VP and ADD to Calenda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pic:spPr>
                      </pic:pic>
                    </a:graphicData>
                  </a:graphic>
                  <wp14:sizeRelH relativeFrom="page">
                    <wp14:pctWidth>0</wp14:pctWidth>
                  </wp14:sizeRelH>
                  <wp14:sizeRelV relativeFrom="page">
                    <wp14:pctHeight>0</wp14:pctHeight>
                  </wp14:sizeRelV>
                </wp:anchor>
              </w:drawing>
            </w:r>
          </w:p>
          <w:p w:rsidR="005F2356" w:rsidRDefault="005F2356" w:rsidP="005F2356">
            <w:pPr>
              <w:spacing w:line="252" w:lineRule="auto"/>
              <w:rPr>
                <w:rFonts w:ascii="Andes" w:hAnsi="Andes"/>
                <w:b/>
                <w:bCs/>
                <w:color w:val="44546A"/>
              </w:rPr>
            </w:pPr>
          </w:p>
          <w:p w:rsidR="005F2356" w:rsidRDefault="005F2356" w:rsidP="005F2356">
            <w:pPr>
              <w:spacing w:line="252" w:lineRule="auto"/>
              <w:rPr>
                <w:rFonts w:ascii="Andes" w:hAnsi="Andes"/>
                <w:b/>
                <w:bCs/>
                <w:color w:val="44546A"/>
              </w:rPr>
            </w:pPr>
          </w:p>
          <w:p w:rsidR="005F2356" w:rsidRDefault="005F2356" w:rsidP="005F2356">
            <w:pPr>
              <w:spacing w:line="252" w:lineRule="auto"/>
              <w:rPr>
                <w:rFonts w:ascii="Andes" w:hAnsi="Andes"/>
                <w:b/>
                <w:bCs/>
                <w:color w:val="44546A"/>
              </w:rPr>
            </w:pPr>
          </w:p>
          <w:tbl>
            <w:tblPr>
              <w:tblW w:w="0" w:type="auto"/>
              <w:jc w:val="center"/>
              <w:tblCellMar>
                <w:left w:w="0" w:type="dxa"/>
                <w:right w:w="0" w:type="dxa"/>
              </w:tblCellMar>
              <w:tblLook w:val="04A0" w:firstRow="1" w:lastRow="0" w:firstColumn="1" w:lastColumn="0" w:noHBand="0" w:noVBand="1"/>
            </w:tblPr>
            <w:tblGrid>
              <w:gridCol w:w="4341"/>
              <w:gridCol w:w="4337"/>
            </w:tblGrid>
            <w:tr w:rsidR="005F2356">
              <w:trPr>
                <w:jc w:val="center"/>
              </w:trPr>
              <w:tc>
                <w:tcPr>
                  <w:tcW w:w="4675" w:type="dxa"/>
                  <w:tcMar>
                    <w:top w:w="0" w:type="dxa"/>
                    <w:left w:w="108" w:type="dxa"/>
                    <w:bottom w:w="0" w:type="dxa"/>
                    <w:right w:w="108" w:type="dxa"/>
                  </w:tcMar>
                  <w:hideMark/>
                </w:tcPr>
                <w:p w:rsidR="005F2356" w:rsidRDefault="005F2356" w:rsidP="005F2356">
                  <w:pPr>
                    <w:spacing w:line="252" w:lineRule="auto"/>
                    <w:rPr>
                      <w:rStyle w:val="Hyperlink"/>
                      <w:color w:val="auto"/>
                    </w:rPr>
                  </w:pPr>
                  <w:hyperlink r:id="rId17" w:history="1">
                    <w:r>
                      <w:rPr>
                        <w:rStyle w:val="Hyperlink"/>
                        <w:rFonts w:ascii="Andes" w:hAnsi="Andes"/>
                        <w:color w:val="auto"/>
                        <w:sz w:val="23"/>
                        <w:szCs w:val="23"/>
                        <w:u w:val="none"/>
                      </w:rPr>
                      <w:t>Join Using</w:t>
                    </w:r>
                    <w:r>
                      <w:rPr>
                        <w:rStyle w:val="Hyperlink"/>
                        <w:rFonts w:ascii="Andes" w:hAnsi="Andes"/>
                        <w:color w:val="auto"/>
                        <w:sz w:val="23"/>
                        <w:szCs w:val="23"/>
                      </w:rPr>
                      <w:t xml:space="preserve"> </w:t>
                    </w:r>
                    <w:r>
                      <w:rPr>
                        <w:rStyle w:val="Hyperlink"/>
                        <w:rFonts w:ascii="Andes" w:hAnsi="Andes"/>
                        <w:b/>
                        <w:bCs/>
                        <w:color w:val="auto"/>
                        <w:sz w:val="23"/>
                        <w:szCs w:val="23"/>
                      </w:rPr>
                      <w:t>WebEx</w:t>
                    </w:r>
                  </w:hyperlink>
                </w:p>
              </w:tc>
              <w:tc>
                <w:tcPr>
                  <w:tcW w:w="4675" w:type="dxa"/>
                  <w:tcMar>
                    <w:top w:w="0" w:type="dxa"/>
                    <w:left w:w="108" w:type="dxa"/>
                    <w:bottom w:w="0" w:type="dxa"/>
                    <w:right w:w="108" w:type="dxa"/>
                  </w:tcMar>
                  <w:hideMark/>
                </w:tcPr>
                <w:p w:rsidR="005F2356" w:rsidRDefault="005F2356" w:rsidP="005F2356">
                  <w:pPr>
                    <w:spacing w:line="252" w:lineRule="auto"/>
                    <w:rPr>
                      <w:rStyle w:val="Hyperlink"/>
                      <w:rFonts w:ascii="Andes" w:hAnsi="Andes"/>
                      <w:b/>
                      <w:bCs/>
                      <w:color w:val="FFFFFF"/>
                      <w:u w:val="none"/>
                    </w:rPr>
                  </w:pPr>
                  <w:r>
                    <w:rPr>
                      <w:rStyle w:val="Hyperlink"/>
                      <w:rFonts w:ascii="Andes" w:hAnsi="Andes"/>
                      <w:b/>
                      <w:bCs/>
                      <w:color w:val="auto"/>
                      <w:u w:val="none"/>
                    </w:rPr>
                    <w:t>Dial-in number</w:t>
                  </w:r>
                </w:p>
              </w:tc>
            </w:tr>
            <w:tr w:rsidR="005F2356">
              <w:trPr>
                <w:jc w:val="center"/>
              </w:trPr>
              <w:tc>
                <w:tcPr>
                  <w:tcW w:w="4675" w:type="dxa"/>
                  <w:tcMar>
                    <w:top w:w="0" w:type="dxa"/>
                    <w:left w:w="108" w:type="dxa"/>
                    <w:bottom w:w="0" w:type="dxa"/>
                    <w:right w:w="108" w:type="dxa"/>
                  </w:tcMar>
                  <w:hideMark/>
                </w:tcPr>
                <w:p w:rsidR="005F2356" w:rsidRDefault="005F2356" w:rsidP="005F2356">
                  <w:pPr>
                    <w:spacing w:line="252" w:lineRule="auto"/>
                    <w:rPr>
                      <w:rStyle w:val="Hyperlink"/>
                      <w:rFonts w:ascii="Andes" w:hAnsi="Andes"/>
                      <w:color w:val="auto"/>
                      <w:u w:val="none"/>
                    </w:rPr>
                  </w:pPr>
                  <w:r>
                    <w:rPr>
                      <w:rStyle w:val="Hyperlink"/>
                      <w:rFonts w:ascii="Andes" w:hAnsi="Andes"/>
                      <w:color w:val="auto"/>
                      <w:u w:val="none"/>
                    </w:rPr>
                    <w:t>Meeting password: CMJCrFX2</w:t>
                  </w:r>
                </w:p>
                <w:p w:rsidR="005F2356" w:rsidRDefault="005F2356" w:rsidP="005F2356">
                  <w:pPr>
                    <w:spacing w:line="252" w:lineRule="auto"/>
                    <w:rPr>
                      <w:rStyle w:val="Hyperlink"/>
                      <w:rFonts w:ascii="Andes" w:hAnsi="Andes"/>
                      <w:color w:val="auto"/>
                      <w:u w:val="none"/>
                    </w:rPr>
                  </w:pPr>
                  <w:r>
                    <w:rPr>
                      <w:rStyle w:val="Hyperlink"/>
                      <w:rFonts w:ascii="Andes" w:hAnsi="Andes"/>
                      <w:color w:val="auto"/>
                      <w:u w:val="none"/>
                    </w:rPr>
                    <w:t>Meeting number: 735 485 372</w:t>
                  </w:r>
                </w:p>
              </w:tc>
              <w:tc>
                <w:tcPr>
                  <w:tcW w:w="4675" w:type="dxa"/>
                  <w:tcMar>
                    <w:top w:w="0" w:type="dxa"/>
                    <w:left w:w="108" w:type="dxa"/>
                    <w:bottom w:w="0" w:type="dxa"/>
                    <w:right w:w="108" w:type="dxa"/>
                  </w:tcMar>
                  <w:hideMark/>
                </w:tcPr>
                <w:p w:rsidR="005F2356" w:rsidRDefault="005F2356" w:rsidP="005F2356">
                  <w:pPr>
                    <w:spacing w:line="252" w:lineRule="auto"/>
                    <w:rPr>
                      <w:rStyle w:val="Hyperlink"/>
                      <w:rFonts w:ascii="Andes" w:hAnsi="Andes"/>
                      <w:color w:val="auto"/>
                      <w:u w:val="none"/>
                    </w:rPr>
                  </w:pPr>
                  <w:r>
                    <w:rPr>
                      <w:rStyle w:val="Hyperlink"/>
                      <w:rFonts w:ascii="Andes" w:hAnsi="Andes"/>
                      <w:color w:val="auto"/>
                      <w:u w:val="none"/>
                    </w:rPr>
                    <w:t>Toll: 1-650-479-3207</w:t>
                  </w:r>
                </w:p>
                <w:p w:rsidR="005F2356" w:rsidRDefault="005F2356" w:rsidP="005F2356">
                  <w:pPr>
                    <w:spacing w:line="252" w:lineRule="auto"/>
                    <w:rPr>
                      <w:rStyle w:val="Hyperlink"/>
                      <w:rFonts w:ascii="Andes" w:hAnsi="Andes"/>
                      <w:color w:val="auto"/>
                      <w:u w:val="none"/>
                    </w:rPr>
                  </w:pPr>
                  <w:r>
                    <w:rPr>
                      <w:rStyle w:val="Hyperlink"/>
                      <w:rFonts w:ascii="Andes" w:hAnsi="Andes"/>
                      <w:color w:val="auto"/>
                      <w:u w:val="none"/>
                    </w:rPr>
                    <w:t>Access code:</w:t>
                  </w:r>
                  <w:r>
                    <w:rPr>
                      <w:rStyle w:val="Hyperlink"/>
                      <w:color w:val="auto"/>
                      <w:u w:val="none"/>
                    </w:rPr>
                    <w:t> </w:t>
                  </w:r>
                  <w:r>
                    <w:rPr>
                      <w:rStyle w:val="Hyperlink"/>
                      <w:rFonts w:ascii="Andes" w:hAnsi="Andes"/>
                      <w:color w:val="auto"/>
                      <w:u w:val="none"/>
                    </w:rPr>
                    <w:t xml:space="preserve"> 735 485 372</w:t>
                  </w:r>
                </w:p>
              </w:tc>
            </w:tr>
          </w:tbl>
          <w:p w:rsidR="005F2356" w:rsidRDefault="005F2356" w:rsidP="005F2356">
            <w:pPr>
              <w:autoSpaceDE w:val="0"/>
              <w:autoSpaceDN w:val="0"/>
              <w:spacing w:before="40" w:after="40" w:line="252" w:lineRule="auto"/>
              <w:rPr>
                <w:rFonts w:ascii="Andes" w:hAnsi="Andes"/>
                <w:b/>
                <w:bCs/>
                <w:color w:val="44546A"/>
              </w:rPr>
            </w:pPr>
          </w:p>
          <w:p w:rsidR="005F2356" w:rsidRDefault="005F2356" w:rsidP="005F2356">
            <w:pPr>
              <w:pStyle w:val="PlainText"/>
              <w:rPr>
                <w:rFonts w:ascii="Andes" w:hAnsi="Andes"/>
              </w:rPr>
            </w:pPr>
            <w:r>
              <w:rPr>
                <w:rFonts w:ascii="Andes" w:hAnsi="Andes"/>
                <w:color w:val="00B0F0"/>
              </w:rPr>
              <w:lastRenderedPageBreak/>
              <w:t xml:space="preserve">Overview: </w:t>
            </w:r>
            <w:r>
              <w:rPr>
                <w:rFonts w:ascii="Andes" w:hAnsi="Andes"/>
              </w:rPr>
              <w:t>The World Bank’s International Finance Corporation and the European asset manager Amundi SA, are raising $2 billion for what is expected to be the world’s largest green-bond fund dedicated to emerging markets. The fund aims to marry the goals of investors seeking more high-yield opportunities and development banks seeking to expand the green economy in emerging markets.</w:t>
            </w:r>
          </w:p>
          <w:p w:rsidR="005F2356" w:rsidRDefault="005F2356" w:rsidP="005F2356">
            <w:pPr>
              <w:pStyle w:val="PlainText"/>
              <w:ind w:left="180"/>
              <w:rPr>
                <w:rFonts w:ascii="Andes" w:hAnsi="Andes"/>
              </w:rPr>
            </w:pPr>
          </w:p>
          <w:p w:rsidR="005F2356" w:rsidRDefault="005F2356" w:rsidP="005F2356">
            <w:pPr>
              <w:pStyle w:val="PlainText"/>
              <w:rPr>
                <w:rFonts w:ascii="Andes" w:hAnsi="Andes"/>
              </w:rPr>
            </w:pPr>
            <w:r>
              <w:rPr>
                <w:rFonts w:ascii="Andes" w:hAnsi="Andes"/>
              </w:rPr>
              <w:t>The IFC will invest as much as $325 million in the so-called Green Cornerstone Bond Fund, which will buy green bonds issued by banks in Africa, Asia, the Middle East, Latin America, Eastern Europe, and Central Asia. Amundi will raise the rest of the $2 billion from global institutional investors.</w:t>
            </w:r>
          </w:p>
          <w:p w:rsidR="005F2356" w:rsidRDefault="005F2356" w:rsidP="005F2356">
            <w:pPr>
              <w:rPr>
                <w:rFonts w:ascii="Andes" w:hAnsi="Andes"/>
                <w:b/>
                <w:bCs/>
                <w:color w:val="00B0F0"/>
              </w:rPr>
            </w:pPr>
          </w:p>
          <w:p w:rsidR="005F2356" w:rsidRDefault="005F2356" w:rsidP="005F2356">
            <w:pPr>
              <w:rPr>
                <w:rFonts w:ascii="Andes" w:hAnsi="Andes"/>
                <w:b/>
                <w:bCs/>
                <w:color w:val="00B0F0"/>
              </w:rPr>
            </w:pPr>
            <w:r>
              <w:rPr>
                <w:rFonts w:ascii="Andes" w:hAnsi="Andes"/>
                <w:b/>
                <w:bCs/>
                <w:color w:val="00B0F0"/>
              </w:rPr>
              <w:t xml:space="preserve">Chair: </w:t>
            </w:r>
            <w:r>
              <w:rPr>
                <w:rFonts w:ascii="Andes" w:hAnsi="Andes"/>
                <w:b/>
                <w:bCs/>
              </w:rPr>
              <w:t xml:space="preserve">Benoît Bosquet, </w:t>
            </w:r>
            <w:r>
              <w:rPr>
                <w:rFonts w:ascii="Andes" w:hAnsi="Andes"/>
              </w:rPr>
              <w:t>Director, Environment &amp; Natural Resources Global Practice</w:t>
            </w:r>
          </w:p>
          <w:p w:rsidR="005F2356" w:rsidRDefault="005F2356" w:rsidP="005F2356">
            <w:pPr>
              <w:rPr>
                <w:rFonts w:ascii="Andes" w:hAnsi="Andes"/>
                <w:b/>
                <w:bCs/>
                <w:color w:val="00B0F0"/>
              </w:rPr>
            </w:pPr>
          </w:p>
          <w:p w:rsidR="005F2356" w:rsidRDefault="005F2356" w:rsidP="005F2356">
            <w:pPr>
              <w:rPr>
                <w:rFonts w:ascii="Andes" w:hAnsi="Andes"/>
                <w:b/>
                <w:bCs/>
                <w:color w:val="00B0F0"/>
              </w:rPr>
            </w:pPr>
            <w:r>
              <w:rPr>
                <w:rFonts w:ascii="Andes" w:hAnsi="Andes"/>
                <w:b/>
                <w:bCs/>
                <w:color w:val="00B0F0"/>
              </w:rPr>
              <w:t>Discussants:</w:t>
            </w:r>
          </w:p>
          <w:p w:rsidR="005F2356" w:rsidRDefault="005F2356" w:rsidP="005F2356">
            <w:pPr>
              <w:rPr>
                <w:rFonts w:ascii="Andes" w:hAnsi="Andes"/>
                <w:b/>
                <w:bCs/>
              </w:rPr>
            </w:pPr>
          </w:p>
          <w:p w:rsidR="005F2356" w:rsidRDefault="005F2356" w:rsidP="005F2356">
            <w:pPr>
              <w:numPr>
                <w:ilvl w:val="0"/>
                <w:numId w:val="1"/>
              </w:numPr>
              <w:spacing w:after="240"/>
              <w:contextualSpacing/>
              <w:rPr>
                <w:rFonts w:ascii="Andes" w:eastAsia="Times New Roman" w:hAnsi="Andes"/>
                <w:b/>
                <w:bCs/>
              </w:rPr>
            </w:pPr>
            <w:r>
              <w:rPr>
                <w:rFonts w:ascii="Andes" w:eastAsia="Times New Roman" w:hAnsi="Andes"/>
                <w:b/>
                <w:bCs/>
              </w:rPr>
              <w:t xml:space="preserve">Dan Biller, </w:t>
            </w:r>
            <w:r>
              <w:rPr>
                <w:rFonts w:ascii="Andes" w:eastAsia="Times New Roman" w:hAnsi="Andes"/>
              </w:rPr>
              <w:t>Sector Manager MIGA</w:t>
            </w:r>
          </w:p>
          <w:p w:rsidR="005F2356" w:rsidRDefault="005F2356" w:rsidP="005F2356">
            <w:pPr>
              <w:numPr>
                <w:ilvl w:val="0"/>
                <w:numId w:val="1"/>
              </w:numPr>
              <w:spacing w:after="240"/>
              <w:contextualSpacing/>
              <w:rPr>
                <w:rFonts w:ascii="Andes" w:eastAsia="Times New Roman" w:hAnsi="Andes"/>
                <w:b/>
                <w:bCs/>
              </w:rPr>
            </w:pPr>
            <w:r>
              <w:rPr>
                <w:rFonts w:ascii="Andes" w:eastAsia="Times New Roman" w:hAnsi="Andes"/>
                <w:b/>
                <w:bCs/>
              </w:rPr>
              <w:t xml:space="preserve">Olha Krushelnytska, </w:t>
            </w:r>
            <w:r>
              <w:rPr>
                <w:rFonts w:ascii="Andes" w:eastAsia="Times New Roman" w:hAnsi="Andes"/>
              </w:rPr>
              <w:t>Operations Officer, GEF</w:t>
            </w:r>
          </w:p>
          <w:p w:rsidR="005F2356" w:rsidRDefault="005F2356" w:rsidP="005F2356">
            <w:pPr>
              <w:numPr>
                <w:ilvl w:val="0"/>
                <w:numId w:val="1"/>
              </w:numPr>
              <w:spacing w:after="240"/>
              <w:contextualSpacing/>
              <w:rPr>
                <w:rFonts w:ascii="Andes" w:eastAsia="Times New Roman" w:hAnsi="Andes"/>
                <w:b/>
                <w:bCs/>
              </w:rPr>
            </w:pPr>
            <w:r>
              <w:rPr>
                <w:rFonts w:ascii="Andes" w:eastAsia="Times New Roman" w:hAnsi="Andes"/>
                <w:b/>
                <w:bCs/>
              </w:rPr>
              <w:t xml:space="preserve">Raffaello Cervigni, </w:t>
            </w:r>
            <w:r>
              <w:rPr>
                <w:rFonts w:ascii="Andes" w:eastAsia="Times New Roman" w:hAnsi="Andes"/>
              </w:rPr>
              <w:t>Lead Environmental Economist, GENGE</w:t>
            </w:r>
          </w:p>
          <w:p w:rsidR="005F2356" w:rsidRDefault="005F2356" w:rsidP="005F2356">
            <w:pPr>
              <w:spacing w:after="240"/>
              <w:contextualSpacing/>
              <w:rPr>
                <w:b/>
                <w:bCs/>
              </w:rPr>
            </w:pPr>
          </w:p>
          <w:p w:rsidR="005F2356" w:rsidRDefault="005F2356" w:rsidP="005F2356">
            <w:pPr>
              <w:spacing w:after="240"/>
              <w:rPr>
                <w:rFonts w:ascii="Andes" w:hAnsi="Andes"/>
                <w:b/>
                <w:bCs/>
                <w:color w:val="00B0F0"/>
              </w:rPr>
            </w:pPr>
            <w:r>
              <w:rPr>
                <w:rFonts w:ascii="Andes" w:hAnsi="Andes"/>
                <w:b/>
                <w:bCs/>
                <w:color w:val="00B0F0"/>
              </w:rPr>
              <w:t xml:space="preserve">Presenter: </w:t>
            </w:r>
            <w:r>
              <w:rPr>
                <w:rFonts w:ascii="Andes" w:hAnsi="Andes"/>
                <w:b/>
                <w:bCs/>
              </w:rPr>
              <w:t xml:space="preserve">Jean-Marie Masse, </w:t>
            </w:r>
            <w:r>
              <w:rPr>
                <w:rFonts w:ascii="Andes" w:hAnsi="Andes"/>
              </w:rPr>
              <w:t>Chief Investment Officer</w:t>
            </w:r>
            <w:r>
              <w:rPr>
                <w:rFonts w:ascii="Andes" w:hAnsi="Andes"/>
                <w:b/>
                <w:bCs/>
              </w:rPr>
              <w:t>, IFC</w:t>
            </w:r>
          </w:p>
          <w:p w:rsidR="005F2356" w:rsidRDefault="005F2356" w:rsidP="005F2356">
            <w:pPr>
              <w:pStyle w:val="ListParagraph"/>
              <w:rPr>
                <w:rFonts w:ascii="Andes" w:hAnsi="Andes"/>
                <w:b/>
                <w:bCs/>
              </w:rPr>
            </w:pPr>
          </w:p>
          <w:p w:rsidR="005F2356" w:rsidRDefault="005F2356" w:rsidP="005F2356">
            <w:pPr>
              <w:rPr>
                <w:rFonts w:ascii="Andes" w:hAnsi="Andes"/>
                <w:b/>
                <w:bCs/>
                <w:color w:val="00B0F0"/>
              </w:rPr>
            </w:pPr>
            <w:r>
              <w:rPr>
                <w:rFonts w:ascii="Andes" w:hAnsi="Andes"/>
                <w:b/>
                <w:bCs/>
                <w:color w:val="00B0F0"/>
              </w:rPr>
              <w:t>Bio:</w:t>
            </w:r>
          </w:p>
          <w:tbl>
            <w:tblPr>
              <w:tblW w:w="5000" w:type="pct"/>
              <w:tblCellMar>
                <w:left w:w="0" w:type="dxa"/>
                <w:right w:w="0" w:type="dxa"/>
              </w:tblCellMar>
              <w:tblLook w:val="04A0" w:firstRow="1" w:lastRow="0" w:firstColumn="1" w:lastColumn="0" w:noHBand="0" w:noVBand="1"/>
            </w:tblPr>
            <w:tblGrid>
              <w:gridCol w:w="2916"/>
              <w:gridCol w:w="5762"/>
            </w:tblGrid>
            <w:tr w:rsidR="005F2356">
              <w:tc>
                <w:tcPr>
                  <w:tcW w:w="675" w:type="pct"/>
                  <w:tcMar>
                    <w:top w:w="0" w:type="dxa"/>
                    <w:left w:w="108" w:type="dxa"/>
                    <w:bottom w:w="0" w:type="dxa"/>
                    <w:right w:w="108" w:type="dxa"/>
                  </w:tcMar>
                  <w:vAlign w:val="center"/>
                  <w:hideMark/>
                </w:tcPr>
                <w:p w:rsidR="005F2356" w:rsidRDefault="005F2356" w:rsidP="005F2356">
                  <w:pPr>
                    <w:rPr>
                      <w:rFonts w:ascii="Andes" w:hAnsi="Andes"/>
                      <w:b/>
                      <w:bCs/>
                      <w:color w:val="00B0F0"/>
                    </w:rPr>
                  </w:pPr>
                  <w:r>
                    <w:rPr>
                      <w:noProof/>
                    </w:rPr>
                    <w:drawing>
                      <wp:inline distT="0" distB="0" distL="0" distR="0">
                        <wp:extent cx="1708150" cy="1708150"/>
                        <wp:effectExtent l="0" t="0" r="6350" b="6350"/>
                        <wp:docPr id="1" name="Picture 1" descr="cid:image017.jpg@01D4599B.D3A5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jpg@01D4599B.D3A50F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c>
              <w:tc>
                <w:tcPr>
                  <w:tcW w:w="4325" w:type="pct"/>
                  <w:tcMar>
                    <w:top w:w="0" w:type="dxa"/>
                    <w:left w:w="108" w:type="dxa"/>
                    <w:bottom w:w="0" w:type="dxa"/>
                    <w:right w:w="108" w:type="dxa"/>
                  </w:tcMar>
                </w:tcPr>
                <w:p w:rsidR="005F2356" w:rsidRDefault="005F2356" w:rsidP="005F2356">
                  <w:pPr>
                    <w:rPr>
                      <w:rFonts w:ascii="Andes" w:hAnsi="Andes"/>
                    </w:rPr>
                  </w:pPr>
                  <w:r>
                    <w:rPr>
                      <w:rFonts w:ascii="Andes" w:hAnsi="Andes"/>
                    </w:rPr>
                    <w:t>Mr. Masse joined IFC in 1994 and held a series of leadership positions, with a focus on direct investments and risk mitigation in emerging markets financial sector and developing partnerships across the world. He is overseeing an equity portfolio, creating shareholder value and exiting investments.</w:t>
                  </w:r>
                  <w:r>
                    <w:t> </w:t>
                  </w:r>
                  <w:r>
                    <w:rPr>
                      <w:rFonts w:ascii="Andes" w:hAnsi="Andes"/>
                    </w:rPr>
                    <w:t xml:space="preserve"> As part of IFC's strategic priorities to help mitigate the impact of climate change in emerging markets, he conceptualized and leads at IFC the IFC-Amundi Planet-Emerging Green One fund - closed in Feb 2018 and viewed as the World’s largest green bond fund, this US$ 2 billion strategy. He led teams responsible for the origination, analysis, negotiation, monitoring and execution of over 150 direct investments, aggregating US$ 8bn. One transaction is IFC's highest ever realized capital gain in the financial sector. He holds an MBA from INSEAD, an Ingénieur Agronome diploma from a leading engineering school in France.</w:t>
                  </w:r>
                </w:p>
                <w:p w:rsidR="005F2356" w:rsidRDefault="005F2356" w:rsidP="005F2356">
                  <w:pPr>
                    <w:rPr>
                      <w:rFonts w:ascii="Andes" w:hAnsi="Andes"/>
                      <w:b/>
                      <w:bCs/>
                      <w:color w:val="00B0F0"/>
                    </w:rPr>
                  </w:pPr>
                </w:p>
              </w:tc>
            </w:tr>
          </w:tbl>
          <w:p w:rsidR="005F2356" w:rsidRDefault="005F2356" w:rsidP="005F2356">
            <w:pPr>
              <w:spacing w:after="240" w:line="252" w:lineRule="auto"/>
              <w:rPr>
                <w:rFonts w:ascii="Andes" w:hAnsi="Andes"/>
                <w:color w:val="44546A"/>
              </w:rPr>
            </w:pPr>
          </w:p>
        </w:tc>
        <w:tc>
          <w:tcPr>
            <w:tcW w:w="0" w:type="auto"/>
            <w:vAlign w:val="center"/>
            <w:hideMark/>
          </w:tcPr>
          <w:p w:rsidR="005F2356" w:rsidRDefault="005F2356">
            <w:r>
              <w:lastRenderedPageBreak/>
              <w:t> </w:t>
            </w:r>
          </w:p>
        </w:tc>
      </w:tr>
    </w:tbl>
    <w:p w:rsidR="00F97D61" w:rsidRDefault="006605B1" w:rsidP="005F2356"/>
    <w:sectPr w:rsidR="00F9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default"/>
  </w:font>
  <w:font w:name="Arial">
    <w:panose1 w:val="020B0604020202020204"/>
    <w:charset w:val="00"/>
    <w:family w:val="swiss"/>
    <w:pitch w:val="variable"/>
    <w:sig w:usb0="E0002EFF" w:usb1="C0007843"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BF1"/>
    <w:multiLevelType w:val="hybridMultilevel"/>
    <w:tmpl w:val="D4F2D57E"/>
    <w:lvl w:ilvl="0" w:tplc="ABD235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56"/>
    <w:rsid w:val="002F367B"/>
    <w:rsid w:val="003678C5"/>
    <w:rsid w:val="005F2356"/>
    <w:rsid w:val="006605B1"/>
    <w:rsid w:val="007835C7"/>
    <w:rsid w:val="007942FB"/>
    <w:rsid w:val="00F9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6A70C5"/>
  <w15:chartTrackingRefBased/>
  <w15:docId w15:val="{B570DC26-95B8-463A-A8E5-122E468A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3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356"/>
    <w:rPr>
      <w:color w:val="0563C1"/>
      <w:u w:val="single"/>
    </w:rPr>
  </w:style>
  <w:style w:type="paragraph" w:styleId="PlainText">
    <w:name w:val="Plain Text"/>
    <w:basedOn w:val="Normal"/>
    <w:link w:val="PlainTextChar"/>
    <w:uiPriority w:val="99"/>
    <w:semiHidden/>
    <w:unhideWhenUsed/>
    <w:rsid w:val="005F2356"/>
    <w:rPr>
      <w:lang w:eastAsia="zh-CN"/>
    </w:rPr>
  </w:style>
  <w:style w:type="character" w:customStyle="1" w:styleId="PlainTextChar">
    <w:name w:val="Plain Text Char"/>
    <w:basedOn w:val="DefaultParagraphFont"/>
    <w:link w:val="PlainText"/>
    <w:uiPriority w:val="99"/>
    <w:semiHidden/>
    <w:rsid w:val="005F2356"/>
    <w:rPr>
      <w:rFonts w:ascii="Calibri" w:hAnsi="Calibri" w:cs="Calibri"/>
      <w:lang w:eastAsia="zh-CN"/>
    </w:rPr>
  </w:style>
  <w:style w:type="paragraph" w:styleId="ListParagraph">
    <w:name w:val="List Paragraph"/>
    <w:basedOn w:val="Normal"/>
    <w:uiPriority w:val="34"/>
    <w:qFormat/>
    <w:rsid w:val="005F2356"/>
    <w:pPr>
      <w:ind w:left="720"/>
      <w:contextualSpacing/>
    </w:pPr>
    <w:rPr>
      <w:lang w:eastAsia="zh-CN"/>
    </w:rPr>
  </w:style>
  <w:style w:type="paragraph" w:customStyle="1" w:styleId="BasicParagraph">
    <w:name w:val="[Basic Paragraph]"/>
    <w:basedOn w:val="Normal"/>
    <w:uiPriority w:val="99"/>
    <w:rsid w:val="005F2356"/>
    <w:pPr>
      <w:autoSpaceDE w:val="0"/>
      <w:autoSpaceDN w:val="0"/>
      <w:spacing w:line="288" w:lineRule="auto"/>
    </w:pPr>
    <w:rPr>
      <w:rFonts w:ascii="MinionPro-Regular" w:hAnsi="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3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jpg@01D4599B.D3A50FC0" TargetMode="External"/><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s://worldbankgroup.webex.com/worldbankgroup/j.php?MTID=mfc9d7ca45ea7eb91c55d129f51316478"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7.jpg@01D4599B.D3A50FC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emaillinks.worldbank.org/ATCandRSVP.html?target=outlook&amp;subject=BBL%3A%20Green%20bonds%20-%20Fiduciary%20Duty%20in%20the%20context%20of%20Climate%20Change&amp;location=MC%205-100&amp;start=10/09/2018%2012:30:00%20PM&amp;end=10/09/2018%2002:00:00%20PM&amp;sendto=Mayra%20Gabriela%20Guerra%20Lopez" TargetMode="External"/><Relationship Id="rId10" Type="http://schemas.openxmlformats.org/officeDocument/2006/relationships/image" Target="cid:image013.jpg@01D4599B.D3A50FC0" TargetMode="External"/><Relationship Id="rId19" Type="http://schemas.openxmlformats.org/officeDocument/2006/relationships/image" Target="cid:image017.jpg@01D4599B.D3A50FC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4.jpg@01D4599B.D3A50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Summers</dc:creator>
  <cp:keywords/>
  <dc:description/>
  <cp:lastModifiedBy>Bruce Summers</cp:lastModifiedBy>
  <cp:revision>1</cp:revision>
  <dcterms:created xsi:type="dcterms:W3CDTF">2018-10-09T13:09:00Z</dcterms:created>
  <dcterms:modified xsi:type="dcterms:W3CDTF">2018-10-09T13:32:00Z</dcterms:modified>
</cp:coreProperties>
</file>