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E674" w14:textId="6587AB5A" w:rsidR="00E84863" w:rsidRPr="007E5B72" w:rsidRDefault="00E84863" w:rsidP="00E84863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7E5B72">
        <w:rPr>
          <w:rFonts w:asciiTheme="majorHAnsi" w:hAnsiTheme="majorHAnsi" w:cstheme="majorHAnsi"/>
          <w:b/>
          <w:bCs/>
        </w:rPr>
        <w:t xml:space="preserve">2022 </w:t>
      </w:r>
      <w:r w:rsidR="00452FA6" w:rsidRPr="00452FA6">
        <w:rPr>
          <w:rFonts w:asciiTheme="majorHAnsi" w:hAnsiTheme="majorHAnsi" w:cstheme="majorHAnsi"/>
          <w:b/>
          <w:bCs/>
        </w:rPr>
        <w:t xml:space="preserve">Virtual Health Systems Flagship Course </w:t>
      </w:r>
      <w:r w:rsidR="001653DA">
        <w:rPr>
          <w:rFonts w:asciiTheme="majorHAnsi" w:hAnsiTheme="majorHAnsi" w:cstheme="majorHAnsi"/>
          <w:b/>
          <w:bCs/>
        </w:rPr>
        <w:t>–</w:t>
      </w:r>
      <w:r w:rsidRPr="007E5B72">
        <w:rPr>
          <w:rFonts w:asciiTheme="majorHAnsi" w:hAnsiTheme="majorHAnsi" w:cstheme="majorHAnsi"/>
          <w:b/>
          <w:bCs/>
        </w:rPr>
        <w:t xml:space="preserve"> </w:t>
      </w:r>
      <w:r w:rsidR="001653DA">
        <w:rPr>
          <w:rFonts w:asciiTheme="majorHAnsi" w:hAnsiTheme="majorHAnsi" w:cstheme="majorHAnsi"/>
          <w:b/>
          <w:bCs/>
        </w:rPr>
        <w:t xml:space="preserve">June 20 – 30, </w:t>
      </w:r>
      <w:r w:rsidR="00452FA6">
        <w:rPr>
          <w:rFonts w:asciiTheme="majorHAnsi" w:hAnsiTheme="majorHAnsi" w:cstheme="majorHAnsi"/>
          <w:b/>
          <w:bCs/>
          <w:sz w:val="22"/>
          <w:szCs w:val="22"/>
        </w:rPr>
        <w:t>2022</w:t>
      </w:r>
      <w:r w:rsidRPr="007E5B7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tbl>
      <w:tblPr>
        <w:tblStyle w:val="Tablaconcuadrcula1"/>
        <w:tblpPr w:leftFromText="180" w:rightFromText="180" w:vertAnchor="page" w:horzAnchor="margin" w:tblpXSpec="center" w:tblpY="1741"/>
        <w:tblW w:w="5000" w:type="pct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767"/>
        <w:gridCol w:w="1701"/>
        <w:gridCol w:w="1787"/>
        <w:gridCol w:w="1701"/>
        <w:gridCol w:w="1876"/>
        <w:gridCol w:w="1701"/>
        <w:gridCol w:w="1776"/>
        <w:gridCol w:w="1615"/>
      </w:tblGrid>
      <w:tr w:rsidR="00F8738C" w:rsidRPr="0026038D" w14:paraId="22515402" w14:textId="404BBC55" w:rsidTr="00E12C39">
        <w:trPr>
          <w:trHeight w:val="527"/>
        </w:trPr>
        <w:tc>
          <w:tcPr>
            <w:tcW w:w="162" w:type="pct"/>
            <w:shd w:val="clear" w:color="auto" w:fill="C7E2FA" w:themeFill="accent1" w:themeFillTint="33"/>
          </w:tcPr>
          <w:p w14:paraId="6C89B6B7" w14:textId="77777777" w:rsidR="00F8738C" w:rsidRPr="0026038D" w:rsidRDefault="00F8738C" w:rsidP="001653DA">
            <w:pPr>
              <w:widowControl w:val="0"/>
              <w:suppressAutoHyphens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C7E2FA" w:themeFill="accent1" w:themeFillTint="33"/>
          </w:tcPr>
          <w:p w14:paraId="68BAB7C0" w14:textId="77777777" w:rsidR="00F8738C" w:rsidRPr="001653DA" w:rsidRDefault="00F8738C" w:rsidP="001653DA">
            <w:pPr>
              <w:widowControl w:val="0"/>
              <w:suppressAutoHyphens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53DA">
              <w:rPr>
                <w:rFonts w:asciiTheme="majorHAnsi" w:hAnsiTheme="majorHAnsi" w:cstheme="majorHAnsi"/>
                <w:sz w:val="22"/>
                <w:szCs w:val="22"/>
              </w:rPr>
              <w:t>Day 1</w:t>
            </w:r>
          </w:p>
          <w:p w14:paraId="7A33849C" w14:textId="35D4CBBE" w:rsidR="00F8738C" w:rsidRPr="0026038D" w:rsidRDefault="00F8738C" w:rsidP="001653DA">
            <w:pPr>
              <w:widowControl w:val="0"/>
              <w:suppressAutoHyphens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03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(June 20)</w:t>
            </w:r>
          </w:p>
        </w:tc>
        <w:tc>
          <w:tcPr>
            <w:tcW w:w="591" w:type="pct"/>
            <w:shd w:val="clear" w:color="auto" w:fill="C7E2FA" w:themeFill="accent1" w:themeFillTint="33"/>
          </w:tcPr>
          <w:p w14:paraId="43AE9569" w14:textId="77777777" w:rsidR="00F8738C" w:rsidRPr="001653DA" w:rsidRDefault="00F8738C" w:rsidP="001653DA">
            <w:pPr>
              <w:widowControl w:val="0"/>
              <w:suppressAutoHyphens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53DA">
              <w:rPr>
                <w:rFonts w:asciiTheme="majorHAnsi" w:hAnsiTheme="majorHAnsi" w:cstheme="majorHAnsi"/>
                <w:sz w:val="22"/>
                <w:szCs w:val="22"/>
              </w:rPr>
              <w:t>Day 2</w:t>
            </w:r>
          </w:p>
          <w:p w14:paraId="257357E0" w14:textId="47F8FB7D" w:rsidR="00F8738C" w:rsidRPr="0026038D" w:rsidRDefault="00F8738C" w:rsidP="001653DA">
            <w:pPr>
              <w:widowControl w:val="0"/>
              <w:suppressAutoHyphens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03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(June 21)</w:t>
            </w:r>
          </w:p>
        </w:tc>
        <w:tc>
          <w:tcPr>
            <w:tcW w:w="621" w:type="pct"/>
            <w:shd w:val="clear" w:color="auto" w:fill="C7E2FA" w:themeFill="accent1" w:themeFillTint="33"/>
          </w:tcPr>
          <w:p w14:paraId="78095F99" w14:textId="77777777" w:rsidR="00F8738C" w:rsidRPr="0026038D" w:rsidRDefault="00F8738C" w:rsidP="001653DA">
            <w:pPr>
              <w:widowControl w:val="0"/>
              <w:suppressAutoHyphens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03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Day 3</w:t>
            </w:r>
          </w:p>
          <w:p w14:paraId="54FEE1F3" w14:textId="388161F5" w:rsidR="00F8738C" w:rsidRPr="0026038D" w:rsidRDefault="00F8738C" w:rsidP="001653DA">
            <w:pPr>
              <w:widowControl w:val="0"/>
              <w:suppressAutoHyphens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03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(June 22)</w:t>
            </w:r>
          </w:p>
        </w:tc>
        <w:tc>
          <w:tcPr>
            <w:tcW w:w="591" w:type="pct"/>
            <w:shd w:val="clear" w:color="auto" w:fill="C7E2FA" w:themeFill="accent1" w:themeFillTint="33"/>
          </w:tcPr>
          <w:p w14:paraId="1808B16C" w14:textId="77777777" w:rsidR="00F8738C" w:rsidRPr="0026038D" w:rsidRDefault="00F8738C" w:rsidP="001653DA">
            <w:pPr>
              <w:widowControl w:val="0"/>
              <w:suppressAutoHyphens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03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Day 4</w:t>
            </w:r>
          </w:p>
          <w:p w14:paraId="512EFC3F" w14:textId="43ED9874" w:rsidR="00F8738C" w:rsidRPr="0026038D" w:rsidRDefault="00F8738C" w:rsidP="001653DA">
            <w:pPr>
              <w:widowControl w:val="0"/>
              <w:suppressAutoHyphens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03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(June 23)</w:t>
            </w:r>
          </w:p>
        </w:tc>
        <w:tc>
          <w:tcPr>
            <w:tcW w:w="652" w:type="pct"/>
            <w:shd w:val="clear" w:color="auto" w:fill="C7E2FA" w:themeFill="accent1" w:themeFillTint="33"/>
          </w:tcPr>
          <w:p w14:paraId="3CD5F11D" w14:textId="77777777" w:rsidR="00F8738C" w:rsidRPr="0026038D" w:rsidRDefault="00F8738C" w:rsidP="001653DA">
            <w:pPr>
              <w:widowControl w:val="0"/>
              <w:suppressAutoHyphens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03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Day 5</w:t>
            </w:r>
          </w:p>
          <w:p w14:paraId="0274F6E3" w14:textId="7CA124DD" w:rsidR="00F8738C" w:rsidRPr="0026038D" w:rsidRDefault="00F8738C" w:rsidP="001653DA">
            <w:pPr>
              <w:widowControl w:val="0"/>
              <w:suppressAutoHyphens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03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(June 27)</w:t>
            </w:r>
          </w:p>
        </w:tc>
        <w:tc>
          <w:tcPr>
            <w:tcW w:w="591" w:type="pct"/>
            <w:shd w:val="clear" w:color="auto" w:fill="C7E2FA" w:themeFill="accent1" w:themeFillTint="33"/>
          </w:tcPr>
          <w:p w14:paraId="029BA096" w14:textId="77777777" w:rsidR="00F8738C" w:rsidRPr="0026038D" w:rsidRDefault="00F8738C" w:rsidP="001653DA">
            <w:pPr>
              <w:widowControl w:val="0"/>
              <w:suppressAutoHyphens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03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Day 6</w:t>
            </w:r>
          </w:p>
          <w:p w14:paraId="128FD5FB" w14:textId="04C6BCF4" w:rsidR="00F8738C" w:rsidRPr="0026038D" w:rsidRDefault="00F8738C" w:rsidP="001653DA">
            <w:pPr>
              <w:widowControl w:val="0"/>
              <w:suppressAutoHyphens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03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(June 28)</w:t>
            </w:r>
          </w:p>
        </w:tc>
        <w:tc>
          <w:tcPr>
            <w:tcW w:w="617" w:type="pct"/>
            <w:shd w:val="clear" w:color="auto" w:fill="C7E2FA" w:themeFill="accent1" w:themeFillTint="33"/>
          </w:tcPr>
          <w:p w14:paraId="08ECF08C" w14:textId="652E04F8" w:rsidR="00F8738C" w:rsidRPr="0026038D" w:rsidRDefault="00F8738C" w:rsidP="001653DA">
            <w:pPr>
              <w:widowControl w:val="0"/>
              <w:suppressAutoHyphens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03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Day 7</w:t>
            </w:r>
          </w:p>
          <w:p w14:paraId="5AF27FD7" w14:textId="4FE2B1FC" w:rsidR="00F8738C" w:rsidRPr="0026038D" w:rsidRDefault="00F8738C" w:rsidP="001653DA">
            <w:pPr>
              <w:widowControl w:val="0"/>
              <w:suppressAutoHyphens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03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(June 29)</w:t>
            </w:r>
          </w:p>
        </w:tc>
        <w:tc>
          <w:tcPr>
            <w:tcW w:w="561" w:type="pct"/>
            <w:shd w:val="clear" w:color="auto" w:fill="C7E2FA" w:themeFill="accent1" w:themeFillTint="33"/>
          </w:tcPr>
          <w:p w14:paraId="1AD28D36" w14:textId="72D2BC76" w:rsidR="00F8738C" w:rsidRPr="0026038D" w:rsidRDefault="00F8738C" w:rsidP="001653DA">
            <w:pPr>
              <w:widowControl w:val="0"/>
              <w:suppressAutoHyphens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03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Day 8</w:t>
            </w:r>
          </w:p>
          <w:p w14:paraId="3484E32B" w14:textId="4E4843AA" w:rsidR="00F8738C" w:rsidRPr="0026038D" w:rsidRDefault="00F8738C" w:rsidP="001653DA">
            <w:pPr>
              <w:widowControl w:val="0"/>
              <w:suppressAutoHyphens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03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(June 30)</w:t>
            </w:r>
          </w:p>
        </w:tc>
      </w:tr>
      <w:tr w:rsidR="0048547F" w:rsidRPr="0026038D" w14:paraId="319C2CE5" w14:textId="3F574A69" w:rsidTr="00E12C39">
        <w:trPr>
          <w:cantSplit/>
          <w:trHeight w:val="1608"/>
        </w:trPr>
        <w:tc>
          <w:tcPr>
            <w:tcW w:w="162" w:type="pct"/>
            <w:vMerge w:val="restart"/>
            <w:shd w:val="clear" w:color="auto" w:fill="C7E2FA" w:themeFill="accent1" w:themeFillTint="33"/>
            <w:textDirection w:val="btLr"/>
          </w:tcPr>
          <w:p w14:paraId="25109B35" w14:textId="219F5949" w:rsidR="0048547F" w:rsidRPr="0048547F" w:rsidRDefault="0048547F" w:rsidP="00CB1F61">
            <w:pPr>
              <w:widowControl w:val="0"/>
              <w:tabs>
                <w:tab w:val="left" w:pos="227"/>
              </w:tabs>
              <w:suppressAutoHyphens/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pacing w:val="100"/>
                <w:sz w:val="16"/>
                <w:szCs w:val="16"/>
              </w:rPr>
            </w:pPr>
            <w:r w:rsidRPr="0048547F">
              <w:rPr>
                <w:rFonts w:asciiTheme="majorHAnsi" w:hAnsiTheme="majorHAnsi" w:cstheme="majorHAnsi"/>
                <w:b/>
                <w:bCs/>
                <w:spacing w:val="100"/>
                <w:sz w:val="16"/>
                <w:szCs w:val="16"/>
              </w:rPr>
              <w:t>07:00-08:25amEST</w:t>
            </w:r>
          </w:p>
        </w:tc>
        <w:tc>
          <w:tcPr>
            <w:tcW w:w="614" w:type="pct"/>
            <w:vMerge w:val="restart"/>
          </w:tcPr>
          <w:p w14:paraId="2C67E29B" w14:textId="075384CF" w:rsidR="0048547F" w:rsidRPr="0026038D" w:rsidRDefault="0048547F" w:rsidP="00CB1F61">
            <w:pPr>
              <w:pStyle w:val="TableParagraph"/>
              <w:suppressAutoHyphens/>
              <w:spacing w:before="15"/>
              <w:ind w:left="0" w:right="109"/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</w:pPr>
            <w:r w:rsidRPr="0026038D"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 xml:space="preserve">Introductory remarks </w:t>
            </w:r>
          </w:p>
          <w:p w14:paraId="286D2FB9" w14:textId="45D61295" w:rsidR="0048547F" w:rsidRDefault="0048547F" w:rsidP="00CB1F61">
            <w:pPr>
              <w:pStyle w:val="TableParagraph"/>
              <w:suppressAutoHyphens/>
              <w:spacing w:before="1"/>
              <w:ind w:left="0" w:right="129"/>
              <w:rPr>
                <w:rFonts w:asciiTheme="majorHAnsi" w:hAnsiTheme="majorHAnsi" w:cstheme="majorHAnsi"/>
                <w:sz w:val="18"/>
              </w:rPr>
            </w:pPr>
            <w:r w:rsidRPr="0026038D">
              <w:rPr>
                <w:rFonts w:asciiTheme="majorHAnsi" w:hAnsiTheme="majorHAnsi" w:cstheme="majorHAnsi"/>
                <w:sz w:val="18"/>
              </w:rPr>
              <w:t>Directions towards</w:t>
            </w:r>
            <w:r w:rsidRPr="0026038D">
              <w:rPr>
                <w:rFonts w:asciiTheme="majorHAnsi" w:hAnsiTheme="majorHAnsi" w:cstheme="majorHAnsi"/>
                <w:spacing w:val="-38"/>
                <w:sz w:val="18"/>
              </w:rPr>
              <w:t xml:space="preserve"> </w:t>
            </w:r>
            <w:r w:rsidRPr="0026038D">
              <w:rPr>
                <w:rFonts w:asciiTheme="majorHAnsi" w:hAnsiTheme="majorHAnsi" w:cstheme="majorHAnsi"/>
                <w:sz w:val="18"/>
              </w:rPr>
              <w:t>building resilient health</w:t>
            </w:r>
            <w:r w:rsidRPr="0026038D">
              <w:rPr>
                <w:rFonts w:asciiTheme="majorHAnsi" w:hAnsiTheme="majorHAnsi" w:cstheme="majorHAnsi"/>
                <w:spacing w:val="1"/>
                <w:sz w:val="18"/>
              </w:rPr>
              <w:t xml:space="preserve"> </w:t>
            </w:r>
            <w:r w:rsidRPr="0026038D">
              <w:rPr>
                <w:rFonts w:asciiTheme="majorHAnsi" w:hAnsiTheme="majorHAnsi" w:cstheme="majorHAnsi"/>
                <w:sz w:val="18"/>
              </w:rPr>
              <w:t>systems and human</w:t>
            </w:r>
            <w:r w:rsidRPr="0026038D">
              <w:rPr>
                <w:rFonts w:asciiTheme="majorHAnsi" w:hAnsiTheme="majorHAnsi" w:cstheme="majorHAnsi"/>
                <w:spacing w:val="1"/>
                <w:sz w:val="18"/>
              </w:rPr>
              <w:t xml:space="preserve"> </w:t>
            </w:r>
            <w:r w:rsidRPr="0026038D">
              <w:rPr>
                <w:rFonts w:asciiTheme="majorHAnsi" w:hAnsiTheme="majorHAnsi" w:cstheme="majorHAnsi"/>
                <w:sz w:val="18"/>
              </w:rPr>
              <w:t>capital.</w:t>
            </w:r>
          </w:p>
          <w:p w14:paraId="4093A862" w14:textId="3EF772F3" w:rsidR="008B22E5" w:rsidRPr="008B22E5" w:rsidRDefault="008B22E5" w:rsidP="00CB1F61">
            <w:pPr>
              <w:pStyle w:val="TableParagraph"/>
              <w:suppressAutoHyphens/>
              <w:spacing w:before="1"/>
              <w:ind w:left="0" w:right="129"/>
              <w:rPr>
                <w:rFonts w:asciiTheme="majorHAnsi" w:hAnsiTheme="majorHAnsi" w:cstheme="majorHAnsi"/>
                <w:color w:val="FF0000"/>
                <w:sz w:val="18"/>
              </w:rPr>
            </w:pPr>
            <w:r w:rsidRPr="008B22E5">
              <w:rPr>
                <w:rFonts w:asciiTheme="majorHAnsi" w:hAnsiTheme="majorHAnsi" w:cstheme="majorHAnsi"/>
                <w:color w:val="FF0000"/>
                <w:sz w:val="18"/>
              </w:rPr>
              <w:t>Uribe</w:t>
            </w:r>
          </w:p>
          <w:p w14:paraId="6AD66DE6" w14:textId="0E1D5BF0" w:rsidR="0048547F" w:rsidRPr="0026038D" w:rsidRDefault="0048547F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eastAsia="Calibri" w:cstheme="majorHAnsi"/>
                <w:b/>
                <w:bCs/>
                <w:color w:val="0B5294" w:themeColor="accent1" w:themeShade="BF"/>
              </w:rPr>
            </w:pPr>
            <w:r w:rsidRPr="0026038D">
              <w:rPr>
                <w:rFonts w:eastAsia="Calibri" w:cstheme="majorHAnsi"/>
                <w:b/>
                <w:bCs/>
                <w:color w:val="0B5294" w:themeColor="accent1" w:themeShade="BF"/>
              </w:rPr>
              <w:t>1. Health systems concept and human capital</w:t>
            </w:r>
            <w:r w:rsidRPr="0026038D">
              <w:rPr>
                <w:rFonts w:eastAsia="Calibri" w:cstheme="majorHAnsi"/>
                <w:b/>
                <w:bCs/>
                <w:color w:val="0B5294" w:themeColor="accent1" w:themeShade="BF"/>
              </w:rPr>
              <w:br/>
            </w:r>
            <w:r w:rsidRPr="0026038D">
              <w:rPr>
                <w:rFonts w:eastAsia="Calibri" w:cstheme="majorHAnsi"/>
                <w:bCs/>
                <w:color w:val="auto"/>
                <w:szCs w:val="22"/>
              </w:rPr>
              <w:t>Course overview and concepts</w:t>
            </w:r>
            <w:r w:rsidRPr="0026038D">
              <w:rPr>
                <w:rFonts w:eastAsia="Calibri" w:cstheme="majorHAnsi"/>
                <w:b/>
                <w:bCs/>
                <w:color w:val="0B5294" w:themeColor="accent1" w:themeShade="BF"/>
              </w:rPr>
              <w:t xml:space="preserve"> </w:t>
            </w:r>
          </w:p>
          <w:p w14:paraId="52289EDD" w14:textId="7D063AFE" w:rsidR="0048547F" w:rsidRPr="008B22E5" w:rsidRDefault="0048547F" w:rsidP="008B22E5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ind w:left="144" w:hanging="144"/>
              <w:contextualSpacing/>
              <w:rPr>
                <w:rFonts w:cstheme="majorHAnsi"/>
                <w:color w:val="FF0000"/>
              </w:rPr>
            </w:pPr>
            <w:r w:rsidRPr="0026038D">
              <w:rPr>
                <w:rFonts w:cstheme="majorHAnsi"/>
                <w:color w:val="FF0000"/>
              </w:rPr>
              <w:t xml:space="preserve">Bitran </w:t>
            </w:r>
          </w:p>
        </w:tc>
        <w:tc>
          <w:tcPr>
            <w:tcW w:w="591" w:type="pct"/>
            <w:vMerge w:val="restart"/>
          </w:tcPr>
          <w:p w14:paraId="0535C9AD" w14:textId="38F983F3" w:rsidR="0048547F" w:rsidRPr="0026038D" w:rsidRDefault="0048547F" w:rsidP="00CB1F61">
            <w:pPr>
              <w:pStyle w:val="TableParagraph"/>
              <w:suppressAutoHyphens/>
              <w:spacing w:before="15"/>
              <w:ind w:left="-29" w:right="97"/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</w:pPr>
            <w:r w:rsidRPr="0026038D"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>4. Public Health functions Determinants of health</w:t>
            </w:r>
          </w:p>
          <w:p w14:paraId="20ED879E" w14:textId="5747C59C" w:rsidR="0048547F" w:rsidRPr="0026038D" w:rsidRDefault="0048547F" w:rsidP="00CB1F61">
            <w:pPr>
              <w:pStyle w:val="TableParagraph"/>
              <w:suppressAutoHyphens/>
              <w:spacing w:before="15"/>
              <w:ind w:left="-29" w:right="97"/>
              <w:rPr>
                <w:rFonts w:asciiTheme="majorHAnsi" w:hAnsiTheme="majorHAnsi" w:cstheme="majorHAnsi"/>
                <w:bCs/>
                <w:sz w:val="18"/>
              </w:rPr>
            </w:pPr>
            <w:r w:rsidRPr="0026038D">
              <w:rPr>
                <w:rFonts w:asciiTheme="majorHAnsi" w:hAnsiTheme="majorHAnsi" w:cstheme="majorHAnsi"/>
                <w:bCs/>
                <w:sz w:val="18"/>
              </w:rPr>
              <w:t xml:space="preserve">Panel discussion </w:t>
            </w:r>
          </w:p>
          <w:p w14:paraId="5378777D" w14:textId="15BFF740" w:rsidR="0048547F" w:rsidRPr="0026038D" w:rsidRDefault="0048547F" w:rsidP="00CB1F61">
            <w:pPr>
              <w:pStyle w:val="TableParagraph"/>
              <w:suppressAutoHyphens/>
              <w:spacing w:before="15"/>
              <w:ind w:left="-29" w:right="101"/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</w:pPr>
            <w:r w:rsidRPr="0026038D">
              <w:rPr>
                <w:rFonts w:asciiTheme="majorHAnsi" w:hAnsiTheme="majorHAnsi" w:cstheme="majorHAnsi"/>
                <w:bCs/>
                <w:sz w:val="18"/>
              </w:rPr>
              <w:t xml:space="preserve">Future of Public Health, global challenges to address NCDs and </w:t>
            </w:r>
            <w:r>
              <w:rPr>
                <w:rFonts w:asciiTheme="majorHAnsi" w:hAnsiTheme="majorHAnsi" w:cstheme="majorHAnsi"/>
                <w:bCs/>
                <w:sz w:val="18"/>
              </w:rPr>
              <w:t>p</w:t>
            </w:r>
            <w:r w:rsidRPr="0026038D">
              <w:rPr>
                <w:rFonts w:asciiTheme="majorHAnsi" w:hAnsiTheme="majorHAnsi" w:cstheme="majorHAnsi"/>
                <w:bCs/>
                <w:sz w:val="18"/>
              </w:rPr>
              <w:t>andemic prevention and response</w:t>
            </w:r>
            <w:r w:rsidRPr="0026038D">
              <w:rPr>
                <w:rFonts w:asciiTheme="majorHAnsi" w:hAnsiTheme="majorHAnsi" w:cstheme="majorHAnsi"/>
                <w:b/>
                <w:bCs/>
              </w:rPr>
              <w:t xml:space="preserve">  </w:t>
            </w:r>
          </w:p>
          <w:p w14:paraId="27015BFF" w14:textId="77777777" w:rsidR="0048547F" w:rsidRDefault="0048547F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cstheme="majorHAnsi"/>
                <w:color w:val="FF0000"/>
              </w:rPr>
            </w:pPr>
            <w:r w:rsidRPr="0026038D">
              <w:rPr>
                <w:rFonts w:cstheme="majorHAnsi"/>
                <w:color w:val="FF0000"/>
              </w:rPr>
              <w:t xml:space="preserve">Al Tuwaijri </w:t>
            </w:r>
          </w:p>
          <w:p w14:paraId="14BBC6F4" w14:textId="314108F5" w:rsidR="00E12C39" w:rsidRPr="0026038D" w:rsidRDefault="00E12C39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cstheme="majorHAnsi"/>
              </w:rPr>
            </w:pPr>
          </w:p>
        </w:tc>
        <w:tc>
          <w:tcPr>
            <w:tcW w:w="621" w:type="pct"/>
            <w:vMerge w:val="restart"/>
          </w:tcPr>
          <w:p w14:paraId="443DAB84" w14:textId="198FE1D2" w:rsidR="0048547F" w:rsidRPr="0026038D" w:rsidRDefault="008B22E5" w:rsidP="00CB1F61">
            <w:pPr>
              <w:pStyle w:val="TableParagraph"/>
              <w:suppressAutoHyphens/>
              <w:spacing w:before="13"/>
              <w:ind w:left="0" w:right="140"/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>6</w:t>
            </w:r>
            <w:r w:rsidR="0048547F" w:rsidRPr="0026038D"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 xml:space="preserve">. Assessing performance of </w:t>
            </w:r>
            <w:r w:rsidR="0054045E"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>Health System</w:t>
            </w:r>
          </w:p>
          <w:p w14:paraId="703FFD08" w14:textId="77777777" w:rsidR="0048547F" w:rsidRPr="0026038D" w:rsidRDefault="0048547F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cstheme="majorHAnsi"/>
                <w:bCs/>
              </w:rPr>
            </w:pPr>
            <w:r w:rsidRPr="0026038D">
              <w:rPr>
                <w:rFonts w:cstheme="majorHAnsi"/>
                <w:bCs/>
              </w:rPr>
              <w:t>Monitoring performance and benchmarking fit for purpose.</w:t>
            </w:r>
          </w:p>
          <w:p w14:paraId="7243A41C" w14:textId="77777777" w:rsidR="0048547F" w:rsidRPr="0026038D" w:rsidRDefault="0048547F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cstheme="majorHAnsi"/>
                <w:color w:val="FF0000"/>
              </w:rPr>
            </w:pPr>
            <w:r w:rsidRPr="0026038D">
              <w:rPr>
                <w:rFonts w:cstheme="majorHAnsi"/>
                <w:color w:val="FF0000"/>
              </w:rPr>
              <w:t xml:space="preserve">Sabic </w:t>
            </w:r>
          </w:p>
          <w:p w14:paraId="16383F25" w14:textId="3E2047DE" w:rsidR="0048547F" w:rsidRDefault="0048547F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cstheme="majorHAnsi"/>
                <w:color w:val="FF0000"/>
              </w:rPr>
            </w:pPr>
            <w:r w:rsidRPr="0026038D">
              <w:rPr>
                <w:rFonts w:cstheme="majorHAnsi"/>
                <w:color w:val="FF0000"/>
              </w:rPr>
              <w:t xml:space="preserve">Secci </w:t>
            </w:r>
          </w:p>
          <w:p w14:paraId="7771EFEE" w14:textId="2A553F99" w:rsidR="008B22E5" w:rsidRDefault="008B22E5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cstheme="majorHAnsi"/>
                <w:color w:val="FF0000"/>
              </w:rPr>
            </w:pPr>
            <w:r>
              <w:rPr>
                <w:rFonts w:cstheme="majorHAnsi"/>
                <w:color w:val="FF0000"/>
              </w:rPr>
              <w:t>Veillard</w:t>
            </w:r>
          </w:p>
          <w:p w14:paraId="23759CA3" w14:textId="55DC18E8" w:rsidR="008B22E5" w:rsidRPr="0026038D" w:rsidRDefault="008B22E5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cstheme="majorHAnsi"/>
                <w:color w:val="FF0000"/>
              </w:rPr>
            </w:pPr>
            <w:r>
              <w:rPr>
                <w:rFonts w:cstheme="majorHAnsi"/>
                <w:color w:val="FF0000"/>
              </w:rPr>
              <w:t>Uribe</w:t>
            </w:r>
          </w:p>
          <w:p w14:paraId="615EC8B5" w14:textId="7683ECCC" w:rsidR="0048547F" w:rsidRPr="0026038D" w:rsidRDefault="0048547F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cstheme="majorHAnsi"/>
              </w:rPr>
            </w:pPr>
          </w:p>
        </w:tc>
        <w:tc>
          <w:tcPr>
            <w:tcW w:w="591" w:type="pct"/>
            <w:vMerge w:val="restart"/>
          </w:tcPr>
          <w:p w14:paraId="7972C36A" w14:textId="4FC6A32D" w:rsidR="0048547F" w:rsidRPr="001653DA" w:rsidRDefault="008B22E5" w:rsidP="001653DA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eastAsia="Calibri" w:cstheme="majorHAnsi"/>
                <w:b/>
                <w:bCs/>
                <w:color w:val="0B5294" w:themeColor="accent1" w:themeShade="BF"/>
              </w:rPr>
            </w:pPr>
            <w:r>
              <w:rPr>
                <w:rFonts w:eastAsia="Calibri" w:cstheme="majorHAnsi"/>
                <w:b/>
                <w:bCs/>
                <w:color w:val="0B5294" w:themeColor="accent1" w:themeShade="BF"/>
              </w:rPr>
              <w:t>8</w:t>
            </w:r>
            <w:r w:rsidR="0048547F" w:rsidRPr="001653DA">
              <w:rPr>
                <w:rFonts w:eastAsia="Calibri" w:cstheme="majorHAnsi"/>
                <w:b/>
                <w:bCs/>
                <w:color w:val="0B5294" w:themeColor="accent1" w:themeShade="BF"/>
              </w:rPr>
              <w:t>. Pooling</w:t>
            </w:r>
          </w:p>
          <w:p w14:paraId="7B52A819" w14:textId="15BDF1F4" w:rsidR="0048547F" w:rsidRPr="0026038D" w:rsidRDefault="00A839EE" w:rsidP="001653DA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 xml:space="preserve">Reducing financial barriers and designing system in a way that enhances redistribution </w:t>
            </w:r>
            <w:r w:rsidR="0048547F">
              <w:rPr>
                <w:rFonts w:cstheme="majorHAnsi"/>
                <w:bCs/>
              </w:rPr>
              <w:t xml:space="preserve"> </w:t>
            </w:r>
          </w:p>
          <w:p w14:paraId="5D934641" w14:textId="77777777" w:rsidR="0048547F" w:rsidRPr="00783609" w:rsidRDefault="0048547F" w:rsidP="001920F6">
            <w:pPr>
              <w:pStyle w:val="TableParagraph"/>
              <w:suppressAutoHyphens/>
              <w:spacing w:before="15"/>
              <w:ind w:left="-29" w:right="219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</w:pPr>
            <w:r w:rsidRPr="0078360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  <w:t>Kurowsky</w:t>
            </w:r>
          </w:p>
          <w:p w14:paraId="3C4BEAF3" w14:textId="508FA76F" w:rsidR="0048547F" w:rsidRPr="00783609" w:rsidRDefault="0048547F" w:rsidP="007E1249">
            <w:pPr>
              <w:pStyle w:val="TableParagraph"/>
              <w:suppressAutoHyphens/>
              <w:spacing w:before="15"/>
              <w:ind w:left="-29" w:right="219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</w:pPr>
            <w:r w:rsidRPr="0078360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  <w:t>Evans</w:t>
            </w:r>
          </w:p>
          <w:p w14:paraId="0DD22A23" w14:textId="14DCA19A" w:rsidR="0048547F" w:rsidRPr="001653DA" w:rsidRDefault="0048547F" w:rsidP="001653DA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cstheme="majorHAnsi"/>
                <w:bCs/>
              </w:rPr>
            </w:pPr>
          </w:p>
        </w:tc>
        <w:tc>
          <w:tcPr>
            <w:tcW w:w="652" w:type="pct"/>
            <w:vMerge w:val="restart"/>
          </w:tcPr>
          <w:p w14:paraId="734E02D3" w14:textId="27C4E551" w:rsidR="0048547F" w:rsidRPr="00E12C39" w:rsidRDefault="0048547F" w:rsidP="00E12C39">
            <w:pPr>
              <w:pStyle w:val="TableParagraph"/>
              <w:suppressAutoHyphens/>
              <w:spacing w:before="15"/>
              <w:ind w:left="-29" w:right="97"/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</w:pPr>
            <w:r w:rsidRPr="00E12C39"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>1</w:t>
            </w:r>
            <w:r w:rsidR="008B22E5"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>0</w:t>
            </w:r>
            <w:r w:rsidRPr="00E12C39"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 xml:space="preserve">. Reimagining </w:t>
            </w:r>
            <w:r w:rsidR="0054045E"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>H</w:t>
            </w:r>
            <w:r w:rsidRPr="00E12C39"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>ealth</w:t>
            </w:r>
            <w:r w:rsidR="00E12C39" w:rsidRPr="00E12C39"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 xml:space="preserve"> </w:t>
            </w:r>
            <w:r w:rsidRPr="00E12C39"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>Systems</w:t>
            </w:r>
          </w:p>
          <w:p w14:paraId="007418D4" w14:textId="63E3BA89" w:rsidR="00E12C39" w:rsidRDefault="00E12C39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 xml:space="preserve">Making it “fit for purpose” and </w:t>
            </w:r>
          </w:p>
          <w:p w14:paraId="1725292C" w14:textId="631BF150" w:rsidR="0048547F" w:rsidRPr="0026038D" w:rsidRDefault="00E12C39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cstheme="majorHAnsi"/>
                <w:bCs/>
              </w:rPr>
            </w:pPr>
            <w:r>
              <w:rPr>
                <w:rFonts w:cstheme="majorHAnsi"/>
                <w:bCs/>
              </w:rPr>
              <w:t>c</w:t>
            </w:r>
            <w:r w:rsidR="0048547F" w:rsidRPr="0026038D">
              <w:rPr>
                <w:rFonts w:cstheme="majorHAnsi"/>
                <w:bCs/>
              </w:rPr>
              <w:t>ritical shifts for PHC</w:t>
            </w:r>
          </w:p>
          <w:p w14:paraId="25901E10" w14:textId="77777777" w:rsidR="0048547F" w:rsidRPr="0026038D" w:rsidRDefault="0048547F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cstheme="majorHAnsi"/>
                <w:color w:val="FF0000"/>
              </w:rPr>
            </w:pPr>
            <w:r w:rsidRPr="0026038D">
              <w:rPr>
                <w:rFonts w:cstheme="majorHAnsi"/>
                <w:color w:val="FF0000"/>
              </w:rPr>
              <w:t>Chopra</w:t>
            </w:r>
          </w:p>
          <w:p w14:paraId="0925D396" w14:textId="77777777" w:rsidR="0048547F" w:rsidRDefault="0048547F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cstheme="majorHAnsi"/>
                <w:color w:val="auto"/>
              </w:rPr>
            </w:pPr>
            <w:r w:rsidRPr="0026038D">
              <w:rPr>
                <w:rFonts w:cstheme="majorHAnsi"/>
                <w:color w:val="FF0000"/>
              </w:rPr>
              <w:t>Wang</w:t>
            </w:r>
            <w:r w:rsidRPr="0026038D">
              <w:rPr>
                <w:rFonts w:cstheme="majorHAnsi"/>
                <w:color w:val="auto"/>
              </w:rPr>
              <w:t xml:space="preserve"> </w:t>
            </w:r>
          </w:p>
          <w:p w14:paraId="39AA288A" w14:textId="0B32C90F" w:rsidR="0048547F" w:rsidRPr="0026038D" w:rsidRDefault="0048547F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cstheme="majorHAnsi"/>
                <w:color w:val="auto"/>
              </w:rPr>
            </w:pPr>
            <w:r w:rsidRPr="0026038D">
              <w:rPr>
                <w:rFonts w:cstheme="majorHAnsi"/>
                <w:color w:val="FF0000"/>
              </w:rPr>
              <w:t>Jaganjac</w:t>
            </w:r>
          </w:p>
        </w:tc>
        <w:tc>
          <w:tcPr>
            <w:tcW w:w="591" w:type="pct"/>
            <w:vMerge w:val="restart"/>
          </w:tcPr>
          <w:p w14:paraId="52C0DFF6" w14:textId="2A9B5129" w:rsidR="0048547F" w:rsidRPr="0026038D" w:rsidRDefault="0048547F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cstheme="majorHAnsi"/>
                <w:bCs/>
              </w:rPr>
            </w:pPr>
            <w:r w:rsidRPr="0026038D">
              <w:rPr>
                <w:rFonts w:cstheme="majorHAnsi"/>
                <w:b/>
                <w:bCs/>
                <w:color w:val="0B5294" w:themeColor="accent1" w:themeShade="BF"/>
              </w:rPr>
              <w:t>1</w:t>
            </w:r>
            <w:r w:rsidR="008B22E5">
              <w:rPr>
                <w:rFonts w:cstheme="majorHAnsi"/>
                <w:b/>
                <w:bCs/>
                <w:color w:val="0B5294" w:themeColor="accent1" w:themeShade="BF"/>
              </w:rPr>
              <w:t>2</w:t>
            </w:r>
            <w:r w:rsidRPr="0026038D">
              <w:rPr>
                <w:rFonts w:cstheme="majorHAnsi"/>
                <w:b/>
                <w:bCs/>
                <w:color w:val="0B5294" w:themeColor="accent1" w:themeShade="BF"/>
              </w:rPr>
              <w:t xml:space="preserve">. </w:t>
            </w:r>
            <w:r w:rsidRPr="0026038D">
              <w:rPr>
                <w:rFonts w:eastAsia="Calibri" w:cstheme="majorHAnsi"/>
                <w:b/>
                <w:bCs/>
                <w:color w:val="0B5294" w:themeColor="accent1" w:themeShade="BF"/>
              </w:rPr>
              <w:t xml:space="preserve"> </w:t>
            </w:r>
            <w:r>
              <w:rPr>
                <w:rFonts w:eastAsia="Calibri" w:cstheme="majorHAnsi"/>
                <w:b/>
                <w:bCs/>
                <w:color w:val="0B5294" w:themeColor="accent1" w:themeShade="BF"/>
              </w:rPr>
              <w:t xml:space="preserve">Purchasing </w:t>
            </w:r>
            <w:r w:rsidRPr="0026038D">
              <w:rPr>
                <w:rFonts w:eastAsia="Calibri" w:cstheme="majorHAnsi"/>
                <w:b/>
                <w:bCs/>
                <w:color w:val="0B5294" w:themeColor="accent1" w:themeShade="BF"/>
              </w:rPr>
              <w:t xml:space="preserve"> </w:t>
            </w:r>
          </w:p>
          <w:p w14:paraId="0B989AF7" w14:textId="1F23D343" w:rsidR="0048547F" w:rsidRDefault="0048547F" w:rsidP="00CB1F61">
            <w:pPr>
              <w:pStyle w:val="TableParagraph"/>
              <w:suppressAutoHyphens/>
              <w:spacing w:before="15"/>
              <w:ind w:left="0" w:right="109"/>
              <w:rPr>
                <w:rFonts w:asciiTheme="majorHAnsi" w:hAnsiTheme="majorHAnsi" w:cstheme="majorHAnsi"/>
                <w:sz w:val="18"/>
              </w:rPr>
            </w:pPr>
            <w:r w:rsidRPr="005A496C">
              <w:rPr>
                <w:rFonts w:asciiTheme="majorHAnsi" w:hAnsiTheme="majorHAnsi" w:cstheme="majorHAnsi"/>
                <w:sz w:val="18"/>
              </w:rPr>
              <w:t xml:space="preserve">Setting priorities for resource allocation and structuring purchasing arrangements to achieve health outcomes </w:t>
            </w:r>
          </w:p>
          <w:p w14:paraId="4781333C" w14:textId="77777777" w:rsidR="0048547F" w:rsidRPr="00783609" w:rsidRDefault="0048547F" w:rsidP="001920F6">
            <w:pPr>
              <w:pStyle w:val="TableParagraph"/>
              <w:suppressAutoHyphens/>
              <w:spacing w:before="15"/>
              <w:ind w:left="-29" w:right="219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</w:pPr>
            <w:r w:rsidRPr="0078360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  <w:t>Kurowsky</w:t>
            </w:r>
          </w:p>
          <w:p w14:paraId="4525DB3A" w14:textId="42E0658E" w:rsidR="0048547F" w:rsidRPr="0048547F" w:rsidRDefault="0048547F" w:rsidP="007E1249">
            <w:pPr>
              <w:pStyle w:val="TableParagraph"/>
              <w:suppressAutoHyphens/>
              <w:spacing w:before="15"/>
              <w:ind w:left="-29" w:right="219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</w:pPr>
            <w:r w:rsidRPr="0078360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  <w:t>Evans</w:t>
            </w:r>
          </w:p>
        </w:tc>
        <w:tc>
          <w:tcPr>
            <w:tcW w:w="617" w:type="pct"/>
            <w:vMerge w:val="restart"/>
          </w:tcPr>
          <w:p w14:paraId="3C7DF45C" w14:textId="3D36A52F" w:rsidR="0048547F" w:rsidRPr="0026038D" w:rsidRDefault="0048547F" w:rsidP="00CB1F61">
            <w:pPr>
              <w:pStyle w:val="TableParagraph"/>
              <w:suppressAutoHyphens/>
              <w:spacing w:before="15"/>
              <w:ind w:left="0" w:right="109"/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</w:pPr>
            <w:r w:rsidRPr="0026038D"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>1</w:t>
            </w:r>
            <w:r w:rsidR="008B22E5"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>4</w:t>
            </w:r>
            <w:r w:rsidRPr="0026038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 xml:space="preserve">. </w:t>
            </w:r>
            <w:r w:rsidRPr="0026038D"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>Behavior change</w:t>
            </w:r>
            <w:r w:rsidR="00E12C39"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>/Persuasion</w:t>
            </w:r>
          </w:p>
          <w:p w14:paraId="50EB9E31" w14:textId="77777777" w:rsidR="0048547F" w:rsidRDefault="0048547F" w:rsidP="00CB1F61">
            <w:pPr>
              <w:pStyle w:val="TableParagraph"/>
              <w:suppressAutoHyphens/>
              <w:spacing w:before="15"/>
              <w:ind w:left="0" w:right="109"/>
              <w:rPr>
                <w:rFonts w:asciiTheme="majorHAnsi" w:hAnsiTheme="majorHAnsi" w:cstheme="majorHAnsi"/>
                <w:bCs/>
                <w:sz w:val="18"/>
              </w:rPr>
            </w:pPr>
            <w:r w:rsidRPr="0026038D">
              <w:rPr>
                <w:rFonts w:asciiTheme="majorHAnsi" w:hAnsiTheme="majorHAnsi" w:cstheme="majorHAnsi"/>
                <w:sz w:val="18"/>
              </w:rPr>
              <w:t>The role of</w:t>
            </w:r>
            <w:r w:rsidRPr="0026038D">
              <w:rPr>
                <w:rFonts w:asciiTheme="majorHAnsi" w:hAnsiTheme="majorHAnsi" w:cstheme="majorHAnsi"/>
                <w:spacing w:val="1"/>
                <w:sz w:val="18"/>
              </w:rPr>
              <w:t xml:space="preserve"> </w:t>
            </w:r>
            <w:r w:rsidRPr="0026038D">
              <w:rPr>
                <w:rFonts w:asciiTheme="majorHAnsi" w:hAnsiTheme="majorHAnsi" w:cstheme="majorHAnsi"/>
                <w:sz w:val="18"/>
              </w:rPr>
              <w:t>behavior changes for</w:t>
            </w:r>
            <w:r w:rsidRPr="0026038D">
              <w:rPr>
                <w:rFonts w:asciiTheme="majorHAnsi" w:hAnsiTheme="majorHAnsi" w:cstheme="majorHAnsi"/>
                <w:spacing w:val="1"/>
                <w:sz w:val="18"/>
              </w:rPr>
              <w:t xml:space="preserve"> </w:t>
            </w:r>
            <w:r w:rsidRPr="0026038D">
              <w:rPr>
                <w:rFonts w:asciiTheme="majorHAnsi" w:hAnsiTheme="majorHAnsi" w:cstheme="majorHAnsi"/>
                <w:sz w:val="18"/>
              </w:rPr>
              <w:t>NCDs</w:t>
            </w:r>
            <w:r w:rsidRPr="0026038D">
              <w:rPr>
                <w:rFonts w:asciiTheme="majorHAnsi" w:hAnsiTheme="majorHAnsi" w:cstheme="majorHAnsi"/>
                <w:spacing w:val="-3"/>
                <w:sz w:val="18"/>
              </w:rPr>
              <w:t xml:space="preserve"> </w:t>
            </w:r>
            <w:r w:rsidRPr="0026038D">
              <w:rPr>
                <w:rFonts w:asciiTheme="majorHAnsi" w:hAnsiTheme="majorHAnsi" w:cstheme="majorHAnsi"/>
                <w:sz w:val="18"/>
              </w:rPr>
              <w:t>and</w:t>
            </w:r>
            <w:r w:rsidRPr="0026038D">
              <w:rPr>
                <w:rFonts w:asciiTheme="majorHAnsi" w:hAnsiTheme="majorHAnsi" w:cstheme="majorHAnsi"/>
                <w:spacing w:val="-1"/>
                <w:sz w:val="18"/>
              </w:rPr>
              <w:t xml:space="preserve"> </w:t>
            </w:r>
            <w:r w:rsidRPr="0026038D">
              <w:rPr>
                <w:rFonts w:asciiTheme="majorHAnsi" w:hAnsiTheme="majorHAnsi" w:cstheme="majorHAnsi"/>
                <w:sz w:val="18"/>
              </w:rPr>
              <w:t>COVID</w:t>
            </w:r>
            <w:r w:rsidRPr="0026038D">
              <w:rPr>
                <w:rFonts w:asciiTheme="majorHAnsi" w:hAnsiTheme="majorHAnsi" w:cstheme="majorHAnsi"/>
                <w:b/>
                <w:sz w:val="18"/>
              </w:rPr>
              <w:t xml:space="preserve"> </w:t>
            </w:r>
            <w:r w:rsidRPr="0026038D">
              <w:rPr>
                <w:rFonts w:asciiTheme="majorHAnsi" w:hAnsiTheme="majorHAnsi" w:cstheme="majorHAnsi"/>
                <w:bCs/>
                <w:sz w:val="18"/>
              </w:rPr>
              <w:t>19</w:t>
            </w:r>
          </w:p>
          <w:p w14:paraId="242542B6" w14:textId="77777777" w:rsidR="0048547F" w:rsidRPr="0026038D" w:rsidRDefault="0048547F" w:rsidP="00CB1F61">
            <w:pPr>
              <w:pStyle w:val="TableParagraph"/>
              <w:suppressAutoHyphens/>
              <w:spacing w:before="15"/>
              <w:ind w:left="0" w:right="109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</w:pPr>
            <w:r w:rsidRPr="0026038D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  <w:t>Popovic</w:t>
            </w:r>
          </w:p>
          <w:p w14:paraId="32C780B7" w14:textId="77777777" w:rsidR="0048547F" w:rsidRDefault="0048547F" w:rsidP="00CB1F61">
            <w:pPr>
              <w:pStyle w:val="TableParagraph"/>
              <w:suppressAutoHyphens/>
              <w:spacing w:before="15"/>
              <w:ind w:left="0" w:right="109"/>
              <w:rPr>
                <w:rFonts w:asciiTheme="majorHAnsi" w:hAnsiTheme="majorHAnsi" w:cstheme="majorHAnsi"/>
                <w:bCs/>
                <w:sz w:val="18"/>
              </w:rPr>
            </w:pPr>
            <w:r w:rsidRPr="0026038D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  <w:t>Bitran</w:t>
            </w:r>
            <w:r>
              <w:rPr>
                <w:rFonts w:asciiTheme="majorHAnsi" w:hAnsiTheme="majorHAnsi" w:cstheme="majorHAnsi"/>
                <w:bCs/>
                <w:sz w:val="18"/>
              </w:rPr>
              <w:t xml:space="preserve"> </w:t>
            </w:r>
          </w:p>
          <w:p w14:paraId="541C39B1" w14:textId="2AA1CB7E" w:rsidR="0048547F" w:rsidRPr="0026038D" w:rsidRDefault="0048547F" w:rsidP="00CB1F61">
            <w:pPr>
              <w:pStyle w:val="TableParagraph"/>
              <w:suppressAutoHyphens/>
              <w:spacing w:before="15"/>
              <w:ind w:left="0" w:right="109"/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</w:pPr>
            <w:r w:rsidRPr="001034FD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  <w:t>Jaganjac</w:t>
            </w:r>
          </w:p>
        </w:tc>
        <w:tc>
          <w:tcPr>
            <w:tcW w:w="561" w:type="pct"/>
          </w:tcPr>
          <w:p w14:paraId="4E7D2F1A" w14:textId="0E6D8E3C" w:rsidR="0048547F" w:rsidRPr="0026038D" w:rsidRDefault="0048547F" w:rsidP="00CB1F61">
            <w:pPr>
              <w:pStyle w:val="TableParagraph"/>
              <w:suppressAutoHyphens/>
              <w:spacing w:before="15"/>
              <w:ind w:left="0" w:right="109"/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</w:pPr>
            <w:r w:rsidRPr="0026038D"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>1</w:t>
            </w:r>
            <w:r w:rsidR="008B22E5"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>6</w:t>
            </w:r>
            <w:r w:rsidRPr="0026038D"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 xml:space="preserve">. Keynote </w:t>
            </w:r>
          </w:p>
          <w:p w14:paraId="4CAAA62E" w14:textId="752091ED" w:rsidR="0048547F" w:rsidRPr="0026038D" w:rsidRDefault="0048547F" w:rsidP="00CB1F61">
            <w:pPr>
              <w:pStyle w:val="TableParagraph"/>
              <w:suppressAutoHyphens/>
              <w:spacing w:before="15"/>
              <w:ind w:left="0" w:right="109"/>
              <w:rPr>
                <w:rFonts w:asciiTheme="majorHAnsi" w:hAnsiTheme="majorHAnsi" w:cstheme="majorHAnsi"/>
                <w:sz w:val="18"/>
              </w:rPr>
            </w:pPr>
            <w:r w:rsidRPr="0026038D">
              <w:rPr>
                <w:rFonts w:asciiTheme="majorHAnsi" w:hAnsiTheme="majorHAnsi" w:cstheme="majorHAnsi"/>
                <w:sz w:val="18"/>
              </w:rPr>
              <w:t xml:space="preserve">Moving forward and implementation challenges </w:t>
            </w:r>
          </w:p>
          <w:p w14:paraId="12CE7B23" w14:textId="262BFD3F" w:rsidR="0048547F" w:rsidRPr="0026038D" w:rsidRDefault="008B22E5" w:rsidP="0048547F">
            <w:pPr>
              <w:pStyle w:val="TableParagraph"/>
              <w:suppressAutoHyphens/>
              <w:spacing w:before="15"/>
              <w:ind w:left="0" w:right="109"/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>Zhao</w:t>
            </w:r>
          </w:p>
        </w:tc>
      </w:tr>
      <w:tr w:rsidR="00CB1F61" w:rsidRPr="0026038D" w14:paraId="2BDB2734" w14:textId="7F9C9878" w:rsidTr="00E12C39">
        <w:trPr>
          <w:cantSplit/>
          <w:trHeight w:val="1261"/>
        </w:trPr>
        <w:tc>
          <w:tcPr>
            <w:tcW w:w="162" w:type="pct"/>
            <w:vMerge/>
            <w:tcBorders>
              <w:bottom w:val="single" w:sz="4" w:space="0" w:color="2F5496"/>
            </w:tcBorders>
            <w:shd w:val="clear" w:color="auto" w:fill="C7E2FA" w:themeFill="accent1" w:themeFillTint="33"/>
          </w:tcPr>
          <w:p w14:paraId="4F73193E" w14:textId="77777777" w:rsidR="00CB1F61" w:rsidRPr="0026038D" w:rsidRDefault="00CB1F61" w:rsidP="00CB1F61">
            <w:pPr>
              <w:widowControl w:val="0"/>
              <w:suppressAutoHyphens/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bottom w:val="single" w:sz="4" w:space="0" w:color="2F5496"/>
            </w:tcBorders>
          </w:tcPr>
          <w:p w14:paraId="0D9C4761" w14:textId="77777777" w:rsidR="00CB1F61" w:rsidRPr="0026038D" w:rsidRDefault="00CB1F61" w:rsidP="00CB1F61">
            <w:pPr>
              <w:widowControl w:val="0"/>
              <w:suppressAutoHyphens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bottom w:val="single" w:sz="4" w:space="0" w:color="2F5496"/>
            </w:tcBorders>
          </w:tcPr>
          <w:p w14:paraId="0190E0A1" w14:textId="5BE7DAFD" w:rsidR="00CB1F61" w:rsidRPr="0026038D" w:rsidRDefault="00CB1F61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eastAsia="Calibri" w:cstheme="majorHAnsi"/>
                <w:b/>
                <w:bCs/>
                <w:color w:val="0B5294" w:themeColor="accent1" w:themeShade="BF"/>
              </w:rPr>
            </w:pPr>
          </w:p>
        </w:tc>
        <w:tc>
          <w:tcPr>
            <w:tcW w:w="621" w:type="pct"/>
            <w:vMerge/>
            <w:tcBorders>
              <w:bottom w:val="single" w:sz="4" w:space="0" w:color="2F5496"/>
            </w:tcBorders>
          </w:tcPr>
          <w:p w14:paraId="1567F129" w14:textId="4E578F8D" w:rsidR="00CB1F61" w:rsidRPr="0026038D" w:rsidRDefault="00CB1F61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ind w:left="360" w:hanging="360"/>
              <w:contextualSpacing/>
              <w:rPr>
                <w:rFonts w:cstheme="majorHAnsi"/>
                <w:color w:val="auto"/>
              </w:rPr>
            </w:pPr>
          </w:p>
        </w:tc>
        <w:tc>
          <w:tcPr>
            <w:tcW w:w="591" w:type="pct"/>
            <w:vMerge/>
            <w:tcBorders>
              <w:bottom w:val="single" w:sz="4" w:space="0" w:color="2F5496"/>
            </w:tcBorders>
          </w:tcPr>
          <w:p w14:paraId="17FCDA25" w14:textId="448A1EA2" w:rsidR="00CB1F61" w:rsidRPr="0026038D" w:rsidRDefault="00CB1F61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cstheme="majorHAnsi"/>
              </w:rPr>
            </w:pPr>
          </w:p>
        </w:tc>
        <w:tc>
          <w:tcPr>
            <w:tcW w:w="652" w:type="pct"/>
            <w:vMerge/>
            <w:tcBorders>
              <w:bottom w:val="single" w:sz="4" w:space="0" w:color="2F5496"/>
            </w:tcBorders>
          </w:tcPr>
          <w:p w14:paraId="2D4C837C" w14:textId="19F7DC42" w:rsidR="00CB1F61" w:rsidRPr="0026038D" w:rsidRDefault="00CB1F61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ind w:left="360" w:hanging="360"/>
              <w:contextualSpacing/>
              <w:rPr>
                <w:rFonts w:eastAsia="Calibri" w:cstheme="majorHAnsi"/>
                <w:b/>
                <w:bCs/>
                <w:color w:val="00B050"/>
              </w:rPr>
            </w:pPr>
          </w:p>
        </w:tc>
        <w:tc>
          <w:tcPr>
            <w:tcW w:w="591" w:type="pct"/>
            <w:vMerge/>
            <w:tcBorders>
              <w:bottom w:val="single" w:sz="4" w:space="0" w:color="2F5496"/>
            </w:tcBorders>
          </w:tcPr>
          <w:p w14:paraId="3BD0C34E" w14:textId="77F510CE" w:rsidR="00CB1F61" w:rsidRPr="0026038D" w:rsidRDefault="00CB1F61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ind w:left="360" w:hanging="360"/>
              <w:contextualSpacing/>
              <w:rPr>
                <w:rFonts w:cstheme="majorHAnsi"/>
                <w:b/>
                <w:bCs/>
              </w:rPr>
            </w:pPr>
          </w:p>
        </w:tc>
        <w:tc>
          <w:tcPr>
            <w:tcW w:w="617" w:type="pct"/>
            <w:vMerge/>
            <w:tcBorders>
              <w:bottom w:val="single" w:sz="4" w:space="0" w:color="2F5496"/>
            </w:tcBorders>
          </w:tcPr>
          <w:p w14:paraId="1D9D93E3" w14:textId="77777777" w:rsidR="00CB1F61" w:rsidRPr="0026038D" w:rsidRDefault="00CB1F61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ind w:left="360" w:hanging="360"/>
              <w:contextualSpacing/>
              <w:rPr>
                <w:rFonts w:cstheme="majorHAnsi"/>
                <w:b/>
                <w:bCs/>
              </w:rPr>
            </w:pPr>
          </w:p>
        </w:tc>
        <w:tc>
          <w:tcPr>
            <w:tcW w:w="561" w:type="pct"/>
          </w:tcPr>
          <w:p w14:paraId="4691BB7E" w14:textId="06DC4001" w:rsidR="00CB1F61" w:rsidRPr="0026038D" w:rsidRDefault="00CB1F61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eastAsia="Calibri" w:cstheme="majorHAnsi"/>
                <w:b/>
                <w:bCs/>
                <w:color w:val="0B5294" w:themeColor="accent1" w:themeShade="BF"/>
              </w:rPr>
            </w:pPr>
            <w:r w:rsidRPr="0026038D">
              <w:rPr>
                <w:rFonts w:eastAsia="Calibri" w:cstheme="majorHAnsi"/>
                <w:b/>
                <w:bCs/>
                <w:color w:val="0B5294" w:themeColor="accent1" w:themeShade="BF"/>
              </w:rPr>
              <w:t>1</w:t>
            </w:r>
            <w:r w:rsidR="008B22E5">
              <w:rPr>
                <w:rFonts w:eastAsia="Calibri" w:cstheme="majorHAnsi"/>
                <w:b/>
                <w:bCs/>
                <w:color w:val="0B5294" w:themeColor="accent1" w:themeShade="BF"/>
              </w:rPr>
              <w:t>7a</w:t>
            </w:r>
            <w:r w:rsidRPr="0026038D">
              <w:rPr>
                <w:rFonts w:eastAsia="Calibri" w:cstheme="majorHAnsi"/>
                <w:b/>
                <w:bCs/>
                <w:color w:val="0B5294" w:themeColor="accent1" w:themeShade="BF"/>
              </w:rPr>
              <w:t>. Group Work: </w:t>
            </w:r>
          </w:p>
          <w:p w14:paraId="5FD2AEF5" w14:textId="308ED335" w:rsidR="00CB1F61" w:rsidRPr="0026038D" w:rsidRDefault="00CB1F61" w:rsidP="00CB1F61">
            <w:pPr>
              <w:widowControl w:val="0"/>
              <w:suppressAutoHyphens/>
              <w:spacing w:line="240" w:lineRule="auto"/>
              <w:rPr>
                <w:rFonts w:asciiTheme="majorHAnsi" w:eastAsia="Times New Roman" w:hAnsiTheme="majorHAnsi" w:cstheme="majorHAnsi"/>
                <w:sz w:val="18"/>
                <w:bdr w:val="none" w:sz="0" w:space="0" w:color="auto" w:frame="1"/>
                <w:lang w:val="en-IN"/>
              </w:rPr>
            </w:pPr>
            <w:r w:rsidRPr="0026038D">
              <w:rPr>
                <w:rFonts w:asciiTheme="majorHAnsi" w:eastAsia="Times New Roman" w:hAnsiTheme="majorHAnsi" w:cstheme="majorHAnsi"/>
                <w:sz w:val="18"/>
                <w:bdr w:val="none" w:sz="0" w:space="0" w:color="auto" w:frame="1"/>
                <w:lang w:val="en-IN"/>
              </w:rPr>
              <w:t xml:space="preserve">Presentations and Discussion  </w:t>
            </w:r>
          </w:p>
          <w:p w14:paraId="35922B2E" w14:textId="0F63A8B5" w:rsidR="00CB1F61" w:rsidRPr="0026038D" w:rsidRDefault="00CB1F61" w:rsidP="00CB1F61">
            <w:pPr>
              <w:pStyle w:val="TableParagraph"/>
              <w:suppressAutoHyphens/>
              <w:spacing w:before="15"/>
              <w:ind w:left="0" w:right="109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B1F61" w:rsidRPr="0026038D" w14:paraId="785E3A7E" w14:textId="605B9744" w:rsidTr="00E12C39">
        <w:trPr>
          <w:cantSplit/>
          <w:trHeight w:val="203"/>
        </w:trPr>
        <w:tc>
          <w:tcPr>
            <w:tcW w:w="162" w:type="pct"/>
            <w:shd w:val="clear" w:color="auto" w:fill="C7E2FA" w:themeFill="accent1" w:themeFillTint="33"/>
          </w:tcPr>
          <w:p w14:paraId="0C108293" w14:textId="77777777" w:rsidR="00CB1F61" w:rsidRPr="0026038D" w:rsidRDefault="00CB1F61" w:rsidP="00CB1F61">
            <w:pPr>
              <w:widowControl w:val="0"/>
              <w:tabs>
                <w:tab w:val="left" w:pos="227"/>
              </w:tabs>
              <w:suppressAutoHyphens/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pacing w:val="120"/>
                <w:sz w:val="8"/>
                <w:szCs w:val="8"/>
              </w:rPr>
            </w:pPr>
          </w:p>
        </w:tc>
        <w:tc>
          <w:tcPr>
            <w:tcW w:w="614" w:type="pct"/>
            <w:shd w:val="clear" w:color="auto" w:fill="C7E2FA" w:themeFill="accent1" w:themeFillTint="33"/>
          </w:tcPr>
          <w:p w14:paraId="706DF121" w14:textId="3CC4ACC8" w:rsidR="00CB1F61" w:rsidRPr="0026038D" w:rsidRDefault="00CB1F61" w:rsidP="00CB1F61">
            <w:pPr>
              <w:widowControl w:val="0"/>
              <w:tabs>
                <w:tab w:val="left" w:pos="227"/>
              </w:tabs>
              <w:suppressAutoHyphens/>
              <w:spacing w:line="240" w:lineRule="auto"/>
              <w:ind w:left="227" w:hanging="227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6038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591" w:type="pct"/>
            <w:tcBorders>
              <w:bottom w:val="single" w:sz="4" w:space="0" w:color="2F5496"/>
            </w:tcBorders>
            <w:shd w:val="clear" w:color="auto" w:fill="C7E2FA" w:themeFill="accent1" w:themeFillTint="33"/>
          </w:tcPr>
          <w:p w14:paraId="44C873E0" w14:textId="750D8445" w:rsidR="00CB1F61" w:rsidRPr="0026038D" w:rsidRDefault="00CB1F61" w:rsidP="00CB1F61">
            <w:pPr>
              <w:widowControl w:val="0"/>
              <w:tabs>
                <w:tab w:val="left" w:pos="227"/>
              </w:tabs>
              <w:suppressAutoHyphens/>
              <w:spacing w:line="240" w:lineRule="auto"/>
              <w:ind w:left="227" w:hanging="227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8"/>
                <w:szCs w:val="8"/>
              </w:rPr>
            </w:pPr>
            <w:r w:rsidRPr="0026038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621" w:type="pct"/>
            <w:tcBorders>
              <w:bottom w:val="single" w:sz="4" w:space="0" w:color="2F5496"/>
            </w:tcBorders>
            <w:shd w:val="clear" w:color="auto" w:fill="C7E2FA" w:themeFill="accent1" w:themeFillTint="33"/>
          </w:tcPr>
          <w:p w14:paraId="59124000" w14:textId="2298480D" w:rsidR="00CB1F61" w:rsidRPr="0026038D" w:rsidRDefault="00CB1F61" w:rsidP="00CB1F61">
            <w:pPr>
              <w:widowControl w:val="0"/>
              <w:tabs>
                <w:tab w:val="left" w:pos="227"/>
              </w:tabs>
              <w:suppressAutoHyphens/>
              <w:spacing w:line="240" w:lineRule="auto"/>
              <w:ind w:left="227" w:hanging="227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8"/>
                <w:szCs w:val="8"/>
              </w:rPr>
            </w:pPr>
            <w:r w:rsidRPr="0026038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591" w:type="pct"/>
            <w:shd w:val="clear" w:color="auto" w:fill="C7E2FA" w:themeFill="accent1" w:themeFillTint="33"/>
          </w:tcPr>
          <w:p w14:paraId="2C2E21DC" w14:textId="4710CD4D" w:rsidR="00CB1F61" w:rsidRPr="0026038D" w:rsidRDefault="00CB1F61" w:rsidP="00CB1F61">
            <w:pPr>
              <w:widowControl w:val="0"/>
              <w:suppressAutoHyphens/>
              <w:spacing w:after="120" w:line="240" w:lineRule="auto"/>
              <w:contextualSpacing/>
              <w:jc w:val="center"/>
              <w:rPr>
                <w:rFonts w:asciiTheme="majorHAnsi" w:hAnsiTheme="majorHAnsi" w:cstheme="majorHAnsi"/>
                <w:sz w:val="8"/>
                <w:szCs w:val="8"/>
              </w:rPr>
            </w:pPr>
            <w:r w:rsidRPr="0026038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652" w:type="pct"/>
            <w:shd w:val="clear" w:color="auto" w:fill="C7E2FA" w:themeFill="accent1" w:themeFillTint="33"/>
          </w:tcPr>
          <w:p w14:paraId="054977C9" w14:textId="6AA0CDC0" w:rsidR="00CB1F61" w:rsidRPr="0026038D" w:rsidRDefault="00CB1F61" w:rsidP="00CB1F61">
            <w:pPr>
              <w:widowControl w:val="0"/>
              <w:tabs>
                <w:tab w:val="left" w:pos="227"/>
              </w:tabs>
              <w:suppressAutoHyphens/>
              <w:spacing w:line="240" w:lineRule="auto"/>
              <w:ind w:left="227" w:hanging="227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8"/>
                <w:szCs w:val="8"/>
              </w:rPr>
            </w:pPr>
            <w:r w:rsidRPr="0026038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591" w:type="pct"/>
            <w:shd w:val="clear" w:color="auto" w:fill="C7E2FA" w:themeFill="accent1" w:themeFillTint="33"/>
          </w:tcPr>
          <w:p w14:paraId="00D5B0F2" w14:textId="3602233B" w:rsidR="00CB1F61" w:rsidRPr="0026038D" w:rsidRDefault="00CB1F61" w:rsidP="00CB1F61">
            <w:pPr>
              <w:widowControl w:val="0"/>
              <w:tabs>
                <w:tab w:val="left" w:pos="227"/>
              </w:tabs>
              <w:suppressAutoHyphens/>
              <w:spacing w:line="240" w:lineRule="auto"/>
              <w:ind w:left="227" w:hanging="227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8"/>
                <w:szCs w:val="8"/>
              </w:rPr>
            </w:pPr>
            <w:r w:rsidRPr="0026038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617" w:type="pct"/>
            <w:shd w:val="clear" w:color="auto" w:fill="C7E2FA" w:themeFill="accent1" w:themeFillTint="33"/>
          </w:tcPr>
          <w:p w14:paraId="17CC5456" w14:textId="4E18ECF1" w:rsidR="00CB1F61" w:rsidRPr="0026038D" w:rsidRDefault="00CB1F61" w:rsidP="00CB1F61">
            <w:pPr>
              <w:widowControl w:val="0"/>
              <w:tabs>
                <w:tab w:val="left" w:pos="227"/>
              </w:tabs>
              <w:suppressAutoHyphens/>
              <w:spacing w:line="240" w:lineRule="auto"/>
              <w:ind w:left="227" w:hanging="227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6038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561" w:type="pct"/>
            <w:shd w:val="clear" w:color="auto" w:fill="C7E2FA" w:themeFill="accent1" w:themeFillTint="33"/>
          </w:tcPr>
          <w:p w14:paraId="34C6ECE3" w14:textId="11F6138A" w:rsidR="00CB1F61" w:rsidRPr="0026038D" w:rsidRDefault="0048547F" w:rsidP="00CB1F61">
            <w:pPr>
              <w:widowControl w:val="0"/>
              <w:tabs>
                <w:tab w:val="left" w:pos="227"/>
              </w:tabs>
              <w:suppressAutoHyphens/>
              <w:spacing w:line="240" w:lineRule="auto"/>
              <w:ind w:left="227" w:hanging="227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6038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Break</w:t>
            </w:r>
          </w:p>
        </w:tc>
      </w:tr>
      <w:tr w:rsidR="00CB1F61" w:rsidRPr="0026038D" w14:paraId="223B3D3D" w14:textId="3A2C0330" w:rsidTr="00E12C39">
        <w:trPr>
          <w:trHeight w:val="1814"/>
        </w:trPr>
        <w:tc>
          <w:tcPr>
            <w:tcW w:w="162" w:type="pct"/>
            <w:vMerge w:val="restart"/>
            <w:shd w:val="clear" w:color="auto" w:fill="C7E2FA" w:themeFill="accent1" w:themeFillTint="33"/>
            <w:textDirection w:val="btLr"/>
          </w:tcPr>
          <w:p w14:paraId="51F6F835" w14:textId="0855276C" w:rsidR="00CB1F61" w:rsidRPr="0048547F" w:rsidRDefault="00CB1F61" w:rsidP="00CB1F61">
            <w:pPr>
              <w:widowControl w:val="0"/>
              <w:tabs>
                <w:tab w:val="left" w:pos="227"/>
              </w:tabs>
              <w:suppressAutoHyphens/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pacing w:val="100"/>
                <w:sz w:val="16"/>
                <w:szCs w:val="16"/>
              </w:rPr>
            </w:pPr>
            <w:r w:rsidRPr="0048547F">
              <w:rPr>
                <w:rFonts w:asciiTheme="majorHAnsi" w:hAnsiTheme="majorHAnsi" w:cstheme="majorHAnsi"/>
                <w:b/>
                <w:bCs/>
                <w:spacing w:val="100"/>
                <w:sz w:val="16"/>
                <w:szCs w:val="16"/>
              </w:rPr>
              <w:t>08:35-09:5</w:t>
            </w:r>
            <w:r w:rsidR="008B22E5">
              <w:rPr>
                <w:rFonts w:asciiTheme="majorHAnsi" w:hAnsiTheme="majorHAnsi" w:cstheme="majorHAnsi"/>
                <w:b/>
                <w:bCs/>
                <w:spacing w:val="100"/>
                <w:sz w:val="16"/>
                <w:szCs w:val="16"/>
              </w:rPr>
              <w:t xml:space="preserve">0 </w:t>
            </w:r>
            <w:r w:rsidRPr="0048547F">
              <w:rPr>
                <w:rFonts w:asciiTheme="majorHAnsi" w:hAnsiTheme="majorHAnsi" w:cstheme="majorHAnsi"/>
                <w:b/>
                <w:bCs/>
                <w:spacing w:val="100"/>
                <w:sz w:val="16"/>
                <w:szCs w:val="16"/>
              </w:rPr>
              <w:t>am EST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14:paraId="1997BCB5" w14:textId="0A847A6F" w:rsidR="00CB1F61" w:rsidRPr="0026038D" w:rsidRDefault="00CB1F61" w:rsidP="00CB1F61">
            <w:pPr>
              <w:pStyle w:val="Session"/>
              <w:framePr w:hSpace="0" w:wrap="auto" w:vAnchor="margin" w:hAnchor="text" w:yAlign="inline"/>
              <w:widowControl w:val="0"/>
              <w:suppressAutoHyphens/>
              <w:ind w:left="0" w:firstLine="0"/>
              <w:rPr>
                <w:rFonts w:asciiTheme="majorHAnsi" w:eastAsia="Times New Roman" w:hAnsiTheme="majorHAnsi" w:cstheme="majorHAnsi"/>
                <w:b w:val="0"/>
                <w:color w:val="000000" w:themeColor="text1"/>
              </w:rPr>
            </w:pPr>
            <w:r w:rsidRPr="0026038D">
              <w:rPr>
                <w:rFonts w:asciiTheme="majorHAnsi" w:hAnsiTheme="majorHAnsi" w:cstheme="majorHAnsi"/>
              </w:rPr>
              <w:t xml:space="preserve">2. Setting priorities: </w:t>
            </w:r>
            <w:r w:rsidRPr="0026038D">
              <w:rPr>
                <w:rFonts w:asciiTheme="majorHAnsi" w:hAnsiTheme="majorHAnsi" w:cstheme="majorHAnsi"/>
              </w:rPr>
              <w:br/>
            </w:r>
            <w:r w:rsidRPr="0026038D">
              <w:rPr>
                <w:rFonts w:asciiTheme="majorHAnsi" w:eastAsia="Times New Roman" w:hAnsiTheme="majorHAnsi" w:cstheme="majorHAnsi"/>
                <w:b w:val="0"/>
                <w:color w:val="000000" w:themeColor="text1"/>
              </w:rPr>
              <w:t>The importance of ethics, politics and technical perspectives in influencing policy decision-making</w:t>
            </w:r>
          </w:p>
          <w:p w14:paraId="5F2437E2" w14:textId="5B37DDCB" w:rsidR="00CB1F61" w:rsidRPr="0026038D" w:rsidRDefault="00CB1F61" w:rsidP="00CB1F61">
            <w:pPr>
              <w:pStyle w:val="Session"/>
              <w:framePr w:hSpace="0" w:wrap="auto" w:vAnchor="margin" w:hAnchor="text" w:yAlign="inline"/>
              <w:widowControl w:val="0"/>
              <w:suppressAutoHyphens/>
              <w:ind w:left="0" w:firstLine="0"/>
              <w:rPr>
                <w:rFonts w:asciiTheme="majorHAnsi" w:hAnsiTheme="majorHAnsi" w:cstheme="majorHAnsi"/>
              </w:rPr>
            </w:pPr>
            <w:r w:rsidRPr="0026038D">
              <w:rPr>
                <w:rFonts w:asciiTheme="majorHAnsi" w:hAnsiTheme="majorHAnsi" w:cstheme="majorHAnsi"/>
                <w:b w:val="0"/>
                <w:bCs w:val="0"/>
                <w:color w:val="FF0000"/>
              </w:rPr>
              <w:t>Jaganjac</w:t>
            </w:r>
          </w:p>
        </w:tc>
        <w:tc>
          <w:tcPr>
            <w:tcW w:w="591" w:type="pct"/>
            <w:vMerge w:val="restart"/>
            <w:noWrap/>
          </w:tcPr>
          <w:p w14:paraId="089FF397" w14:textId="5D2B5156" w:rsidR="00CB1F61" w:rsidRPr="0026038D" w:rsidRDefault="00CB1F61" w:rsidP="00CB1F61">
            <w:pPr>
              <w:pStyle w:val="TableParagraph"/>
              <w:suppressAutoHyphens/>
              <w:spacing w:before="15"/>
              <w:ind w:left="-29" w:right="97"/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</w:pPr>
            <w:r w:rsidRPr="0026038D"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>5. Fundamentals of health financing for UHC</w:t>
            </w:r>
          </w:p>
          <w:p w14:paraId="3C2BE2C2" w14:textId="01086C5C" w:rsidR="00CB1F61" w:rsidRPr="0026038D" w:rsidRDefault="00CB1F61" w:rsidP="00CB1F61">
            <w:pPr>
              <w:pStyle w:val="TableParagraph"/>
              <w:suppressAutoHyphens/>
              <w:spacing w:before="15"/>
              <w:ind w:left="-29" w:right="219"/>
              <w:rPr>
                <w:rFonts w:asciiTheme="majorHAnsi" w:hAnsiTheme="majorHAnsi" w:cstheme="majorHAnsi"/>
                <w:sz w:val="18"/>
              </w:rPr>
            </w:pPr>
            <w:r w:rsidRPr="0026038D">
              <w:rPr>
                <w:rFonts w:asciiTheme="majorHAnsi" w:hAnsiTheme="majorHAnsi" w:cstheme="majorHAnsi"/>
                <w:sz w:val="18"/>
              </w:rPr>
              <w:t xml:space="preserve">Overview </w:t>
            </w:r>
            <w:r w:rsidR="00842FEC">
              <w:rPr>
                <w:rFonts w:asciiTheme="majorHAnsi" w:hAnsiTheme="majorHAnsi" w:cstheme="majorHAnsi"/>
                <w:sz w:val="18"/>
              </w:rPr>
              <w:t>of UHC objectives, the health financing transition and heath financing functions</w:t>
            </w:r>
          </w:p>
          <w:p w14:paraId="7103F919" w14:textId="55D26C35" w:rsidR="00CB1F61" w:rsidRPr="00783609" w:rsidRDefault="00CB1F61" w:rsidP="00CB1F61">
            <w:pPr>
              <w:pStyle w:val="TableParagraph"/>
              <w:suppressAutoHyphens/>
              <w:spacing w:before="15"/>
              <w:ind w:left="-29" w:right="219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</w:pPr>
            <w:r w:rsidRPr="0078360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  <w:t>Kurowsky</w:t>
            </w:r>
          </w:p>
          <w:p w14:paraId="61994FD1" w14:textId="49C9054A" w:rsidR="00CB1F61" w:rsidRPr="00783609" w:rsidRDefault="00CB1F61" w:rsidP="007E1249">
            <w:pPr>
              <w:pStyle w:val="TableParagraph"/>
              <w:suppressAutoHyphens/>
              <w:spacing w:before="15"/>
              <w:ind w:left="-29" w:right="219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</w:pPr>
            <w:r w:rsidRPr="0078360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  <w:t>Evan</w:t>
            </w:r>
            <w:r w:rsidR="007E124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  <w:t>s</w:t>
            </w:r>
          </w:p>
          <w:p w14:paraId="20E11F9F" w14:textId="77777777" w:rsidR="00CB1F61" w:rsidRPr="0026038D" w:rsidRDefault="00CB1F61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cstheme="majorHAnsi"/>
              </w:rPr>
            </w:pPr>
          </w:p>
          <w:p w14:paraId="2CD198C3" w14:textId="77777777" w:rsidR="00CB1F61" w:rsidRPr="0026038D" w:rsidRDefault="00CB1F61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ind w:left="144"/>
              <w:contextualSpacing/>
              <w:rPr>
                <w:rFonts w:cstheme="majorHAnsi"/>
              </w:rPr>
            </w:pPr>
          </w:p>
          <w:p w14:paraId="0DB00937" w14:textId="77777777" w:rsidR="00CB1F61" w:rsidRPr="0026038D" w:rsidRDefault="00CB1F61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ind w:left="144"/>
              <w:contextualSpacing/>
              <w:rPr>
                <w:rFonts w:cstheme="majorHAnsi"/>
              </w:rPr>
            </w:pPr>
          </w:p>
          <w:p w14:paraId="79E8FD58" w14:textId="77777777" w:rsidR="00CB1F61" w:rsidRPr="0026038D" w:rsidRDefault="00CB1F61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ind w:left="144"/>
              <w:contextualSpacing/>
              <w:rPr>
                <w:rFonts w:cstheme="majorHAnsi"/>
              </w:rPr>
            </w:pPr>
          </w:p>
          <w:p w14:paraId="4F5C4369" w14:textId="34FF8A84" w:rsidR="00CB1F61" w:rsidRPr="0026038D" w:rsidRDefault="00CB1F61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ind w:left="144"/>
              <w:contextualSpacing/>
              <w:rPr>
                <w:rFonts w:cstheme="majorHAnsi"/>
              </w:rPr>
            </w:pPr>
            <w:r w:rsidRPr="0026038D">
              <w:rPr>
                <w:rFonts w:cstheme="majorHAnsi"/>
                <w:b/>
                <w:bCs/>
              </w:rPr>
              <w:t xml:space="preserve"> </w:t>
            </w:r>
          </w:p>
        </w:tc>
        <w:tc>
          <w:tcPr>
            <w:tcW w:w="621" w:type="pct"/>
            <w:vMerge w:val="restart"/>
          </w:tcPr>
          <w:p w14:paraId="31246013" w14:textId="0A8529D7" w:rsidR="00CB1F61" w:rsidRPr="0026038D" w:rsidRDefault="008B22E5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eastAsia="Calibri" w:cstheme="majorHAnsi"/>
                <w:b/>
                <w:bCs/>
                <w:color w:val="0B5294" w:themeColor="accent1" w:themeShade="BF"/>
              </w:rPr>
            </w:pPr>
            <w:r>
              <w:rPr>
                <w:rFonts w:eastAsia="Calibri" w:cstheme="majorHAnsi"/>
                <w:b/>
                <w:bCs/>
                <w:color w:val="0B5294" w:themeColor="accent1" w:themeShade="BF"/>
              </w:rPr>
              <w:t>7</w:t>
            </w:r>
            <w:r w:rsidR="00CB1F61" w:rsidRPr="0026038D">
              <w:rPr>
                <w:rFonts w:eastAsia="Calibri" w:cstheme="majorHAnsi"/>
                <w:b/>
                <w:bCs/>
                <w:color w:val="0B5294" w:themeColor="accent1" w:themeShade="BF"/>
              </w:rPr>
              <w:t>. Resource mobilization for UHC</w:t>
            </w:r>
          </w:p>
          <w:p w14:paraId="7C52EF73" w14:textId="379D3F5C" w:rsidR="00842FEC" w:rsidRPr="00842FEC" w:rsidRDefault="00842FEC" w:rsidP="001920F6">
            <w:pPr>
              <w:pStyle w:val="TableParagraph"/>
              <w:suppressAutoHyphens/>
              <w:spacing w:before="15"/>
              <w:ind w:left="-29" w:right="219"/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842FEC">
              <w:rPr>
                <w:rFonts w:asciiTheme="majorHAnsi" w:eastAsia="Times New Roman" w:hAnsiTheme="majorHAnsi" w:cstheme="majorHAnsi"/>
                <w:bCs/>
                <w:color w:val="000000" w:themeColor="text1"/>
                <w:sz w:val="18"/>
                <w:szCs w:val="18"/>
              </w:rPr>
              <w:t xml:space="preserve">Raising prepaid public revenues </w:t>
            </w:r>
          </w:p>
          <w:p w14:paraId="5F5D4975" w14:textId="77777777" w:rsidR="00842FEC" w:rsidRDefault="00842FEC" w:rsidP="001920F6">
            <w:pPr>
              <w:pStyle w:val="TableParagraph"/>
              <w:suppressAutoHyphens/>
              <w:spacing w:before="15"/>
              <w:ind w:left="-29" w:right="219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</w:pPr>
          </w:p>
          <w:p w14:paraId="2E161717" w14:textId="3B31B0A8" w:rsidR="001920F6" w:rsidRPr="00783609" w:rsidRDefault="001920F6" w:rsidP="001920F6">
            <w:pPr>
              <w:pStyle w:val="TableParagraph"/>
              <w:suppressAutoHyphens/>
              <w:spacing w:before="15"/>
              <w:ind w:left="-29" w:right="219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</w:pPr>
            <w:r w:rsidRPr="0078360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  <w:t>Kurowsky</w:t>
            </w:r>
          </w:p>
          <w:p w14:paraId="01420A5C" w14:textId="68F54184" w:rsidR="001920F6" w:rsidRPr="00783609" w:rsidRDefault="001920F6" w:rsidP="007E1249">
            <w:pPr>
              <w:pStyle w:val="TableParagraph"/>
              <w:suppressAutoHyphens/>
              <w:spacing w:before="15"/>
              <w:ind w:left="-29" w:right="219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</w:pPr>
            <w:r w:rsidRPr="0078360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</w:rPr>
              <w:t>Evans</w:t>
            </w:r>
          </w:p>
          <w:p w14:paraId="08B3F6D1" w14:textId="5B8688ED" w:rsidR="00CB1F61" w:rsidRPr="0026038D" w:rsidRDefault="00CB1F61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cstheme="majorHAnsi"/>
              </w:rPr>
            </w:pPr>
          </w:p>
        </w:tc>
        <w:tc>
          <w:tcPr>
            <w:tcW w:w="591" w:type="pct"/>
            <w:vMerge w:val="restart"/>
          </w:tcPr>
          <w:p w14:paraId="2B4DC9DA" w14:textId="23478D0A" w:rsidR="00CB1F61" w:rsidRDefault="008B22E5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eastAsia="Calibri" w:cstheme="majorHAnsi"/>
                <w:b/>
                <w:bCs/>
                <w:color w:val="0B5294" w:themeColor="accent1" w:themeShade="BF"/>
              </w:rPr>
            </w:pPr>
            <w:r>
              <w:rPr>
                <w:rFonts w:eastAsia="Calibri" w:cstheme="majorHAnsi"/>
                <w:b/>
                <w:bCs/>
                <w:color w:val="0B5294" w:themeColor="accent1" w:themeShade="BF"/>
              </w:rPr>
              <w:t>9</w:t>
            </w:r>
            <w:r w:rsidR="00CB1F61" w:rsidRPr="0026038D">
              <w:rPr>
                <w:rFonts w:eastAsia="Calibri" w:cstheme="majorHAnsi"/>
                <w:b/>
                <w:bCs/>
                <w:color w:val="0B5294" w:themeColor="accent1" w:themeShade="BF"/>
              </w:rPr>
              <w:t>. Regulation to change behavior and address market failures</w:t>
            </w:r>
          </w:p>
          <w:p w14:paraId="5FFFD373" w14:textId="77777777" w:rsidR="00E12C39" w:rsidRDefault="00E12C39" w:rsidP="0026038D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ind w:left="144" w:hanging="144"/>
              <w:contextualSpacing/>
              <w:rPr>
                <w:rFonts w:cstheme="majorHAnsi"/>
                <w:color w:val="FF0000"/>
              </w:rPr>
            </w:pPr>
          </w:p>
          <w:p w14:paraId="6A546318" w14:textId="4E6DA92C" w:rsidR="0026038D" w:rsidRPr="0026038D" w:rsidRDefault="0026038D" w:rsidP="0026038D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ind w:left="144" w:hanging="144"/>
              <w:contextualSpacing/>
              <w:rPr>
                <w:rFonts w:cstheme="majorHAnsi"/>
                <w:color w:val="FF0000"/>
              </w:rPr>
            </w:pPr>
            <w:r w:rsidRPr="0026038D">
              <w:rPr>
                <w:rFonts w:cstheme="majorHAnsi"/>
                <w:color w:val="FF0000"/>
              </w:rPr>
              <w:t xml:space="preserve">Bitran </w:t>
            </w:r>
          </w:p>
          <w:p w14:paraId="25CDFC4A" w14:textId="77777777" w:rsidR="0026038D" w:rsidRPr="0026038D" w:rsidRDefault="0026038D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cstheme="majorHAnsi"/>
                <w:b/>
                <w:bCs/>
              </w:rPr>
            </w:pPr>
          </w:p>
          <w:p w14:paraId="1EE1DB06" w14:textId="62458670" w:rsidR="00CB1F61" w:rsidRPr="0026038D" w:rsidRDefault="00CB1F61" w:rsidP="00CB1F61">
            <w:pPr>
              <w:pStyle w:val="Session"/>
              <w:framePr w:hSpace="0" w:wrap="auto" w:vAnchor="margin" w:hAnchor="text" w:yAlign="inline"/>
              <w:widowControl w:val="0"/>
              <w:suppressAutoHyphens/>
              <w:ind w:left="0"/>
              <w:rPr>
                <w:rFonts w:asciiTheme="majorHAnsi" w:hAnsiTheme="majorHAnsi" w:cstheme="majorHAnsi"/>
              </w:rPr>
            </w:pPr>
            <w:r w:rsidRPr="0026038D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</w:tc>
        <w:tc>
          <w:tcPr>
            <w:tcW w:w="652" w:type="pct"/>
            <w:vMerge w:val="restart"/>
          </w:tcPr>
          <w:p w14:paraId="15FD3317" w14:textId="2CC257D6" w:rsidR="00CB1F61" w:rsidRPr="0026038D" w:rsidRDefault="00CB1F61" w:rsidP="00CB1F61">
            <w:pPr>
              <w:pStyle w:val="Session"/>
              <w:framePr w:hSpace="0" w:wrap="auto" w:vAnchor="margin" w:hAnchor="text" w:yAlign="inline"/>
              <w:widowControl w:val="0"/>
              <w:suppressAutoHyphens/>
              <w:ind w:left="0" w:firstLine="0"/>
              <w:rPr>
                <w:rFonts w:asciiTheme="majorHAnsi" w:hAnsiTheme="majorHAnsi" w:cstheme="majorHAnsi"/>
              </w:rPr>
            </w:pPr>
            <w:r w:rsidRPr="0026038D">
              <w:rPr>
                <w:rFonts w:asciiTheme="majorHAnsi" w:hAnsiTheme="majorHAnsi" w:cstheme="majorHAnsi"/>
              </w:rPr>
              <w:t>1</w:t>
            </w:r>
            <w:r w:rsidR="008B22E5">
              <w:rPr>
                <w:rFonts w:asciiTheme="majorHAnsi" w:hAnsiTheme="majorHAnsi" w:cstheme="majorHAnsi"/>
              </w:rPr>
              <w:t>1</w:t>
            </w:r>
            <w:r w:rsidRPr="0026038D">
              <w:rPr>
                <w:rFonts w:asciiTheme="majorHAnsi" w:hAnsiTheme="majorHAnsi" w:cstheme="majorHAnsi"/>
              </w:rPr>
              <w:t>. Key challenges and strategies for changes</w:t>
            </w:r>
          </w:p>
          <w:p w14:paraId="13C8A6E4" w14:textId="4DC30A44" w:rsidR="00CB1F61" w:rsidRPr="0026038D" w:rsidRDefault="00CB1F61" w:rsidP="00CB1F61">
            <w:pPr>
              <w:pStyle w:val="Session"/>
              <w:framePr w:hSpace="0" w:wrap="auto" w:vAnchor="margin" w:hAnchor="text" w:yAlign="inline"/>
              <w:widowControl w:val="0"/>
              <w:suppressAutoHyphens/>
              <w:ind w:left="0" w:firstLine="0"/>
              <w:rPr>
                <w:rFonts w:asciiTheme="majorHAnsi" w:eastAsia="Times New Roman" w:hAnsiTheme="majorHAnsi" w:cstheme="majorHAnsi"/>
                <w:b w:val="0"/>
                <w:color w:val="000000" w:themeColor="text1"/>
              </w:rPr>
            </w:pPr>
            <w:r w:rsidRPr="0026038D">
              <w:rPr>
                <w:rFonts w:asciiTheme="majorHAnsi" w:eastAsia="Times New Roman" w:hAnsiTheme="majorHAnsi" w:cstheme="majorHAnsi"/>
                <w:b w:val="0"/>
                <w:color w:val="000000" w:themeColor="text1"/>
              </w:rPr>
              <w:t>Incentive, managerial and task allocation strategies to improve performance</w:t>
            </w:r>
            <w:r w:rsidR="00E12C39">
              <w:rPr>
                <w:rFonts w:asciiTheme="majorHAnsi" w:eastAsia="Times New Roman" w:hAnsiTheme="majorHAnsi" w:cstheme="majorHAnsi"/>
                <w:b w:val="0"/>
                <w:color w:val="000000" w:themeColor="text1"/>
              </w:rPr>
              <w:t xml:space="preserve"> and delivery models </w:t>
            </w:r>
          </w:p>
          <w:p w14:paraId="4197395A" w14:textId="77777777" w:rsidR="00CB1F61" w:rsidRPr="0026038D" w:rsidRDefault="00CB1F61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cstheme="majorHAnsi"/>
                <w:color w:val="FF0000"/>
              </w:rPr>
            </w:pPr>
            <w:r w:rsidRPr="0026038D">
              <w:rPr>
                <w:rFonts w:cstheme="majorHAnsi"/>
                <w:color w:val="FF0000"/>
              </w:rPr>
              <w:t>Chopra</w:t>
            </w:r>
          </w:p>
          <w:p w14:paraId="74A38E4E" w14:textId="618004A4" w:rsidR="00CB1F61" w:rsidRPr="00213875" w:rsidRDefault="00CB1F61" w:rsidP="00CB1F61">
            <w:pPr>
              <w:pStyle w:val="Session"/>
              <w:framePr w:hSpace="0" w:wrap="auto" w:vAnchor="margin" w:hAnchor="text" w:yAlign="inline"/>
              <w:widowControl w:val="0"/>
              <w:suppressAutoHyphens/>
              <w:ind w:left="0" w:firstLine="0"/>
              <w:rPr>
                <w:rFonts w:asciiTheme="majorHAnsi" w:eastAsia="Times New Roman" w:hAnsiTheme="majorHAnsi" w:cstheme="majorHAnsi"/>
                <w:b w:val="0"/>
                <w:bCs w:val="0"/>
                <w:color w:val="FF0000"/>
              </w:rPr>
            </w:pPr>
            <w:r w:rsidRPr="00213875">
              <w:rPr>
                <w:rFonts w:asciiTheme="majorHAnsi" w:eastAsia="Times New Roman" w:hAnsiTheme="majorHAnsi" w:cstheme="majorHAnsi"/>
                <w:b w:val="0"/>
                <w:bCs w:val="0"/>
                <w:color w:val="FF0000"/>
              </w:rPr>
              <w:t>Wang</w:t>
            </w:r>
          </w:p>
          <w:p w14:paraId="09B64F63" w14:textId="2E6D11B4" w:rsidR="00CB1F61" w:rsidRPr="00213875" w:rsidRDefault="00783609" w:rsidP="00CB1F61">
            <w:pPr>
              <w:pStyle w:val="Session"/>
              <w:framePr w:hSpace="0" w:wrap="auto" w:vAnchor="margin" w:hAnchor="text" w:yAlign="inline"/>
              <w:widowControl w:val="0"/>
              <w:suppressAutoHyphens/>
              <w:ind w:left="0" w:firstLine="0"/>
              <w:rPr>
                <w:rFonts w:asciiTheme="majorHAnsi" w:eastAsia="Times New Roman" w:hAnsiTheme="majorHAnsi" w:cstheme="majorHAnsi"/>
                <w:b w:val="0"/>
                <w:bCs w:val="0"/>
                <w:color w:val="FF0000"/>
              </w:rPr>
            </w:pPr>
            <w:r w:rsidRPr="00213875">
              <w:rPr>
                <w:rFonts w:asciiTheme="majorHAnsi" w:eastAsia="Times New Roman" w:hAnsiTheme="majorHAnsi" w:cstheme="majorHAnsi"/>
                <w:b w:val="0"/>
                <w:bCs w:val="0"/>
                <w:color w:val="FF0000"/>
              </w:rPr>
              <w:t>Jaganjac</w:t>
            </w:r>
          </w:p>
          <w:p w14:paraId="33C34E89" w14:textId="77777777" w:rsidR="00CB1F61" w:rsidRPr="0026038D" w:rsidRDefault="00CB1F61" w:rsidP="00CB1F61">
            <w:pPr>
              <w:pStyle w:val="Session"/>
              <w:framePr w:hSpace="0" w:wrap="auto" w:vAnchor="margin" w:hAnchor="text" w:yAlign="inline"/>
              <w:widowControl w:val="0"/>
              <w:suppressAutoHyphens/>
              <w:ind w:left="0" w:firstLine="0"/>
              <w:rPr>
                <w:rFonts w:asciiTheme="majorHAnsi" w:eastAsia="Times New Roman" w:hAnsiTheme="majorHAnsi" w:cstheme="majorHAnsi"/>
                <w:b w:val="0"/>
                <w:color w:val="000000" w:themeColor="text1"/>
              </w:rPr>
            </w:pPr>
          </w:p>
          <w:p w14:paraId="7F69A991" w14:textId="51BFB6F5" w:rsidR="00CB1F61" w:rsidRPr="0026038D" w:rsidRDefault="00CB1F61" w:rsidP="00CB1F61">
            <w:pPr>
              <w:pStyle w:val="Session"/>
              <w:framePr w:hSpace="0" w:wrap="auto" w:vAnchor="margin" w:hAnchor="text" w:yAlign="inline"/>
              <w:widowControl w:val="0"/>
              <w:suppressAutoHyphens/>
              <w:rPr>
                <w:rFonts w:asciiTheme="majorHAnsi" w:hAnsiTheme="majorHAnsi" w:cstheme="majorHAnsi"/>
              </w:rPr>
            </w:pPr>
            <w:r w:rsidRPr="0026038D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</w:tc>
        <w:tc>
          <w:tcPr>
            <w:tcW w:w="591" w:type="pct"/>
            <w:vMerge w:val="restart"/>
          </w:tcPr>
          <w:p w14:paraId="3D2674EC" w14:textId="4CE8267B" w:rsidR="00CB1F61" w:rsidRPr="0026038D" w:rsidRDefault="00CB1F61" w:rsidP="00CB1F61">
            <w:pPr>
              <w:pStyle w:val="TableParagraph"/>
              <w:suppressAutoHyphens/>
              <w:spacing w:before="15"/>
              <w:ind w:left="0" w:right="109"/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</w:pPr>
            <w:r w:rsidRPr="0026038D">
              <w:rPr>
                <w:rFonts w:asciiTheme="majorHAnsi" w:eastAsia="Times New Roman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>1</w:t>
            </w:r>
            <w:r w:rsidR="008B22E5">
              <w:rPr>
                <w:rFonts w:asciiTheme="majorHAnsi" w:eastAsia="Times New Roman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>3</w:t>
            </w:r>
            <w:r w:rsidRPr="0026038D">
              <w:rPr>
                <w:rFonts w:asciiTheme="majorHAnsi" w:eastAsia="Times New Roman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>. Politics</w:t>
            </w:r>
            <w:r w:rsidRPr="0026038D"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 xml:space="preserve"> for planning and implementation of health reforms: </w:t>
            </w:r>
          </w:p>
          <w:p w14:paraId="687316DF" w14:textId="12723235" w:rsidR="00CB1F61" w:rsidRDefault="00CB1F61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cstheme="majorHAnsi"/>
                <w:bCs/>
              </w:rPr>
            </w:pPr>
            <w:r w:rsidRPr="0026038D">
              <w:rPr>
                <w:rFonts w:cstheme="majorHAnsi"/>
                <w:bCs/>
              </w:rPr>
              <w:t xml:space="preserve">Tools for navigating the political process and setting priorities </w:t>
            </w:r>
          </w:p>
          <w:p w14:paraId="57618AE5" w14:textId="541A4D1B" w:rsidR="0026038D" w:rsidRPr="0026038D" w:rsidRDefault="0026038D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cstheme="majorHAnsi"/>
                <w:b/>
                <w:bCs/>
              </w:rPr>
            </w:pPr>
            <w:r w:rsidRPr="0026038D">
              <w:rPr>
                <w:rFonts w:cstheme="majorHAnsi"/>
                <w:color w:val="FF0000"/>
              </w:rPr>
              <w:t>Bitran</w:t>
            </w:r>
          </w:p>
          <w:p w14:paraId="43BC2026" w14:textId="6A547298" w:rsidR="00CB1F61" w:rsidRPr="0026038D" w:rsidRDefault="00CB1F61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cstheme="majorHAnsi"/>
                <w:b/>
                <w:bCs/>
              </w:rPr>
            </w:pPr>
          </w:p>
        </w:tc>
        <w:tc>
          <w:tcPr>
            <w:tcW w:w="617" w:type="pct"/>
            <w:vMerge w:val="restart"/>
          </w:tcPr>
          <w:p w14:paraId="2E816CCC" w14:textId="688CE88C" w:rsidR="00CB1F61" w:rsidRPr="0026038D" w:rsidRDefault="00CB1F61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eastAsia="Calibri" w:cstheme="majorHAnsi"/>
                <w:b/>
                <w:bCs/>
                <w:color w:val="0B5294" w:themeColor="accent1" w:themeShade="BF"/>
              </w:rPr>
            </w:pPr>
            <w:r w:rsidRPr="0026038D">
              <w:rPr>
                <w:rFonts w:eastAsia="Calibri" w:cstheme="majorHAnsi"/>
                <w:b/>
                <w:bCs/>
                <w:color w:val="0B5294" w:themeColor="accent1" w:themeShade="BF"/>
              </w:rPr>
              <w:t>1</w:t>
            </w:r>
            <w:r w:rsidR="008B22E5">
              <w:rPr>
                <w:rFonts w:eastAsia="Calibri" w:cstheme="majorHAnsi"/>
                <w:b/>
                <w:bCs/>
                <w:color w:val="0B5294" w:themeColor="accent1" w:themeShade="BF"/>
              </w:rPr>
              <w:t>5</w:t>
            </w:r>
            <w:r w:rsidRPr="008B22E5">
              <w:rPr>
                <w:rFonts w:eastAsia="Calibri" w:cstheme="majorHAnsi"/>
                <w:b/>
                <w:bCs/>
                <w:color w:val="auto"/>
              </w:rPr>
              <w:t>.</w:t>
            </w:r>
            <w:r w:rsidRPr="0026038D">
              <w:rPr>
                <w:rFonts w:eastAsia="Calibri" w:cstheme="majorHAnsi"/>
                <w:b/>
                <w:bCs/>
                <w:color w:val="FF0000"/>
              </w:rPr>
              <w:t xml:space="preserve"> </w:t>
            </w:r>
            <w:r w:rsidRPr="0026038D">
              <w:rPr>
                <w:rFonts w:eastAsia="Calibri" w:cstheme="majorHAnsi"/>
                <w:b/>
                <w:bCs/>
                <w:color w:val="0B5294" w:themeColor="accent1" w:themeShade="BF"/>
              </w:rPr>
              <w:t>Nutrition challenges</w:t>
            </w:r>
          </w:p>
          <w:p w14:paraId="6C016A45" w14:textId="77777777" w:rsidR="00CB1F61" w:rsidRDefault="00CB1F61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cstheme="majorHAnsi"/>
              </w:rPr>
            </w:pPr>
            <w:r w:rsidRPr="0026038D">
              <w:rPr>
                <w:rFonts w:cstheme="majorHAnsi"/>
              </w:rPr>
              <w:t>Global crisis and multisectoral approach</w:t>
            </w:r>
          </w:p>
          <w:p w14:paraId="5A922911" w14:textId="057DB91B" w:rsidR="0026038D" w:rsidRPr="0026038D" w:rsidRDefault="001920F6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eastAsia="Calibri" w:cstheme="majorHAnsi"/>
                <w:b/>
                <w:bCs/>
                <w:color w:val="0B5294" w:themeColor="accent1" w:themeShade="BF"/>
              </w:rPr>
            </w:pPr>
            <w:r w:rsidRPr="001920F6">
              <w:rPr>
                <w:rFonts w:cstheme="majorHAnsi"/>
                <w:color w:val="FF0000"/>
              </w:rPr>
              <w:t>Shekar</w:t>
            </w:r>
          </w:p>
        </w:tc>
        <w:tc>
          <w:tcPr>
            <w:tcW w:w="561" w:type="pct"/>
          </w:tcPr>
          <w:p w14:paraId="45C69CBC" w14:textId="206DB931" w:rsidR="0048547F" w:rsidRPr="0026038D" w:rsidRDefault="008B22E5" w:rsidP="0048547F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eastAsia="Calibri" w:cstheme="majorHAnsi"/>
                <w:b/>
                <w:bCs/>
                <w:color w:val="0B5294" w:themeColor="accent1" w:themeShade="BF"/>
              </w:rPr>
            </w:pPr>
            <w:r>
              <w:rPr>
                <w:rFonts w:eastAsia="Calibri" w:cstheme="majorHAnsi"/>
                <w:b/>
                <w:bCs/>
                <w:color w:val="0B5294" w:themeColor="accent1" w:themeShade="BF"/>
              </w:rPr>
              <w:t xml:space="preserve">17 b. </w:t>
            </w:r>
            <w:r w:rsidR="0048547F" w:rsidRPr="0026038D">
              <w:rPr>
                <w:rFonts w:eastAsia="Calibri" w:cstheme="majorHAnsi"/>
                <w:b/>
                <w:bCs/>
                <w:color w:val="0B5294" w:themeColor="accent1" w:themeShade="BF"/>
              </w:rPr>
              <w:t>Group Work: </w:t>
            </w:r>
          </w:p>
          <w:p w14:paraId="45831457" w14:textId="6F77B475" w:rsidR="00CB1F61" w:rsidRPr="0026038D" w:rsidRDefault="0048547F" w:rsidP="0048547F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eastAsia="Calibri" w:cstheme="majorHAnsi"/>
                <w:b/>
                <w:bCs/>
                <w:color w:val="0B5294" w:themeColor="accent1" w:themeShade="BF"/>
              </w:rPr>
            </w:pPr>
            <w:r w:rsidRPr="0026038D">
              <w:rPr>
                <w:rFonts w:cstheme="majorHAnsi"/>
                <w:bdr w:val="none" w:sz="0" w:space="0" w:color="auto" w:frame="1"/>
                <w:lang w:val="en-IN"/>
              </w:rPr>
              <w:t>Presentations and Discussion</w:t>
            </w:r>
          </w:p>
        </w:tc>
      </w:tr>
      <w:tr w:rsidR="00CA4E24" w:rsidRPr="0026038D" w14:paraId="65C12FA0" w14:textId="53971945" w:rsidTr="00E12C39">
        <w:trPr>
          <w:trHeight w:val="1283"/>
        </w:trPr>
        <w:tc>
          <w:tcPr>
            <w:tcW w:w="162" w:type="pct"/>
            <w:vMerge/>
            <w:tcBorders>
              <w:bottom w:val="single" w:sz="4" w:space="0" w:color="2F5496"/>
            </w:tcBorders>
            <w:shd w:val="clear" w:color="auto" w:fill="C7E2FA" w:themeFill="accent1" w:themeFillTint="33"/>
            <w:textDirection w:val="btLr"/>
          </w:tcPr>
          <w:p w14:paraId="1567635D" w14:textId="77777777" w:rsidR="00CA4E24" w:rsidRPr="0026038D" w:rsidRDefault="00CA4E24" w:rsidP="00CB1F61">
            <w:pPr>
              <w:widowControl w:val="0"/>
              <w:tabs>
                <w:tab w:val="left" w:pos="227"/>
              </w:tabs>
              <w:suppressAutoHyphens/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pacing w:val="1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2F5496"/>
            </w:tcBorders>
          </w:tcPr>
          <w:p w14:paraId="1222DAAC" w14:textId="41F13E22" w:rsidR="00CA4E24" w:rsidRPr="0026038D" w:rsidRDefault="00CA4E24" w:rsidP="00CB1F61">
            <w:pPr>
              <w:pStyle w:val="Session"/>
              <w:framePr w:hSpace="0" w:wrap="auto" w:vAnchor="margin" w:hAnchor="text" w:yAlign="inline"/>
              <w:widowControl w:val="0"/>
              <w:suppressAutoHyphens/>
              <w:ind w:left="0"/>
              <w:rPr>
                <w:rFonts w:asciiTheme="majorHAnsi" w:hAnsiTheme="majorHAnsi" w:cstheme="majorHAnsi"/>
              </w:rPr>
            </w:pPr>
            <w:r w:rsidRPr="0026038D">
              <w:rPr>
                <w:rFonts w:asciiTheme="majorHAnsi" w:hAnsiTheme="majorHAnsi" w:cstheme="majorHAnsi"/>
              </w:rPr>
              <w:t>3. 3. Diagnosing health systems constraints</w:t>
            </w:r>
          </w:p>
          <w:p w14:paraId="3F80ACC8" w14:textId="64BB1E53" w:rsidR="00CA4E24" w:rsidRPr="0026038D" w:rsidRDefault="00CA4E24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ind w:left="144" w:hanging="144"/>
              <w:contextualSpacing/>
              <w:rPr>
                <w:rFonts w:cstheme="majorHAnsi"/>
                <w:color w:val="FF0000"/>
              </w:rPr>
            </w:pPr>
            <w:r w:rsidRPr="0026038D">
              <w:rPr>
                <w:rFonts w:cstheme="majorHAnsi"/>
                <w:color w:val="FF0000"/>
              </w:rPr>
              <w:t xml:space="preserve">Bitran </w:t>
            </w:r>
          </w:p>
          <w:p w14:paraId="5EE9842D" w14:textId="77777777" w:rsidR="00CA4E24" w:rsidRPr="0026038D" w:rsidRDefault="00CA4E24" w:rsidP="00CB1F61">
            <w:pPr>
              <w:pStyle w:val="Session"/>
              <w:framePr w:hSpace="0" w:wrap="auto" w:vAnchor="margin" w:hAnchor="text" w:yAlign="inline"/>
              <w:widowControl w:val="0"/>
              <w:suppressAutoHyphens/>
              <w:ind w:left="0"/>
              <w:rPr>
                <w:rFonts w:asciiTheme="majorHAnsi" w:hAnsiTheme="majorHAnsi" w:cstheme="majorHAnsi"/>
              </w:rPr>
            </w:pPr>
          </w:p>
          <w:p w14:paraId="4D25E5E4" w14:textId="77777777" w:rsidR="00CA4E24" w:rsidRPr="0026038D" w:rsidRDefault="00CA4E24" w:rsidP="00CB1F61">
            <w:pPr>
              <w:pStyle w:val="Session"/>
              <w:framePr w:hSpace="0" w:wrap="auto" w:vAnchor="margin" w:hAnchor="text" w:yAlign="inline"/>
              <w:widowControl w:val="0"/>
              <w:suppressAutoHyphens/>
              <w:ind w:left="0"/>
              <w:rPr>
                <w:rFonts w:asciiTheme="majorHAnsi" w:hAnsiTheme="majorHAnsi" w:cstheme="majorHAnsi"/>
              </w:rPr>
            </w:pPr>
          </w:p>
          <w:p w14:paraId="3A5BA1FB" w14:textId="5E2BB0AE" w:rsidR="00CA4E24" w:rsidRPr="0026038D" w:rsidRDefault="00CA4E24" w:rsidP="00CB1F61">
            <w:pPr>
              <w:pStyle w:val="Session"/>
              <w:framePr w:hSpace="0" w:wrap="auto" w:vAnchor="margin" w:hAnchor="text" w:yAlign="inline"/>
              <w:widowControl w:val="0"/>
              <w:suppressAutoHyphens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591" w:type="pct"/>
            <w:vMerge/>
            <w:tcBorders>
              <w:bottom w:val="single" w:sz="4" w:space="0" w:color="2F5496"/>
            </w:tcBorders>
            <w:noWrap/>
          </w:tcPr>
          <w:p w14:paraId="6861E0B0" w14:textId="77777777" w:rsidR="00CA4E24" w:rsidRPr="0026038D" w:rsidRDefault="00CA4E24" w:rsidP="00CB1F61">
            <w:pPr>
              <w:pStyle w:val="TableParagraph"/>
              <w:suppressAutoHyphens/>
              <w:spacing w:before="15"/>
              <w:ind w:left="-29" w:right="97"/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bottom w:val="single" w:sz="4" w:space="0" w:color="2F5496"/>
            </w:tcBorders>
          </w:tcPr>
          <w:p w14:paraId="0DF5BD39" w14:textId="77777777" w:rsidR="00CA4E24" w:rsidRPr="0026038D" w:rsidRDefault="00CA4E24" w:rsidP="00CB1F61">
            <w:pPr>
              <w:pStyle w:val="TableBullet"/>
              <w:widowControl w:val="0"/>
              <w:numPr>
                <w:ilvl w:val="0"/>
                <w:numId w:val="0"/>
              </w:numPr>
              <w:suppressAutoHyphens/>
              <w:contextualSpacing/>
              <w:rPr>
                <w:rFonts w:eastAsia="Calibri" w:cstheme="majorHAnsi"/>
                <w:b/>
                <w:bCs/>
                <w:color w:val="0B5294" w:themeColor="accent1" w:themeShade="BF"/>
              </w:rPr>
            </w:pPr>
          </w:p>
        </w:tc>
        <w:tc>
          <w:tcPr>
            <w:tcW w:w="591" w:type="pct"/>
            <w:vMerge/>
            <w:tcBorders>
              <w:bottom w:val="single" w:sz="4" w:space="0" w:color="2F5496"/>
            </w:tcBorders>
          </w:tcPr>
          <w:p w14:paraId="2768DBCC" w14:textId="1474E511" w:rsidR="00CA4E24" w:rsidRPr="0026038D" w:rsidRDefault="00CA4E24" w:rsidP="00CB1F61">
            <w:pPr>
              <w:pStyle w:val="Session"/>
              <w:framePr w:hSpace="0" w:wrap="auto" w:vAnchor="margin" w:hAnchor="text" w:yAlign="inline"/>
              <w:widowControl w:val="0"/>
              <w:suppressAutoHyphens/>
              <w:ind w:left="0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652" w:type="pct"/>
            <w:vMerge/>
            <w:tcBorders>
              <w:bottom w:val="single" w:sz="4" w:space="0" w:color="2F5496"/>
            </w:tcBorders>
          </w:tcPr>
          <w:p w14:paraId="7CC4DB66" w14:textId="77777777" w:rsidR="00CA4E24" w:rsidRPr="0026038D" w:rsidRDefault="00CA4E24" w:rsidP="00CB1F61">
            <w:pPr>
              <w:pStyle w:val="Session"/>
              <w:framePr w:hSpace="0" w:wrap="auto" w:vAnchor="margin" w:hAnchor="text" w:yAlign="inline"/>
              <w:widowControl w:val="0"/>
              <w:suppressAutoHyphens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591" w:type="pct"/>
            <w:vMerge/>
            <w:tcBorders>
              <w:bottom w:val="single" w:sz="4" w:space="0" w:color="2F5496"/>
            </w:tcBorders>
          </w:tcPr>
          <w:p w14:paraId="2721E466" w14:textId="719D0E27" w:rsidR="00CA4E24" w:rsidRPr="0026038D" w:rsidRDefault="00CA4E24" w:rsidP="00CB1F61">
            <w:pPr>
              <w:pStyle w:val="TableBullet"/>
              <w:widowControl w:val="0"/>
              <w:suppressAutoHyphens/>
              <w:ind w:left="360" w:hanging="360"/>
              <w:contextualSpacing/>
              <w:rPr>
                <w:rFonts w:cstheme="majorHAnsi"/>
                <w:b/>
                <w:bCs/>
              </w:rPr>
            </w:pPr>
          </w:p>
        </w:tc>
        <w:tc>
          <w:tcPr>
            <w:tcW w:w="617" w:type="pct"/>
            <w:vMerge/>
            <w:tcBorders>
              <w:bottom w:val="single" w:sz="4" w:space="0" w:color="2F5496"/>
            </w:tcBorders>
          </w:tcPr>
          <w:p w14:paraId="3A58DD3E" w14:textId="77777777" w:rsidR="00CA4E24" w:rsidRPr="0026038D" w:rsidRDefault="00CA4E24" w:rsidP="00CB1F61">
            <w:pPr>
              <w:pStyle w:val="TableBullet"/>
              <w:widowControl w:val="0"/>
              <w:suppressAutoHyphens/>
              <w:ind w:left="360" w:hanging="360"/>
              <w:contextualSpacing/>
              <w:rPr>
                <w:rFonts w:cstheme="majorHAnsi"/>
                <w:b/>
                <w:bCs/>
              </w:rPr>
            </w:pPr>
          </w:p>
        </w:tc>
        <w:tc>
          <w:tcPr>
            <w:tcW w:w="561" w:type="pct"/>
            <w:tcBorders>
              <w:bottom w:val="single" w:sz="4" w:space="0" w:color="2F5496"/>
            </w:tcBorders>
          </w:tcPr>
          <w:p w14:paraId="7D4BF3A7" w14:textId="6B662252" w:rsidR="00CB1F61" w:rsidRPr="0026038D" w:rsidRDefault="00CB1F61" w:rsidP="00CB1F61">
            <w:pPr>
              <w:pStyle w:val="TableParagraph"/>
              <w:suppressAutoHyphens/>
              <w:spacing w:before="15"/>
              <w:ind w:left="0" w:right="109"/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</w:pPr>
            <w:r w:rsidRPr="0026038D"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>1</w:t>
            </w:r>
            <w:r w:rsidR="008B22E5"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>8</w:t>
            </w:r>
            <w:r w:rsidRPr="0026038D"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>. Q&amp;A</w:t>
            </w:r>
            <w:r w:rsidR="00213875"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 xml:space="preserve"> </w:t>
            </w:r>
            <w:r w:rsidR="00FA7DC1"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>and</w:t>
            </w:r>
            <w:r w:rsidR="00213875">
              <w:rPr>
                <w:rFonts w:asciiTheme="majorHAnsi" w:hAnsiTheme="majorHAnsi" w:cstheme="majorHAnsi"/>
                <w:b/>
                <w:bCs/>
                <w:color w:val="0B5294" w:themeColor="accent1" w:themeShade="BF"/>
                <w:sz w:val="18"/>
                <w:szCs w:val="18"/>
              </w:rPr>
              <w:t xml:space="preserve"> closing</w:t>
            </w:r>
          </w:p>
          <w:p w14:paraId="66B16107" w14:textId="694E28E6" w:rsidR="00CA4E24" w:rsidRPr="008B22E5" w:rsidRDefault="00CB1F61" w:rsidP="008B22E5">
            <w:pPr>
              <w:pStyle w:val="TableParagraph"/>
              <w:suppressAutoHyphens/>
              <w:spacing w:before="15"/>
              <w:ind w:left="0" w:right="219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B22E5">
              <w:rPr>
                <w:rFonts w:asciiTheme="majorHAnsi" w:hAnsiTheme="majorHAnsi" w:cstheme="majorHAnsi"/>
                <w:bCs/>
                <w:sz w:val="18"/>
                <w:szCs w:val="18"/>
              </w:rPr>
              <w:t>HNP Leadership Team</w:t>
            </w:r>
            <w:r w:rsidR="008B22E5" w:rsidRPr="008B22E5">
              <w:rPr>
                <w:rFonts w:asciiTheme="majorHAnsi" w:hAnsiTheme="majorHAnsi" w:cstheme="majorHAnsi"/>
                <w:bCs/>
                <w:sz w:val="18"/>
                <w:szCs w:val="18"/>
              </w:rPr>
              <w:t>.</w:t>
            </w:r>
            <w:r w:rsidR="008B22E5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Pr="008B22E5">
              <w:rPr>
                <w:rFonts w:cstheme="majorHAnsi"/>
                <w:bCs/>
                <w:sz w:val="18"/>
                <w:szCs w:val="18"/>
              </w:rPr>
              <w:t>Discussion of key challenges</w:t>
            </w:r>
            <w:r w:rsidR="008B22E5">
              <w:rPr>
                <w:rFonts w:cstheme="majorHAnsi"/>
                <w:bCs/>
                <w:sz w:val="18"/>
                <w:szCs w:val="18"/>
              </w:rPr>
              <w:t xml:space="preserve"> &amp; </w:t>
            </w:r>
            <w:r w:rsidRPr="008B22E5">
              <w:rPr>
                <w:rFonts w:cstheme="majorHAnsi"/>
                <w:bCs/>
                <w:sz w:val="18"/>
                <w:szCs w:val="18"/>
              </w:rPr>
              <w:t>priorities</w:t>
            </w:r>
            <w:r w:rsidR="008B22E5">
              <w:rPr>
                <w:rFonts w:cstheme="majorHAnsi"/>
                <w:bCs/>
                <w:sz w:val="18"/>
                <w:szCs w:val="18"/>
              </w:rPr>
              <w:t xml:space="preserve">. Course </w:t>
            </w:r>
            <w:r w:rsidR="00213875" w:rsidRPr="008B22E5">
              <w:rPr>
                <w:rFonts w:cstheme="majorHAnsi"/>
                <w:bCs/>
                <w:sz w:val="18"/>
                <w:szCs w:val="18"/>
              </w:rPr>
              <w:t>closing</w:t>
            </w:r>
          </w:p>
        </w:tc>
      </w:tr>
    </w:tbl>
    <w:p w14:paraId="75F35A9F" w14:textId="76C71D32" w:rsidR="002503B8" w:rsidRPr="00870598" w:rsidRDefault="00114929" w:rsidP="00870598">
      <w:r>
        <w:rPr>
          <w:b/>
          <w:bCs/>
        </w:rPr>
        <w:t xml:space="preserve">Home </w:t>
      </w:r>
      <w:r w:rsidR="00176ECD" w:rsidRPr="00176ECD">
        <w:rPr>
          <w:b/>
          <w:bCs/>
        </w:rPr>
        <w:t>Group work:</w:t>
      </w:r>
      <w:r w:rsidR="00176ECD" w:rsidRPr="00176ECD">
        <w:t xml:space="preserve"> To be conducted outside the 3</w:t>
      </w:r>
      <w:r>
        <w:t xml:space="preserve"> </w:t>
      </w:r>
      <w:r w:rsidR="00176ECD" w:rsidRPr="00176ECD">
        <w:t xml:space="preserve">hours </w:t>
      </w:r>
      <w:r>
        <w:t>of class time. Culminates in Group Presentations</w:t>
      </w:r>
      <w:r w:rsidR="00176ECD" w:rsidRPr="00176ECD">
        <w:t xml:space="preserve"> on the last day</w:t>
      </w:r>
      <w:r>
        <w:t>.</w:t>
      </w:r>
    </w:p>
    <w:sectPr w:rsidR="002503B8" w:rsidRPr="00870598" w:rsidSect="00030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107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F154" w14:textId="77777777" w:rsidR="00ED640A" w:rsidRDefault="00ED640A">
      <w:pPr>
        <w:spacing w:after="0" w:line="240" w:lineRule="auto"/>
      </w:pPr>
      <w:r>
        <w:separator/>
      </w:r>
    </w:p>
  </w:endnote>
  <w:endnote w:type="continuationSeparator" w:id="0">
    <w:p w14:paraId="2FDFF926" w14:textId="77777777" w:rsidR="00ED640A" w:rsidRDefault="00ED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0ED7" w14:textId="77777777" w:rsidR="00E84863" w:rsidRDefault="00E84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4638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8"/>
      </w:rPr>
    </w:sdtEndPr>
    <w:sdtContent>
      <w:p w14:paraId="7D2D3F6A" w14:textId="714C9111" w:rsidR="00401EB8" w:rsidRPr="00401EB8" w:rsidRDefault="00401EB8">
        <w:pPr>
          <w:pStyle w:val="Footer"/>
          <w:jc w:val="center"/>
          <w:rPr>
            <w:rFonts w:asciiTheme="minorHAnsi" w:hAnsiTheme="minorHAnsi" w:cstheme="minorHAnsi"/>
            <w:sz w:val="20"/>
            <w:szCs w:val="28"/>
          </w:rPr>
        </w:pPr>
        <w:r w:rsidRPr="00401EB8">
          <w:rPr>
            <w:rFonts w:asciiTheme="minorHAnsi" w:hAnsiTheme="minorHAnsi" w:cstheme="minorHAnsi"/>
            <w:sz w:val="20"/>
            <w:szCs w:val="28"/>
          </w:rPr>
          <w:fldChar w:fldCharType="begin"/>
        </w:r>
        <w:r w:rsidRPr="00401EB8">
          <w:rPr>
            <w:rFonts w:asciiTheme="minorHAnsi" w:hAnsiTheme="minorHAnsi" w:cstheme="minorHAnsi"/>
            <w:sz w:val="20"/>
            <w:szCs w:val="28"/>
          </w:rPr>
          <w:instrText>PAGE   \* MERGEFORMAT</w:instrText>
        </w:r>
        <w:r w:rsidRPr="00401EB8">
          <w:rPr>
            <w:rFonts w:asciiTheme="minorHAnsi" w:hAnsiTheme="minorHAnsi" w:cstheme="minorHAnsi"/>
            <w:sz w:val="20"/>
            <w:szCs w:val="28"/>
          </w:rPr>
          <w:fldChar w:fldCharType="separate"/>
        </w:r>
        <w:r w:rsidRPr="00401EB8">
          <w:rPr>
            <w:rFonts w:asciiTheme="minorHAnsi" w:hAnsiTheme="minorHAnsi" w:cstheme="minorHAnsi"/>
            <w:sz w:val="20"/>
            <w:szCs w:val="28"/>
            <w:lang w:val="es-ES"/>
          </w:rPr>
          <w:t>2</w:t>
        </w:r>
        <w:r w:rsidRPr="00401EB8">
          <w:rPr>
            <w:rFonts w:asciiTheme="minorHAnsi" w:hAnsiTheme="minorHAnsi" w:cstheme="minorHAnsi"/>
            <w:sz w:val="20"/>
            <w:szCs w:val="28"/>
          </w:rPr>
          <w:fldChar w:fldCharType="end"/>
        </w:r>
      </w:p>
    </w:sdtContent>
  </w:sdt>
  <w:p w14:paraId="007CF651" w14:textId="77777777" w:rsidR="00401EB8" w:rsidRDefault="00401E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CF45" w14:textId="77777777" w:rsidR="00E84863" w:rsidRDefault="00E84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E361" w14:textId="77777777" w:rsidR="00ED640A" w:rsidRDefault="00ED640A">
      <w:pPr>
        <w:spacing w:after="0" w:line="240" w:lineRule="auto"/>
      </w:pPr>
      <w:r>
        <w:separator/>
      </w:r>
    </w:p>
  </w:footnote>
  <w:footnote w:type="continuationSeparator" w:id="0">
    <w:p w14:paraId="383F5E0A" w14:textId="77777777" w:rsidR="00ED640A" w:rsidRDefault="00ED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BB19" w14:textId="77777777" w:rsidR="00E84863" w:rsidRDefault="00E84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65CF" w14:textId="77777777" w:rsidR="00B01442" w:rsidRDefault="00B014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C32C" w14:textId="77777777" w:rsidR="00E84863" w:rsidRDefault="00E84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678"/>
    <w:multiLevelType w:val="hybridMultilevel"/>
    <w:tmpl w:val="E86C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5FD"/>
    <w:multiLevelType w:val="hybridMultilevel"/>
    <w:tmpl w:val="4552C8CA"/>
    <w:lvl w:ilvl="0" w:tplc="62A242BE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36962"/>
    <w:multiLevelType w:val="hybridMultilevel"/>
    <w:tmpl w:val="7C5E8210"/>
    <w:lvl w:ilvl="0" w:tplc="66787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B49AE"/>
    <w:multiLevelType w:val="hybridMultilevel"/>
    <w:tmpl w:val="00C60A44"/>
    <w:lvl w:ilvl="0" w:tplc="630C2DD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621B"/>
    <w:multiLevelType w:val="hybridMultilevel"/>
    <w:tmpl w:val="0110FE50"/>
    <w:lvl w:ilvl="0" w:tplc="F1BEB92C">
      <w:start w:val="1"/>
      <w:numFmt w:val="bullet"/>
      <w:pStyle w:val="TableBullet"/>
      <w:lvlText w:val=""/>
      <w:lvlJc w:val="left"/>
      <w:pPr>
        <w:ind w:left="144" w:hanging="144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35E7A"/>
    <w:multiLevelType w:val="hybridMultilevel"/>
    <w:tmpl w:val="5F862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B6414"/>
    <w:multiLevelType w:val="hybridMultilevel"/>
    <w:tmpl w:val="625E4C6C"/>
    <w:lvl w:ilvl="0" w:tplc="546C388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AC"/>
    <w:rsid w:val="000044EB"/>
    <w:rsid w:val="000109F7"/>
    <w:rsid w:val="00017B2A"/>
    <w:rsid w:val="000232CB"/>
    <w:rsid w:val="00030A6D"/>
    <w:rsid w:val="000515A8"/>
    <w:rsid w:val="000868A6"/>
    <w:rsid w:val="000C23B6"/>
    <w:rsid w:val="000D7798"/>
    <w:rsid w:val="000E2FDC"/>
    <w:rsid w:val="000F3899"/>
    <w:rsid w:val="001034FD"/>
    <w:rsid w:val="00110A05"/>
    <w:rsid w:val="001120F6"/>
    <w:rsid w:val="00114929"/>
    <w:rsid w:val="001173DD"/>
    <w:rsid w:val="001214EC"/>
    <w:rsid w:val="001276DB"/>
    <w:rsid w:val="001377D3"/>
    <w:rsid w:val="0014226E"/>
    <w:rsid w:val="00146AF1"/>
    <w:rsid w:val="0015210C"/>
    <w:rsid w:val="00155916"/>
    <w:rsid w:val="001601E4"/>
    <w:rsid w:val="001653DA"/>
    <w:rsid w:val="0016683A"/>
    <w:rsid w:val="00166976"/>
    <w:rsid w:val="00175704"/>
    <w:rsid w:val="00176ECD"/>
    <w:rsid w:val="001920F6"/>
    <w:rsid w:val="00194D1D"/>
    <w:rsid w:val="00196F52"/>
    <w:rsid w:val="001C2499"/>
    <w:rsid w:val="001C3674"/>
    <w:rsid w:val="001D0597"/>
    <w:rsid w:val="001F7E0A"/>
    <w:rsid w:val="002030F9"/>
    <w:rsid w:val="0020596C"/>
    <w:rsid w:val="00213875"/>
    <w:rsid w:val="002228DC"/>
    <w:rsid w:val="00225C0B"/>
    <w:rsid w:val="002416C1"/>
    <w:rsid w:val="00243611"/>
    <w:rsid w:val="002503B8"/>
    <w:rsid w:val="00252348"/>
    <w:rsid w:val="0026038D"/>
    <w:rsid w:val="00260DB3"/>
    <w:rsid w:val="002676C5"/>
    <w:rsid w:val="00271732"/>
    <w:rsid w:val="0027215A"/>
    <w:rsid w:val="0028333D"/>
    <w:rsid w:val="00285FD8"/>
    <w:rsid w:val="002872AD"/>
    <w:rsid w:val="002A4868"/>
    <w:rsid w:val="002D3459"/>
    <w:rsid w:val="002D5C1B"/>
    <w:rsid w:val="002F04FF"/>
    <w:rsid w:val="002F5065"/>
    <w:rsid w:val="002F537B"/>
    <w:rsid w:val="00301D5F"/>
    <w:rsid w:val="00314060"/>
    <w:rsid w:val="00316325"/>
    <w:rsid w:val="00317388"/>
    <w:rsid w:val="00330E98"/>
    <w:rsid w:val="003347B4"/>
    <w:rsid w:val="00347EC1"/>
    <w:rsid w:val="00394622"/>
    <w:rsid w:val="00397611"/>
    <w:rsid w:val="003A108E"/>
    <w:rsid w:val="003A2BAE"/>
    <w:rsid w:val="003C1304"/>
    <w:rsid w:val="003C1E4D"/>
    <w:rsid w:val="003D385B"/>
    <w:rsid w:val="003E0277"/>
    <w:rsid w:val="003F6130"/>
    <w:rsid w:val="00401EB8"/>
    <w:rsid w:val="0040244A"/>
    <w:rsid w:val="00404D5A"/>
    <w:rsid w:val="004310AD"/>
    <w:rsid w:val="00444DB4"/>
    <w:rsid w:val="00452FA6"/>
    <w:rsid w:val="00466CF0"/>
    <w:rsid w:val="00475209"/>
    <w:rsid w:val="0048547F"/>
    <w:rsid w:val="004C4408"/>
    <w:rsid w:val="004C6A64"/>
    <w:rsid w:val="004D4AD7"/>
    <w:rsid w:val="004D674B"/>
    <w:rsid w:val="004E30A5"/>
    <w:rsid w:val="004E4D8D"/>
    <w:rsid w:val="005024D7"/>
    <w:rsid w:val="005056AC"/>
    <w:rsid w:val="0052086E"/>
    <w:rsid w:val="0054045E"/>
    <w:rsid w:val="005410D9"/>
    <w:rsid w:val="00557CA4"/>
    <w:rsid w:val="00567745"/>
    <w:rsid w:val="005735C6"/>
    <w:rsid w:val="00582C71"/>
    <w:rsid w:val="005A496C"/>
    <w:rsid w:val="005B2A5A"/>
    <w:rsid w:val="005D66AC"/>
    <w:rsid w:val="005D7C22"/>
    <w:rsid w:val="005F15C6"/>
    <w:rsid w:val="00602FF3"/>
    <w:rsid w:val="0060667D"/>
    <w:rsid w:val="006134DA"/>
    <w:rsid w:val="006137B8"/>
    <w:rsid w:val="00621281"/>
    <w:rsid w:val="006361F2"/>
    <w:rsid w:val="00647F13"/>
    <w:rsid w:val="006618FF"/>
    <w:rsid w:val="00665A4F"/>
    <w:rsid w:val="00670455"/>
    <w:rsid w:val="00671352"/>
    <w:rsid w:val="00680A68"/>
    <w:rsid w:val="006B1850"/>
    <w:rsid w:val="006B4BCF"/>
    <w:rsid w:val="006B4E6C"/>
    <w:rsid w:val="006C7FCC"/>
    <w:rsid w:val="006E1C1E"/>
    <w:rsid w:val="006F037B"/>
    <w:rsid w:val="006F4874"/>
    <w:rsid w:val="00721857"/>
    <w:rsid w:val="0072677D"/>
    <w:rsid w:val="00733DDA"/>
    <w:rsid w:val="00740351"/>
    <w:rsid w:val="00756B5A"/>
    <w:rsid w:val="00757AEB"/>
    <w:rsid w:val="00783609"/>
    <w:rsid w:val="007839DA"/>
    <w:rsid w:val="00791424"/>
    <w:rsid w:val="007A7AE2"/>
    <w:rsid w:val="007B520C"/>
    <w:rsid w:val="007B6842"/>
    <w:rsid w:val="007D1033"/>
    <w:rsid w:val="007D6656"/>
    <w:rsid w:val="007E1249"/>
    <w:rsid w:val="007E5BE4"/>
    <w:rsid w:val="007F0C03"/>
    <w:rsid w:val="007F2F81"/>
    <w:rsid w:val="0081215A"/>
    <w:rsid w:val="00816D3C"/>
    <w:rsid w:val="00832153"/>
    <w:rsid w:val="00842FEC"/>
    <w:rsid w:val="008678F9"/>
    <w:rsid w:val="00870598"/>
    <w:rsid w:val="00871E92"/>
    <w:rsid w:val="00882DB4"/>
    <w:rsid w:val="00894725"/>
    <w:rsid w:val="00895373"/>
    <w:rsid w:val="008B22E5"/>
    <w:rsid w:val="008C09FA"/>
    <w:rsid w:val="008D10B0"/>
    <w:rsid w:val="008D7FDA"/>
    <w:rsid w:val="008E4EBB"/>
    <w:rsid w:val="008E59A6"/>
    <w:rsid w:val="008E6361"/>
    <w:rsid w:val="008F37D1"/>
    <w:rsid w:val="008F478E"/>
    <w:rsid w:val="0091081D"/>
    <w:rsid w:val="00917AAA"/>
    <w:rsid w:val="00934B6F"/>
    <w:rsid w:val="00952DCA"/>
    <w:rsid w:val="009651FD"/>
    <w:rsid w:val="00974F4C"/>
    <w:rsid w:val="009756D8"/>
    <w:rsid w:val="00980A7D"/>
    <w:rsid w:val="00986597"/>
    <w:rsid w:val="009B4A2D"/>
    <w:rsid w:val="009E244A"/>
    <w:rsid w:val="009E7C89"/>
    <w:rsid w:val="009F5E9F"/>
    <w:rsid w:val="00A10C36"/>
    <w:rsid w:val="00A30585"/>
    <w:rsid w:val="00A30DB2"/>
    <w:rsid w:val="00A31EF3"/>
    <w:rsid w:val="00A3466B"/>
    <w:rsid w:val="00A50B31"/>
    <w:rsid w:val="00A53C46"/>
    <w:rsid w:val="00A56E3A"/>
    <w:rsid w:val="00A61DF0"/>
    <w:rsid w:val="00A71671"/>
    <w:rsid w:val="00A72749"/>
    <w:rsid w:val="00A839EE"/>
    <w:rsid w:val="00A8682D"/>
    <w:rsid w:val="00AA299F"/>
    <w:rsid w:val="00AC009B"/>
    <w:rsid w:val="00AD3DB1"/>
    <w:rsid w:val="00AE4884"/>
    <w:rsid w:val="00AF1BC3"/>
    <w:rsid w:val="00B01442"/>
    <w:rsid w:val="00B01668"/>
    <w:rsid w:val="00B13F58"/>
    <w:rsid w:val="00B22D6B"/>
    <w:rsid w:val="00B43A97"/>
    <w:rsid w:val="00B60AD5"/>
    <w:rsid w:val="00B7050E"/>
    <w:rsid w:val="00B76518"/>
    <w:rsid w:val="00B93A50"/>
    <w:rsid w:val="00BC657D"/>
    <w:rsid w:val="00BD48FE"/>
    <w:rsid w:val="00BE08C4"/>
    <w:rsid w:val="00BF2AD2"/>
    <w:rsid w:val="00BF509C"/>
    <w:rsid w:val="00C01CEC"/>
    <w:rsid w:val="00C32954"/>
    <w:rsid w:val="00C37933"/>
    <w:rsid w:val="00C50E13"/>
    <w:rsid w:val="00C57CE5"/>
    <w:rsid w:val="00C75F61"/>
    <w:rsid w:val="00C76E75"/>
    <w:rsid w:val="00CA0189"/>
    <w:rsid w:val="00CA4E24"/>
    <w:rsid w:val="00CB1F61"/>
    <w:rsid w:val="00CC32A6"/>
    <w:rsid w:val="00CF55A1"/>
    <w:rsid w:val="00D03FC8"/>
    <w:rsid w:val="00D27CDB"/>
    <w:rsid w:val="00D36B0F"/>
    <w:rsid w:val="00D76D8B"/>
    <w:rsid w:val="00DB2E81"/>
    <w:rsid w:val="00DD2613"/>
    <w:rsid w:val="00DD2E37"/>
    <w:rsid w:val="00DD5C2C"/>
    <w:rsid w:val="00DE3C36"/>
    <w:rsid w:val="00DF132E"/>
    <w:rsid w:val="00DF1B4D"/>
    <w:rsid w:val="00DF7B26"/>
    <w:rsid w:val="00E12C39"/>
    <w:rsid w:val="00E13F5D"/>
    <w:rsid w:val="00E22EB9"/>
    <w:rsid w:val="00E35C07"/>
    <w:rsid w:val="00E42B2B"/>
    <w:rsid w:val="00E46F4B"/>
    <w:rsid w:val="00E56F2F"/>
    <w:rsid w:val="00E57832"/>
    <w:rsid w:val="00E8196B"/>
    <w:rsid w:val="00E84863"/>
    <w:rsid w:val="00E901CD"/>
    <w:rsid w:val="00EA5009"/>
    <w:rsid w:val="00EA6CEE"/>
    <w:rsid w:val="00ED640A"/>
    <w:rsid w:val="00ED71BD"/>
    <w:rsid w:val="00EE0B50"/>
    <w:rsid w:val="00F013E0"/>
    <w:rsid w:val="00F1022E"/>
    <w:rsid w:val="00F3630A"/>
    <w:rsid w:val="00F36C93"/>
    <w:rsid w:val="00F453F7"/>
    <w:rsid w:val="00F46701"/>
    <w:rsid w:val="00F46B38"/>
    <w:rsid w:val="00F66863"/>
    <w:rsid w:val="00F84CD7"/>
    <w:rsid w:val="00F8597F"/>
    <w:rsid w:val="00F8738C"/>
    <w:rsid w:val="00F90E94"/>
    <w:rsid w:val="00F94585"/>
    <w:rsid w:val="00FA4CD1"/>
    <w:rsid w:val="00FA5005"/>
    <w:rsid w:val="00FA7DC1"/>
    <w:rsid w:val="00FC2BC3"/>
    <w:rsid w:val="00FD14DA"/>
    <w:rsid w:val="00FD31FD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8F8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55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21857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17406D" w:themeColor="text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480"/>
      <w:outlineLvl w:val="1"/>
    </w:pPr>
    <w:rPr>
      <w:rFonts w:cstheme="majorBidi"/>
      <w:color w:val="17406D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B5294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17406D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0B5294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17406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0B5294" w:themeColor="accent1" w:themeShade="BF"/>
      <w:spacing w:val="0"/>
    </w:rPr>
  </w:style>
  <w:style w:type="paragraph" w:customStyle="1" w:styleId="ContactInfo">
    <w:name w:val="Contact Info"/>
    <w:basedOn w:val="Normal"/>
    <w:uiPriority w:val="10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rsid w:val="00347EC1"/>
    <w:pPr>
      <w:spacing w:before="540" w:after="360" w:line="240" w:lineRule="auto"/>
    </w:pPr>
    <w:rPr>
      <w:color w:val="0B5294" w:themeColor="accent1" w:themeShade="BF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sid w:val="00347EC1"/>
    <w:rPr>
      <w:color w:val="0B5294" w:themeColor="accent1" w:themeShade="BF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7EC1"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2"/>
    <w:qFormat/>
    <w:pPr>
      <w:spacing w:after="120" w:line="240" w:lineRule="auto"/>
    </w:pPr>
    <w:rPr>
      <w:rFonts w:ascii="Garamond" w:hAnsi="Garamond"/>
      <w:color w:val="0B5294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347EC1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rsid w:val="00347EC1"/>
    <w:pPr>
      <w:spacing w:after="0" w:line="240" w:lineRule="auto"/>
    </w:pPr>
    <w:rPr>
      <w:rFonts w:ascii="Garamond" w:hAnsi="Garamond"/>
      <w:caps/>
      <w:color w:val="000000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EC1"/>
    <w:rPr>
      <w:rFonts w:ascii="Garamond" w:hAnsi="Garamond"/>
      <w:caps/>
      <w:color w:val="000000" w:themeColor="text1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47EC1"/>
    <w:rPr>
      <w:b w:val="0"/>
      <w:i w:val="0"/>
      <w:iCs/>
      <w:color w:val="0B5294" w:themeColor="accent1" w:themeShade="BF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sid w:val="00721857"/>
    <w:rPr>
      <w:rFonts w:asciiTheme="majorHAnsi" w:eastAsiaTheme="majorEastAsia" w:hAnsiTheme="majorHAnsi" w:cstheme="majorBidi"/>
      <w:color w:val="17406D" w:themeColor="text2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theme="majorBidi"/>
      <w:color w:val="17406D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B5294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17406D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0B5294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17406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0B5294" w:themeColor="accent1" w:themeShade="BF"/>
        <w:bottom w:val="single" w:sz="4" w:space="10" w:color="0B5294" w:themeColor="accent1" w:themeShade="BF"/>
      </w:pBdr>
      <w:spacing w:before="360" w:after="360"/>
    </w:pPr>
    <w:rPr>
      <w:i/>
      <w:iCs/>
      <w:color w:val="0B529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0B5294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47EC1"/>
    <w:rPr>
      <w:i/>
      <w:iCs/>
      <w:color w:val="0B5294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347EC1"/>
    <w:pPr>
      <w:pBdr>
        <w:top w:val="single" w:sz="2" w:space="10" w:color="0B5294" w:themeColor="accent1" w:themeShade="BF"/>
        <w:left w:val="single" w:sz="2" w:space="10" w:color="0B5294" w:themeColor="accent1" w:themeShade="BF"/>
        <w:bottom w:val="single" w:sz="2" w:space="10" w:color="0B5294" w:themeColor="accent1" w:themeShade="BF"/>
        <w:right w:val="single" w:sz="2" w:space="10" w:color="0B5294" w:themeColor="accent1" w:themeShade="BF"/>
      </w:pBdr>
      <w:ind w:left="1152" w:right="1152"/>
    </w:pPr>
    <w:rPr>
      <w:i/>
      <w:iCs/>
      <w:color w:val="0B5294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EC1"/>
    <w:rPr>
      <w:color w:val="595959" w:themeColor="text1" w:themeTint="A6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CF55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215A"/>
    <w:pPr>
      <w:spacing w:after="160"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215A"/>
    <w:rPr>
      <w:sz w:val="20"/>
      <w:szCs w:val="20"/>
      <w:lang w:eastAsia="en-US"/>
    </w:rPr>
  </w:style>
  <w:style w:type="table" w:styleId="GridTable4-Accent6">
    <w:name w:val="Grid Table 4 Accent 6"/>
    <w:basedOn w:val="TableNormal"/>
    <w:uiPriority w:val="49"/>
    <w:rsid w:val="00314060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01EB8"/>
    <w:pPr>
      <w:spacing w:after="120" w:line="240" w:lineRule="auto"/>
      <w:jc w:val="center"/>
    </w:pPr>
    <w:rPr>
      <w:b/>
      <w:bCs/>
      <w:color w:val="17406D" w:themeColor="text2"/>
      <w:sz w:val="20"/>
      <w:szCs w:val="18"/>
    </w:rPr>
  </w:style>
  <w:style w:type="table" w:customStyle="1" w:styleId="Tablaconcuadrcula1">
    <w:name w:val="Tabla con cuadrícula1"/>
    <w:basedOn w:val="TableNormal"/>
    <w:next w:val="TableGrid"/>
    <w:uiPriority w:val="59"/>
    <w:rsid w:val="000044EB"/>
    <w:pPr>
      <w:spacing w:after="0" w:line="240" w:lineRule="auto"/>
    </w:pPr>
    <w:rPr>
      <w:rFonts w:eastAsia="Calibri"/>
      <w:lang w:eastAsia="en-US" w:bidi="ta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ssion">
    <w:name w:val="Session"/>
    <w:link w:val="SessionCar"/>
    <w:qFormat/>
    <w:rsid w:val="00EA6CEE"/>
    <w:pPr>
      <w:framePr w:hSpace="180" w:wrap="around" w:vAnchor="page" w:hAnchor="margin" w:y="1966"/>
      <w:tabs>
        <w:tab w:val="left" w:pos="227"/>
      </w:tabs>
      <w:spacing w:after="0" w:line="240" w:lineRule="auto"/>
      <w:ind w:left="227" w:hanging="227"/>
      <w:contextualSpacing/>
    </w:pPr>
    <w:rPr>
      <w:rFonts w:ascii="Calibri Light" w:eastAsia="Calibri" w:hAnsi="Calibri Light" w:cs="Calibri Light"/>
      <w:b/>
      <w:bCs/>
      <w:color w:val="0B5294" w:themeColor="accent1" w:themeShade="BF"/>
      <w:sz w:val="18"/>
      <w:szCs w:val="18"/>
      <w:lang w:eastAsia="en-US" w:bidi="ta-IN"/>
    </w:rPr>
  </w:style>
  <w:style w:type="paragraph" w:customStyle="1" w:styleId="TableBullet">
    <w:name w:val="TableBullet"/>
    <w:qFormat/>
    <w:rsid w:val="00E35C07"/>
    <w:pPr>
      <w:numPr>
        <w:numId w:val="5"/>
      </w:numPr>
      <w:spacing w:after="0" w:line="240" w:lineRule="auto"/>
    </w:pPr>
    <w:rPr>
      <w:rFonts w:asciiTheme="majorHAnsi" w:eastAsia="Times New Roman" w:hAnsiTheme="majorHAnsi" w:cstheme="minorHAnsi"/>
      <w:color w:val="000000" w:themeColor="text1"/>
      <w:sz w:val="18"/>
      <w:szCs w:val="18"/>
      <w:lang w:eastAsia="en-US" w:bidi="ta-IN"/>
    </w:rPr>
  </w:style>
  <w:style w:type="character" w:customStyle="1" w:styleId="SessionCar">
    <w:name w:val="Session Car"/>
    <w:basedOn w:val="DefaultParagraphFont"/>
    <w:link w:val="Session"/>
    <w:rsid w:val="00EA6CEE"/>
    <w:rPr>
      <w:rFonts w:ascii="Calibri Light" w:eastAsia="Calibri" w:hAnsi="Calibri Light" w:cs="Calibri Light"/>
      <w:b/>
      <w:bCs/>
      <w:color w:val="0B5294" w:themeColor="accent1" w:themeShade="BF"/>
      <w:sz w:val="18"/>
      <w:szCs w:val="18"/>
      <w:lang w:eastAsia="en-US" w:bidi="ta-IN"/>
    </w:rPr>
  </w:style>
  <w:style w:type="paragraph" w:customStyle="1" w:styleId="TableParagraph">
    <w:name w:val="Table Paragraph"/>
    <w:basedOn w:val="Normal"/>
    <w:uiPriority w:val="1"/>
    <w:qFormat/>
    <w:rsid w:val="001377D3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ardo%20Bitran\Downloads\tf16392792_win32.dotx" TargetMode="External"/></Relationships>
</file>

<file path=word/theme/theme1.xml><?xml version="1.0" encoding="utf-8"?>
<a:theme xmlns:a="http://schemas.openxmlformats.org/drawingml/2006/main" name="Office Them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E74DE-7F8E-4E60-AF15-D499F116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tf16392792_win32.dotx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2022-07-01T19:23:00Z</dcterms:created>
  <dcterms:modified xsi:type="dcterms:W3CDTF">2022-07-01T19:23:00Z</dcterms:modified>
</cp:coreProperties>
</file>