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2A11" w14:textId="7AC6EA4B" w:rsidR="00420FD4" w:rsidRDefault="00420FD4" w:rsidP="00420FD4">
      <w:pPr>
        <w:jc w:val="center"/>
        <w:rPr>
          <w:b/>
          <w:bCs/>
          <w:sz w:val="36"/>
          <w:szCs w:val="36"/>
          <w:lang w:val="en-US"/>
        </w:rPr>
      </w:pPr>
      <w:r>
        <w:rPr>
          <w:b/>
          <w:bCs/>
          <w:sz w:val="36"/>
          <w:szCs w:val="36"/>
          <w:lang w:val="en-US"/>
        </w:rPr>
        <w:t>World Bank Flagship Course on Primary Health Care</w:t>
      </w:r>
      <w:r w:rsidR="008E0791">
        <w:rPr>
          <w:b/>
          <w:bCs/>
          <w:sz w:val="36"/>
          <w:szCs w:val="36"/>
          <w:lang w:val="en-US"/>
        </w:rPr>
        <w:t xml:space="preserve"> (PHC)</w:t>
      </w:r>
      <w:r>
        <w:rPr>
          <w:b/>
          <w:bCs/>
          <w:sz w:val="36"/>
          <w:szCs w:val="36"/>
          <w:lang w:val="en-US"/>
        </w:rPr>
        <w:t xml:space="preserve"> </w:t>
      </w:r>
    </w:p>
    <w:p w14:paraId="249B8E96" w14:textId="76719C40" w:rsidR="00181B2F" w:rsidRDefault="00181B2F" w:rsidP="00420FD4">
      <w:pPr>
        <w:jc w:val="center"/>
        <w:rPr>
          <w:b/>
          <w:bCs/>
          <w:sz w:val="36"/>
          <w:szCs w:val="36"/>
          <w:lang w:val="en-US"/>
        </w:rPr>
      </w:pPr>
      <w:r>
        <w:rPr>
          <w:b/>
          <w:bCs/>
          <w:sz w:val="36"/>
          <w:szCs w:val="36"/>
          <w:lang w:val="en-US"/>
        </w:rPr>
        <w:t>Syllabus</w:t>
      </w:r>
    </w:p>
    <w:p w14:paraId="7F843E21" w14:textId="567FF1CF" w:rsidR="00ED68A6" w:rsidRPr="00ED68A6" w:rsidRDefault="00ED68A6" w:rsidP="00420FD4">
      <w:pPr>
        <w:jc w:val="center"/>
        <w:rPr>
          <w:i/>
          <w:iCs/>
          <w:lang w:val="en-US"/>
        </w:rPr>
      </w:pPr>
      <w:r w:rsidRPr="00ED68A6">
        <w:rPr>
          <w:i/>
          <w:iCs/>
          <w:lang w:val="en-US"/>
        </w:rPr>
        <w:t xml:space="preserve">Updated as of April </w:t>
      </w:r>
      <w:r w:rsidR="00FC6F5F">
        <w:rPr>
          <w:i/>
          <w:iCs/>
          <w:lang w:val="en-US"/>
        </w:rPr>
        <w:t>21</w:t>
      </w:r>
      <w:r w:rsidRPr="00ED68A6">
        <w:rPr>
          <w:i/>
          <w:iCs/>
          <w:lang w:val="en-US"/>
        </w:rPr>
        <w:t>, 2022</w:t>
      </w:r>
    </w:p>
    <w:tbl>
      <w:tblPr>
        <w:tblStyle w:val="TableGrid"/>
        <w:tblW w:w="9450" w:type="dxa"/>
        <w:tblInd w:w="-455" w:type="dxa"/>
        <w:tblLook w:val="04A0" w:firstRow="1" w:lastRow="0" w:firstColumn="1" w:lastColumn="0" w:noHBand="0" w:noVBand="1"/>
      </w:tblPr>
      <w:tblGrid>
        <w:gridCol w:w="1890"/>
        <w:gridCol w:w="7560"/>
      </w:tblGrid>
      <w:tr w:rsidR="00F70CAF" w:rsidRPr="00F70CAF" w14:paraId="592DA82B" w14:textId="295A4ADA" w:rsidTr="00E6669A">
        <w:tc>
          <w:tcPr>
            <w:tcW w:w="9450" w:type="dxa"/>
            <w:gridSpan w:val="2"/>
          </w:tcPr>
          <w:p w14:paraId="0128FA1D" w14:textId="60EDF12C" w:rsidR="00E77ECF" w:rsidRPr="00F70CAF" w:rsidRDefault="00E77ECF" w:rsidP="00E83D9D">
            <w:pPr>
              <w:rPr>
                <w:rFonts w:cstheme="minorHAnsi"/>
                <w:color w:val="385623" w:themeColor="accent6" w:themeShade="80"/>
              </w:rPr>
            </w:pPr>
            <w:r w:rsidRPr="00F70CAF">
              <w:rPr>
                <w:rFonts w:cstheme="minorHAnsi"/>
                <w:b/>
                <w:color w:val="385623" w:themeColor="accent6" w:themeShade="80"/>
                <w:highlight w:val="lightGray"/>
              </w:rPr>
              <w:t>Module 1: Reimaging fit-for-purpose PHC: introduction</w:t>
            </w:r>
          </w:p>
        </w:tc>
      </w:tr>
      <w:tr w:rsidR="00B900B0" w:rsidRPr="00F70CAF" w14:paraId="583CE2AC" w14:textId="77777777" w:rsidTr="00E77ECF">
        <w:tc>
          <w:tcPr>
            <w:tcW w:w="1890" w:type="dxa"/>
          </w:tcPr>
          <w:p w14:paraId="5E529B4A" w14:textId="6E89D2B6" w:rsidR="00B900B0" w:rsidRPr="00F70CAF" w:rsidRDefault="00B900B0" w:rsidP="00B900B0">
            <w:pPr>
              <w:ind w:left="250"/>
              <w:rPr>
                <w:rFonts w:cstheme="minorHAnsi"/>
                <w:b/>
              </w:rPr>
            </w:pPr>
            <w:r w:rsidRPr="00F70CAF">
              <w:rPr>
                <w:rFonts w:cstheme="minorHAnsi"/>
                <w:b/>
              </w:rPr>
              <w:t>Date</w:t>
            </w:r>
          </w:p>
        </w:tc>
        <w:tc>
          <w:tcPr>
            <w:tcW w:w="7560" w:type="dxa"/>
          </w:tcPr>
          <w:p w14:paraId="221C51A2" w14:textId="747BCD2E" w:rsidR="00B900B0" w:rsidRPr="00F70CAF" w:rsidRDefault="00B900B0" w:rsidP="00E83D9D">
            <w:pPr>
              <w:rPr>
                <w:rFonts w:cstheme="minorHAnsi"/>
              </w:rPr>
            </w:pPr>
            <w:r w:rsidRPr="00F70CAF">
              <w:rPr>
                <w:rFonts w:cstheme="minorHAnsi"/>
              </w:rPr>
              <w:t>April 25, 2022</w:t>
            </w:r>
          </w:p>
        </w:tc>
      </w:tr>
      <w:tr w:rsidR="00B900B0" w:rsidRPr="00F70CAF" w14:paraId="61BA0B09" w14:textId="77777777" w:rsidTr="00E77ECF">
        <w:tc>
          <w:tcPr>
            <w:tcW w:w="1890" w:type="dxa"/>
          </w:tcPr>
          <w:p w14:paraId="453E2009" w14:textId="2CACB088" w:rsidR="00B900B0" w:rsidRPr="00F70CAF" w:rsidRDefault="00B900B0" w:rsidP="00B900B0">
            <w:pPr>
              <w:ind w:left="250"/>
              <w:rPr>
                <w:rFonts w:cstheme="minorHAnsi"/>
                <w:b/>
              </w:rPr>
            </w:pPr>
            <w:r w:rsidRPr="00F70CAF">
              <w:rPr>
                <w:rFonts w:cstheme="minorHAnsi"/>
                <w:b/>
              </w:rPr>
              <w:t xml:space="preserve">Objective </w:t>
            </w:r>
          </w:p>
        </w:tc>
        <w:tc>
          <w:tcPr>
            <w:tcW w:w="7560" w:type="dxa"/>
          </w:tcPr>
          <w:p w14:paraId="5EC385EC" w14:textId="77777777" w:rsidR="00B900B0" w:rsidRPr="00F70CAF" w:rsidRDefault="00E77ECF" w:rsidP="00E83D9D">
            <w:pPr>
              <w:rPr>
                <w:rFonts w:cstheme="minorHAnsi"/>
              </w:rPr>
            </w:pPr>
            <w:r w:rsidRPr="00F70CAF">
              <w:rPr>
                <w:rFonts w:cstheme="minorHAnsi"/>
              </w:rPr>
              <w:t xml:space="preserve">This module will introduce the concept of fit-for-purpose PHC, global trend that necessitates reimagination of PHC, and high-level structural shifts required for fit-for-purpose PHC. </w:t>
            </w:r>
          </w:p>
          <w:p w14:paraId="7B5FC16C" w14:textId="5F01AFD6" w:rsidR="00E77ECF" w:rsidRPr="00F70CAF" w:rsidRDefault="00E77ECF" w:rsidP="00E83D9D">
            <w:pPr>
              <w:rPr>
                <w:rFonts w:cstheme="minorHAnsi"/>
              </w:rPr>
            </w:pPr>
          </w:p>
        </w:tc>
      </w:tr>
      <w:tr w:rsidR="00B900B0" w:rsidRPr="00F70CAF" w14:paraId="43EAD31C" w14:textId="77777777" w:rsidTr="00E77ECF">
        <w:tc>
          <w:tcPr>
            <w:tcW w:w="1890" w:type="dxa"/>
          </w:tcPr>
          <w:p w14:paraId="1D806B74" w14:textId="32983767" w:rsidR="00B900B0" w:rsidRPr="00F70CAF" w:rsidRDefault="00FC6F5F" w:rsidP="00B900B0">
            <w:pPr>
              <w:ind w:left="250"/>
              <w:rPr>
                <w:rFonts w:cstheme="minorHAnsi"/>
                <w:b/>
              </w:rPr>
            </w:pPr>
            <w:r>
              <w:rPr>
                <w:rFonts w:cstheme="minorHAnsi"/>
                <w:b/>
              </w:rPr>
              <w:t>L</w:t>
            </w:r>
            <w:r w:rsidR="00B900B0" w:rsidRPr="00F70CAF">
              <w:rPr>
                <w:rFonts w:cstheme="minorHAnsi"/>
                <w:b/>
              </w:rPr>
              <w:t xml:space="preserve">eads </w:t>
            </w:r>
          </w:p>
        </w:tc>
        <w:tc>
          <w:tcPr>
            <w:tcW w:w="7560" w:type="dxa"/>
          </w:tcPr>
          <w:p w14:paraId="62A6FAAF" w14:textId="18A91E2F" w:rsidR="00B900B0" w:rsidRPr="00F70CAF" w:rsidRDefault="00B900B0" w:rsidP="00E83D9D">
            <w:pPr>
              <w:rPr>
                <w:rFonts w:cstheme="minorHAnsi"/>
              </w:rPr>
            </w:pPr>
            <w:r w:rsidRPr="00F70CAF">
              <w:rPr>
                <w:rFonts w:cstheme="minorHAnsi"/>
              </w:rPr>
              <w:t>Huihui Wang</w:t>
            </w:r>
          </w:p>
        </w:tc>
      </w:tr>
      <w:tr w:rsidR="00563293" w:rsidRPr="00F70CAF" w14:paraId="30CFD910" w14:textId="77777777" w:rsidTr="00E77ECF">
        <w:tc>
          <w:tcPr>
            <w:tcW w:w="1890" w:type="dxa"/>
          </w:tcPr>
          <w:p w14:paraId="5829B287" w14:textId="49403511" w:rsidR="00563293" w:rsidRPr="00F70CAF" w:rsidRDefault="00356DB4" w:rsidP="00B900B0">
            <w:pPr>
              <w:ind w:left="250"/>
              <w:rPr>
                <w:rFonts w:cstheme="minorHAnsi"/>
                <w:b/>
              </w:rPr>
            </w:pPr>
            <w:r>
              <w:rPr>
                <w:rFonts w:cstheme="minorHAnsi"/>
                <w:b/>
              </w:rPr>
              <w:t>Resources</w:t>
            </w:r>
          </w:p>
        </w:tc>
        <w:tc>
          <w:tcPr>
            <w:tcW w:w="7560" w:type="dxa"/>
          </w:tcPr>
          <w:p w14:paraId="58E1DCFE" w14:textId="1C9DDCF1" w:rsidR="00563293" w:rsidRDefault="008E0791" w:rsidP="00E83D9D">
            <w:pPr>
              <w:rPr>
                <w:rFonts w:ascii="Calibri" w:eastAsia="Times New Roman" w:hAnsi="Calibri" w:cs="Calibri"/>
                <w:color w:val="000000"/>
              </w:rPr>
            </w:pPr>
            <w:hyperlink r:id="rId7" w:history="1">
              <w:r w:rsidR="00101656" w:rsidRPr="008E0791">
                <w:rPr>
                  <w:rStyle w:val="Hyperlink"/>
                  <w:rFonts w:ascii="Calibri" w:eastAsia="Times New Roman" w:hAnsi="Calibri" w:cs="Calibri"/>
                  <w:lang w:val="en"/>
                </w:rPr>
                <w:t>Walking the Talk: Re</w:t>
              </w:r>
              <w:r w:rsidR="00101656" w:rsidRPr="008E0791">
                <w:rPr>
                  <w:rStyle w:val="Hyperlink"/>
                  <w:rFonts w:ascii="Calibri" w:eastAsia="Times New Roman" w:hAnsi="Calibri" w:cs="Calibri"/>
                </w:rPr>
                <w:t>imagining Primary Health Car</w:t>
              </w:r>
              <w:r w:rsidR="00101656" w:rsidRPr="008E0791">
                <w:rPr>
                  <w:rStyle w:val="Hyperlink"/>
                  <w:rFonts w:ascii="Calibri" w:eastAsia="Times New Roman" w:hAnsi="Calibri" w:cs="Calibri"/>
                </w:rPr>
                <w:t>e</w:t>
              </w:r>
              <w:r w:rsidR="00101656" w:rsidRPr="008E0791">
                <w:rPr>
                  <w:rStyle w:val="Hyperlink"/>
                  <w:rFonts w:ascii="Calibri" w:eastAsia="Times New Roman" w:hAnsi="Calibri" w:cs="Calibri"/>
                </w:rPr>
                <w:t xml:space="preserve"> after COVID 19</w:t>
              </w:r>
            </w:hyperlink>
            <w:r>
              <w:rPr>
                <w:rStyle w:val="normaltextrun"/>
                <w:rFonts w:ascii="Calibri" w:eastAsia="Times New Roman" w:hAnsi="Calibri" w:cs="Calibri"/>
                <w:color w:val="0000FF"/>
                <w:u w:val="single"/>
              </w:rPr>
              <w:t xml:space="preserve"> </w:t>
            </w:r>
            <w:r w:rsidR="00101656">
              <w:rPr>
                <w:rFonts w:ascii="Calibri" w:eastAsia="Times New Roman" w:hAnsi="Calibri" w:cs="Calibri"/>
                <w:color w:val="000000"/>
              </w:rPr>
              <w:t>-</w:t>
            </w:r>
            <w:r>
              <w:rPr>
                <w:rFonts w:ascii="Calibri" w:eastAsia="Times New Roman" w:hAnsi="Calibri" w:cs="Calibri"/>
                <w:color w:val="000000"/>
              </w:rPr>
              <w:t xml:space="preserve"> </w:t>
            </w:r>
            <w:r w:rsidR="00101656">
              <w:rPr>
                <w:rFonts w:ascii="Calibri" w:eastAsia="Times New Roman" w:hAnsi="Calibri" w:cs="Calibri"/>
                <w:color w:val="000000"/>
              </w:rPr>
              <w:t>Cha</w:t>
            </w:r>
            <w:r>
              <w:rPr>
                <w:rFonts w:ascii="Calibri" w:eastAsia="Times New Roman" w:hAnsi="Calibri" w:cs="Calibri"/>
                <w:color w:val="000000"/>
              </w:rPr>
              <w:t>p</w:t>
            </w:r>
            <w:r w:rsidR="00101656">
              <w:rPr>
                <w:rFonts w:ascii="Calibri" w:eastAsia="Times New Roman" w:hAnsi="Calibri" w:cs="Calibri"/>
                <w:color w:val="000000"/>
              </w:rPr>
              <w:t>ter</w:t>
            </w:r>
            <w:r w:rsidR="00A16B2D">
              <w:rPr>
                <w:rFonts w:ascii="Calibri" w:eastAsia="Times New Roman" w:hAnsi="Calibri" w:cs="Calibri"/>
                <w:color w:val="000000"/>
              </w:rPr>
              <w:t>s</w:t>
            </w:r>
            <w:r w:rsidR="00101656">
              <w:rPr>
                <w:rFonts w:ascii="Calibri" w:eastAsia="Times New Roman" w:hAnsi="Calibri" w:cs="Calibri"/>
                <w:color w:val="000000"/>
              </w:rPr>
              <w:t xml:space="preserve"> 1, 2 and 3</w:t>
            </w:r>
          </w:p>
          <w:p w14:paraId="52B2CF84" w14:textId="0BABCCF0" w:rsidR="00101656" w:rsidRPr="00F70CAF" w:rsidRDefault="00101656" w:rsidP="00E83D9D">
            <w:pPr>
              <w:rPr>
                <w:rFonts w:cstheme="minorHAnsi"/>
              </w:rPr>
            </w:pPr>
          </w:p>
        </w:tc>
      </w:tr>
      <w:tr w:rsidR="00E77ECF" w:rsidRPr="00F70CAF" w14:paraId="572E8505" w14:textId="77777777" w:rsidTr="00DD5DDF">
        <w:tc>
          <w:tcPr>
            <w:tcW w:w="9450" w:type="dxa"/>
            <w:gridSpan w:val="2"/>
          </w:tcPr>
          <w:p w14:paraId="6517A554" w14:textId="7DAD6715" w:rsidR="00E77ECF" w:rsidRPr="00F70CAF" w:rsidRDefault="00E77ECF" w:rsidP="00E83D9D">
            <w:pPr>
              <w:rPr>
                <w:rFonts w:cstheme="minorHAnsi"/>
                <w:b/>
                <w:color w:val="385623" w:themeColor="accent6" w:themeShade="80"/>
                <w:highlight w:val="lightGray"/>
              </w:rPr>
            </w:pPr>
            <w:r w:rsidRPr="00F70CAF">
              <w:rPr>
                <w:rFonts w:cstheme="minorHAnsi"/>
                <w:b/>
                <w:color w:val="385623" w:themeColor="accent6" w:themeShade="80"/>
                <w:highlight w:val="lightGray"/>
              </w:rPr>
              <w:t>Module 2: Reimagining PHC based on measurements</w:t>
            </w:r>
          </w:p>
        </w:tc>
      </w:tr>
      <w:tr w:rsidR="00B900B0" w:rsidRPr="00F70CAF" w14:paraId="0FCC8861" w14:textId="77777777" w:rsidTr="00E77ECF">
        <w:tc>
          <w:tcPr>
            <w:tcW w:w="1890" w:type="dxa"/>
          </w:tcPr>
          <w:p w14:paraId="731DA689" w14:textId="77777777" w:rsidR="00B900B0" w:rsidRPr="00F70CAF" w:rsidRDefault="00B900B0" w:rsidP="00B900B0">
            <w:pPr>
              <w:ind w:firstLine="250"/>
              <w:rPr>
                <w:rFonts w:cstheme="minorHAnsi"/>
                <w:b/>
              </w:rPr>
            </w:pPr>
            <w:r w:rsidRPr="00F70CAF">
              <w:rPr>
                <w:rFonts w:cstheme="minorHAnsi"/>
                <w:b/>
              </w:rPr>
              <w:t>Date</w:t>
            </w:r>
          </w:p>
        </w:tc>
        <w:tc>
          <w:tcPr>
            <w:tcW w:w="7560" w:type="dxa"/>
          </w:tcPr>
          <w:p w14:paraId="11EA0172" w14:textId="77777777" w:rsidR="00B900B0" w:rsidRPr="00F70CAF" w:rsidRDefault="00B900B0" w:rsidP="00E02C23">
            <w:pPr>
              <w:rPr>
                <w:rFonts w:cstheme="minorHAnsi"/>
              </w:rPr>
            </w:pPr>
            <w:r w:rsidRPr="00F70CAF">
              <w:rPr>
                <w:rFonts w:cstheme="minorHAnsi"/>
              </w:rPr>
              <w:t>Part 1: April 25, 2022</w:t>
            </w:r>
          </w:p>
          <w:p w14:paraId="538AD2F9" w14:textId="7F9273CC" w:rsidR="00B900B0" w:rsidRPr="00F70CAF" w:rsidRDefault="00B900B0" w:rsidP="00E02C23">
            <w:pPr>
              <w:rPr>
                <w:rFonts w:cstheme="minorHAnsi"/>
              </w:rPr>
            </w:pPr>
            <w:r w:rsidRPr="00F70CAF">
              <w:rPr>
                <w:rFonts w:cstheme="minorHAnsi"/>
              </w:rPr>
              <w:t>Part 2: April 27, 2022</w:t>
            </w:r>
          </w:p>
        </w:tc>
      </w:tr>
      <w:tr w:rsidR="00B900B0" w:rsidRPr="00F70CAF" w14:paraId="3E8ED76D" w14:textId="77777777" w:rsidTr="00E77ECF">
        <w:tc>
          <w:tcPr>
            <w:tcW w:w="1890" w:type="dxa"/>
          </w:tcPr>
          <w:p w14:paraId="3498B69F" w14:textId="77777777" w:rsidR="00B900B0" w:rsidRPr="00F70CAF" w:rsidRDefault="00B900B0" w:rsidP="00B900B0">
            <w:pPr>
              <w:ind w:firstLine="250"/>
              <w:rPr>
                <w:rFonts w:cstheme="minorHAnsi"/>
                <w:b/>
              </w:rPr>
            </w:pPr>
            <w:r w:rsidRPr="00F70CAF">
              <w:rPr>
                <w:rFonts w:cstheme="minorHAnsi"/>
                <w:b/>
              </w:rPr>
              <w:t xml:space="preserve">Objective </w:t>
            </w:r>
          </w:p>
        </w:tc>
        <w:tc>
          <w:tcPr>
            <w:tcW w:w="7560" w:type="dxa"/>
          </w:tcPr>
          <w:p w14:paraId="22E67A26" w14:textId="77777777" w:rsidR="00E77ECF" w:rsidRPr="00F70CAF" w:rsidRDefault="00E77ECF" w:rsidP="00E77ECF">
            <w:pPr>
              <w:rPr>
                <w:rFonts w:eastAsia="Times New Roman" w:cstheme="minorHAnsi"/>
              </w:rPr>
            </w:pPr>
            <w:r w:rsidRPr="00F70CAF">
              <w:rPr>
                <w:rFonts w:cstheme="minorHAnsi"/>
              </w:rPr>
              <w:t>This module will enable participants to understand why PHC in participant’s countries needs to be reimagined based on measurements of PHC performance (and benchmarking with other countries), and l</w:t>
            </w:r>
            <w:r w:rsidRPr="00F70CAF">
              <w:rPr>
                <w:rFonts w:eastAsia="Times New Roman" w:cstheme="minorHAnsi"/>
              </w:rPr>
              <w:t>ocalize/customize the structural shifts based on PHC measurements.</w:t>
            </w:r>
          </w:p>
          <w:p w14:paraId="61A2D33E" w14:textId="77777777" w:rsidR="00B900B0" w:rsidRPr="00F70CAF" w:rsidRDefault="00B900B0" w:rsidP="00E77ECF">
            <w:pPr>
              <w:rPr>
                <w:rFonts w:cstheme="minorHAnsi"/>
              </w:rPr>
            </w:pPr>
          </w:p>
        </w:tc>
      </w:tr>
      <w:tr w:rsidR="00B900B0" w:rsidRPr="00F70CAF" w14:paraId="2A7D4D10" w14:textId="77777777" w:rsidTr="00E77ECF">
        <w:tc>
          <w:tcPr>
            <w:tcW w:w="1890" w:type="dxa"/>
          </w:tcPr>
          <w:p w14:paraId="08EB4BA4" w14:textId="5130ED11" w:rsidR="00B900B0" w:rsidRPr="00F70CAF" w:rsidRDefault="00FC6F5F" w:rsidP="00B900B0">
            <w:pPr>
              <w:ind w:firstLine="250"/>
              <w:rPr>
                <w:rFonts w:cstheme="minorHAnsi"/>
                <w:b/>
              </w:rPr>
            </w:pPr>
            <w:r>
              <w:rPr>
                <w:rFonts w:cstheme="minorHAnsi"/>
                <w:b/>
              </w:rPr>
              <w:t>L</w:t>
            </w:r>
            <w:r w:rsidR="00B900B0" w:rsidRPr="00F70CAF">
              <w:rPr>
                <w:rFonts w:cstheme="minorHAnsi"/>
                <w:b/>
              </w:rPr>
              <w:t xml:space="preserve">eads </w:t>
            </w:r>
          </w:p>
        </w:tc>
        <w:tc>
          <w:tcPr>
            <w:tcW w:w="7560" w:type="dxa"/>
          </w:tcPr>
          <w:p w14:paraId="45C17A4A" w14:textId="0BC23F7A" w:rsidR="00B900B0" w:rsidRPr="00F70CAF" w:rsidRDefault="00F1766A" w:rsidP="00B900B0">
            <w:pPr>
              <w:rPr>
                <w:rFonts w:cstheme="minorHAnsi"/>
              </w:rPr>
            </w:pPr>
            <w:r>
              <w:rPr>
                <w:rFonts w:cstheme="minorHAnsi"/>
              </w:rPr>
              <w:t>Federica Se</w:t>
            </w:r>
            <w:r w:rsidR="00356DB4">
              <w:rPr>
                <w:rFonts w:cstheme="minorHAnsi"/>
              </w:rPr>
              <w:t>cci</w:t>
            </w:r>
            <w:r w:rsidR="00B900B0" w:rsidRPr="00F70CAF">
              <w:rPr>
                <w:rFonts w:cstheme="minorHAnsi"/>
              </w:rPr>
              <w:t xml:space="preserve"> &amp; Manuela Villar Uribe</w:t>
            </w:r>
          </w:p>
        </w:tc>
      </w:tr>
      <w:tr w:rsidR="00B900B0" w:rsidRPr="00F70CAF" w14:paraId="785E4D31" w14:textId="77777777" w:rsidTr="00E77ECF">
        <w:tc>
          <w:tcPr>
            <w:tcW w:w="1890" w:type="dxa"/>
          </w:tcPr>
          <w:p w14:paraId="24023309" w14:textId="54AFF5B0" w:rsidR="00B900B0" w:rsidRPr="00F70CAF" w:rsidRDefault="00356DB4" w:rsidP="00B900B0">
            <w:pPr>
              <w:ind w:firstLine="250"/>
              <w:rPr>
                <w:rFonts w:cstheme="minorHAnsi"/>
                <w:b/>
              </w:rPr>
            </w:pPr>
            <w:r>
              <w:rPr>
                <w:rFonts w:cstheme="minorHAnsi"/>
                <w:b/>
              </w:rPr>
              <w:t>Resources</w:t>
            </w:r>
          </w:p>
        </w:tc>
        <w:tc>
          <w:tcPr>
            <w:tcW w:w="7560" w:type="dxa"/>
          </w:tcPr>
          <w:p w14:paraId="6891A9EB" w14:textId="4EE1B749" w:rsidR="00DC515F" w:rsidRDefault="00DC515F" w:rsidP="00DC515F">
            <w:pPr>
              <w:rPr>
                <w:rStyle w:val="normaltextrun"/>
                <w:rFonts w:ascii="Calibri" w:hAnsi="Calibri" w:cs="Calibri"/>
                <w:b/>
                <w:bCs/>
                <w:color w:val="201F1E"/>
                <w:lang w:val="en"/>
              </w:rPr>
            </w:pPr>
            <w:r>
              <w:rPr>
                <w:rStyle w:val="normaltextrun"/>
                <w:rFonts w:ascii="Calibri" w:hAnsi="Calibri" w:cs="Calibri"/>
                <w:b/>
                <w:bCs/>
                <w:color w:val="201F1E"/>
                <w:lang w:val="en"/>
              </w:rPr>
              <w:t>Required</w:t>
            </w:r>
            <w:r>
              <w:rPr>
                <w:rStyle w:val="normaltextrun"/>
                <w:b/>
                <w:bCs/>
                <w:color w:val="201F1E"/>
                <w:lang w:val="en"/>
              </w:rPr>
              <w:t xml:space="preserve"> prior to the sessions</w:t>
            </w:r>
            <w:r>
              <w:rPr>
                <w:rStyle w:val="normaltextrun"/>
                <w:rFonts w:ascii="Calibri" w:hAnsi="Calibri" w:cs="Calibri"/>
                <w:b/>
                <w:bCs/>
                <w:color w:val="201F1E"/>
                <w:lang w:val="en"/>
              </w:rPr>
              <w:t>:</w:t>
            </w:r>
          </w:p>
          <w:p w14:paraId="1C5D748B" w14:textId="38781FB8" w:rsidR="000B6CAA" w:rsidRPr="00D45025" w:rsidRDefault="000B6CAA" w:rsidP="00D45025">
            <w:pPr>
              <w:pStyle w:val="paragraph"/>
              <w:numPr>
                <w:ilvl w:val="0"/>
                <w:numId w:val="5"/>
              </w:numPr>
              <w:shd w:val="clear" w:color="auto" w:fill="FFFFFF"/>
              <w:spacing w:before="0" w:beforeAutospacing="0" w:after="0" w:afterAutospacing="0"/>
              <w:textAlignment w:val="baseline"/>
              <w:rPr>
                <w:rFonts w:eastAsia="Times New Roman"/>
              </w:rPr>
            </w:pPr>
            <w:r w:rsidRPr="00D45025">
              <w:rPr>
                <w:rFonts w:eastAsia="Times New Roman"/>
                <w:color w:val="000000"/>
              </w:rPr>
              <w:t>Watch</w:t>
            </w:r>
            <w:r w:rsidRPr="00D45025">
              <w:rPr>
                <w:rFonts w:eastAsia="Times New Roman"/>
              </w:rPr>
              <w:t xml:space="preserve"> the video (</w:t>
            </w:r>
            <w:hyperlink r:id="rId8" w:history="1">
              <w:r w:rsidRPr="00D45025">
                <w:rPr>
                  <w:rStyle w:val="Hyperlink"/>
                  <w:rFonts w:eastAsia="Times New Roman"/>
                </w:rPr>
                <w:t xml:space="preserve">Link </w:t>
              </w:r>
              <w:r w:rsidRPr="00D45025">
                <w:rPr>
                  <w:rStyle w:val="Hyperlink"/>
                  <w:rFonts w:eastAsia="Times New Roman"/>
                </w:rPr>
                <w:t>A</w:t>
              </w:r>
            </w:hyperlink>
            <w:r w:rsidRPr="00D45025">
              <w:rPr>
                <w:rFonts w:eastAsia="Times New Roman"/>
              </w:rPr>
              <w:t>) 6:44 minutes</w:t>
            </w:r>
            <w:r w:rsidR="00DC515F" w:rsidRPr="00D45025">
              <w:rPr>
                <w:rFonts w:eastAsia="Times New Roman"/>
              </w:rPr>
              <w:t xml:space="preserve"> (prior to part 1)</w:t>
            </w:r>
          </w:p>
          <w:p w14:paraId="7078FD50" w14:textId="5AC37DED" w:rsidR="000B6CAA" w:rsidRPr="00D45025" w:rsidRDefault="000B6CAA" w:rsidP="00D45025">
            <w:pPr>
              <w:pStyle w:val="paragraph"/>
              <w:numPr>
                <w:ilvl w:val="0"/>
                <w:numId w:val="5"/>
              </w:numPr>
              <w:shd w:val="clear" w:color="auto" w:fill="FFFFFF"/>
              <w:spacing w:before="0" w:beforeAutospacing="0" w:after="0" w:afterAutospacing="0"/>
              <w:textAlignment w:val="baseline"/>
              <w:rPr>
                <w:rFonts w:eastAsia="Times New Roman"/>
              </w:rPr>
            </w:pPr>
            <w:r w:rsidRPr="00D45025">
              <w:rPr>
                <w:rFonts w:eastAsia="Times New Roman"/>
                <w:color w:val="000000"/>
              </w:rPr>
              <w:t>Familiarize</w:t>
            </w:r>
            <w:r w:rsidRPr="00D45025">
              <w:rPr>
                <w:rFonts w:eastAsia="Times New Roman"/>
              </w:rPr>
              <w:t xml:space="preserve"> themselves with (</w:t>
            </w:r>
            <w:hyperlink r:id="rId9" w:history="1">
              <w:r w:rsidRPr="00D45025">
                <w:rPr>
                  <w:rStyle w:val="Hyperlink"/>
                  <w:rFonts w:eastAsia="Times New Roman"/>
                </w:rPr>
                <w:t>Lin</w:t>
              </w:r>
              <w:r w:rsidRPr="00D45025">
                <w:rPr>
                  <w:rStyle w:val="Hyperlink"/>
                  <w:rFonts w:eastAsia="Times New Roman"/>
                </w:rPr>
                <w:t>k</w:t>
              </w:r>
              <w:r w:rsidRPr="00D45025">
                <w:rPr>
                  <w:rStyle w:val="Hyperlink"/>
                  <w:rFonts w:eastAsia="Times New Roman"/>
                </w:rPr>
                <w:t xml:space="preserve"> C</w:t>
              </w:r>
            </w:hyperlink>
            <w:r w:rsidRPr="00D45025">
              <w:rPr>
                <w:rFonts w:eastAsia="Times New Roman"/>
              </w:rPr>
              <w:t>) 60 pages</w:t>
            </w:r>
            <w:r w:rsidR="004372EE" w:rsidRPr="00D45025">
              <w:rPr>
                <w:rFonts w:eastAsia="Times New Roman"/>
              </w:rPr>
              <w:t xml:space="preserve"> (prior to part 2)</w:t>
            </w:r>
          </w:p>
          <w:p w14:paraId="2EC67943" w14:textId="77777777" w:rsidR="00D45025" w:rsidRDefault="00D45025" w:rsidP="00E02C23">
            <w:pPr>
              <w:rPr>
                <w:rFonts w:cstheme="minorHAnsi"/>
                <w:b/>
                <w:bCs/>
              </w:rPr>
            </w:pPr>
          </w:p>
          <w:p w14:paraId="4271C94C" w14:textId="01FA62F7" w:rsidR="00B900B0" w:rsidRPr="004372EE" w:rsidRDefault="004372EE" w:rsidP="00E02C23">
            <w:pPr>
              <w:rPr>
                <w:rFonts w:cstheme="minorHAnsi"/>
                <w:b/>
                <w:bCs/>
              </w:rPr>
            </w:pPr>
            <w:r w:rsidRPr="004372EE">
              <w:rPr>
                <w:rFonts w:cstheme="minorHAnsi"/>
                <w:b/>
                <w:bCs/>
              </w:rPr>
              <w:t>Recomended resources:</w:t>
            </w:r>
          </w:p>
          <w:p w14:paraId="22442FB8" w14:textId="4F4C2D71" w:rsidR="00DC515F" w:rsidRPr="00DC515F" w:rsidRDefault="00DC515F" w:rsidP="00D45025">
            <w:pPr>
              <w:pStyle w:val="paragraph"/>
              <w:numPr>
                <w:ilvl w:val="0"/>
                <w:numId w:val="5"/>
              </w:numPr>
              <w:shd w:val="clear" w:color="auto" w:fill="FFFFFF"/>
              <w:spacing w:before="0" w:beforeAutospacing="0" w:after="0" w:afterAutospacing="0"/>
              <w:textAlignment w:val="baseline"/>
              <w:rPr>
                <w:rFonts w:eastAsia="Times New Roman"/>
                <w:b/>
                <w:bCs/>
              </w:rPr>
            </w:pPr>
            <w:r w:rsidRPr="00D45025">
              <w:rPr>
                <w:rFonts w:eastAsia="Times New Roman"/>
                <w:color w:val="000000"/>
              </w:rPr>
              <w:t>Read</w:t>
            </w:r>
            <w:r w:rsidRPr="00DC515F">
              <w:rPr>
                <w:rFonts w:eastAsia="Times New Roman"/>
                <w:b/>
                <w:bCs/>
              </w:rPr>
              <w:t xml:space="preserve"> (</w:t>
            </w:r>
            <w:hyperlink r:id="rId10" w:history="1">
              <w:r w:rsidRPr="00DC515F">
                <w:rPr>
                  <w:rStyle w:val="Hyperlink"/>
                  <w:rFonts w:eastAsia="Times New Roman"/>
                  <w:b/>
                  <w:bCs/>
                </w:rPr>
                <w:t>Lin</w:t>
              </w:r>
              <w:r w:rsidRPr="00DC515F">
                <w:rPr>
                  <w:rStyle w:val="Hyperlink"/>
                  <w:rFonts w:eastAsia="Times New Roman"/>
                  <w:b/>
                  <w:bCs/>
                </w:rPr>
                <w:t>k</w:t>
              </w:r>
              <w:r w:rsidRPr="00DC515F">
                <w:rPr>
                  <w:rStyle w:val="Hyperlink"/>
                  <w:rFonts w:eastAsia="Times New Roman"/>
                  <w:b/>
                  <w:bCs/>
                </w:rPr>
                <w:t xml:space="preserve"> B</w:t>
              </w:r>
            </w:hyperlink>
            <w:r w:rsidRPr="00DC515F">
              <w:rPr>
                <w:rFonts w:eastAsia="Times New Roman"/>
                <w:b/>
                <w:bCs/>
              </w:rPr>
              <w:t>) 64 pages</w:t>
            </w:r>
          </w:p>
          <w:p w14:paraId="59EB4B97" w14:textId="77777777" w:rsidR="00DC515F" w:rsidRPr="00D45025" w:rsidRDefault="004372EE" w:rsidP="00D45025">
            <w:pPr>
              <w:pStyle w:val="paragraph"/>
              <w:numPr>
                <w:ilvl w:val="0"/>
                <w:numId w:val="5"/>
              </w:numPr>
              <w:shd w:val="clear" w:color="auto" w:fill="FFFFFF"/>
              <w:spacing w:before="0" w:beforeAutospacing="0" w:after="0" w:afterAutospacing="0"/>
              <w:textAlignment w:val="baseline"/>
              <w:rPr>
                <w:rFonts w:eastAsia="Times New Roman"/>
              </w:rPr>
            </w:pPr>
            <w:r w:rsidRPr="00D45025">
              <w:rPr>
                <w:rFonts w:eastAsia="Times New Roman"/>
                <w:color w:val="000000"/>
              </w:rPr>
              <w:t>Brows</w:t>
            </w:r>
            <w:r w:rsidRPr="00D45025">
              <w:rPr>
                <w:rFonts w:eastAsia="Times New Roman"/>
              </w:rPr>
              <w:t xml:space="preserve"> through Pulse </w:t>
            </w:r>
            <w:hyperlink r:id="rId11" w:history="1">
              <w:r w:rsidRPr="00D45025">
                <w:rPr>
                  <w:rStyle w:val="Hyperlink"/>
                  <w:rFonts w:eastAsia="Times New Roman"/>
                  <w:noProof/>
                  <w:shd w:val="clear" w:color="auto" w:fill="F3F2F1"/>
                </w:rPr>
                <w:t>S</w:t>
              </w:r>
              <w:r w:rsidRPr="00D45025">
                <w:rPr>
                  <w:rStyle w:val="Hyperlink"/>
                  <w:rFonts w:eastAsia="Times New Roman"/>
                  <w:noProof/>
                  <w:shd w:val="clear" w:color="auto" w:fill="F3F2F1"/>
                </w:rPr>
                <w:t>u</w:t>
              </w:r>
              <w:r w:rsidRPr="00D45025">
                <w:rPr>
                  <w:rStyle w:val="Hyperlink"/>
                  <w:rFonts w:eastAsia="Times New Roman"/>
                  <w:noProof/>
                  <w:shd w:val="clear" w:color="auto" w:fill="F3F2F1"/>
                </w:rPr>
                <w:t>rvey</w:t>
              </w:r>
              <w:r w:rsidRPr="00D45025">
                <w:rPr>
                  <w:rStyle w:val="Hyperlink"/>
                  <w:rFonts w:eastAsia="Times New Roman"/>
                </w:rPr>
                <w:t xml:space="preserve"> 1</w:t>
              </w:r>
            </w:hyperlink>
            <w:r w:rsidRPr="00D45025">
              <w:rPr>
                <w:rFonts w:eastAsia="Times New Roman"/>
              </w:rPr>
              <w:t xml:space="preserve">  - 69 pages, </w:t>
            </w:r>
            <w:hyperlink r:id="rId12" w:history="1">
              <w:r w:rsidRPr="00D45025">
                <w:rPr>
                  <w:rStyle w:val="Hyperlink"/>
                  <w:rFonts w:eastAsia="Times New Roman"/>
                </w:rPr>
                <w:t xml:space="preserve">Survey </w:t>
              </w:r>
              <w:r w:rsidRPr="00D45025">
                <w:rPr>
                  <w:rStyle w:val="Hyperlink"/>
                  <w:rFonts w:eastAsia="Times New Roman"/>
                </w:rPr>
                <w:t>2</w:t>
              </w:r>
            </w:hyperlink>
            <w:r w:rsidRPr="00D45025">
              <w:rPr>
                <w:rFonts w:eastAsia="Times New Roman"/>
              </w:rPr>
              <w:t xml:space="preserve"> - 102 pages, </w:t>
            </w:r>
            <w:hyperlink r:id="rId13" w:history="1">
              <w:r w:rsidRPr="00D45025">
                <w:rPr>
                  <w:rStyle w:val="Hyperlink"/>
                  <w:rFonts w:eastAsia="Times New Roman"/>
                </w:rPr>
                <w:t>Surv</w:t>
              </w:r>
              <w:r w:rsidRPr="00D45025">
                <w:rPr>
                  <w:rStyle w:val="Hyperlink"/>
                  <w:rFonts w:eastAsia="Times New Roman"/>
                </w:rPr>
                <w:t>e</w:t>
              </w:r>
              <w:r w:rsidRPr="00D45025">
                <w:rPr>
                  <w:rStyle w:val="Hyperlink"/>
                  <w:rFonts w:eastAsia="Times New Roman"/>
                </w:rPr>
                <w:t>y 3</w:t>
              </w:r>
            </w:hyperlink>
            <w:r w:rsidRPr="00D45025">
              <w:rPr>
                <w:rFonts w:eastAsia="Times New Roman"/>
              </w:rPr>
              <w:t xml:space="preserve"> - 54 pages</w:t>
            </w:r>
          </w:p>
          <w:p w14:paraId="036C9A0B" w14:textId="70FDF6A0" w:rsidR="00D45025" w:rsidRPr="00F70CAF" w:rsidRDefault="00D45025" w:rsidP="00E02C23">
            <w:pPr>
              <w:rPr>
                <w:rFonts w:cstheme="minorHAnsi"/>
              </w:rPr>
            </w:pPr>
          </w:p>
        </w:tc>
      </w:tr>
      <w:tr w:rsidR="00E77ECF" w:rsidRPr="00F70CAF" w14:paraId="1D109F10" w14:textId="721D72CD" w:rsidTr="00CE0693">
        <w:tc>
          <w:tcPr>
            <w:tcW w:w="9450" w:type="dxa"/>
            <w:gridSpan w:val="2"/>
          </w:tcPr>
          <w:p w14:paraId="07BC4B08" w14:textId="6CA51893" w:rsidR="00E77ECF" w:rsidRPr="00F70CAF" w:rsidRDefault="00E77ECF" w:rsidP="00E83D9D">
            <w:pPr>
              <w:rPr>
                <w:rFonts w:cstheme="minorHAnsi"/>
                <w:b/>
                <w:color w:val="385623" w:themeColor="accent6" w:themeShade="80"/>
                <w:highlight w:val="lightGray"/>
              </w:rPr>
            </w:pPr>
            <w:r w:rsidRPr="00F70CAF">
              <w:rPr>
                <w:rFonts w:cstheme="minorHAnsi"/>
                <w:b/>
                <w:color w:val="385623" w:themeColor="accent6" w:themeShade="80"/>
                <w:highlight w:val="lightGray"/>
              </w:rPr>
              <w:t>Module 3: Reimagining model-of-care for fit-for-purpose PHC</w:t>
            </w:r>
          </w:p>
        </w:tc>
      </w:tr>
      <w:tr w:rsidR="00B900B0" w:rsidRPr="00F70CAF" w14:paraId="54F66A4F" w14:textId="3DC726D5" w:rsidTr="00E77ECF">
        <w:tc>
          <w:tcPr>
            <w:tcW w:w="1890" w:type="dxa"/>
          </w:tcPr>
          <w:p w14:paraId="2385B73D" w14:textId="34A8912F" w:rsidR="00B900B0" w:rsidRPr="00F70CAF" w:rsidRDefault="00B900B0" w:rsidP="00B900B0">
            <w:pPr>
              <w:pStyle w:val="TableParagraph"/>
              <w:spacing w:before="15"/>
              <w:ind w:left="0" w:right="157" w:firstLine="250"/>
              <w:rPr>
                <w:rFonts w:asciiTheme="minorHAnsi" w:hAnsiTheme="minorHAnsi" w:cstheme="minorHAnsi"/>
                <w:b/>
              </w:rPr>
            </w:pPr>
            <w:r w:rsidRPr="00F70CAF">
              <w:rPr>
                <w:rFonts w:asciiTheme="minorHAnsi" w:hAnsiTheme="minorHAnsi" w:cstheme="minorHAnsi"/>
                <w:b/>
              </w:rPr>
              <w:t>Date</w:t>
            </w:r>
          </w:p>
        </w:tc>
        <w:tc>
          <w:tcPr>
            <w:tcW w:w="7560" w:type="dxa"/>
          </w:tcPr>
          <w:p w14:paraId="2092FE41" w14:textId="30608C5A" w:rsidR="00B900B0" w:rsidRPr="00F70CAF" w:rsidRDefault="00B900B0" w:rsidP="00B900B0">
            <w:pPr>
              <w:rPr>
                <w:rFonts w:cstheme="minorHAnsi"/>
              </w:rPr>
            </w:pPr>
            <w:r w:rsidRPr="00F70CAF">
              <w:rPr>
                <w:rFonts w:cstheme="minorHAnsi"/>
              </w:rPr>
              <w:t>Part 1: April 27, 2022</w:t>
            </w:r>
          </w:p>
          <w:p w14:paraId="72F6BB2D" w14:textId="31280632" w:rsidR="00B900B0" w:rsidRPr="00F70CAF" w:rsidRDefault="00B900B0" w:rsidP="00B900B0">
            <w:pPr>
              <w:rPr>
                <w:rFonts w:cstheme="minorHAnsi"/>
              </w:rPr>
            </w:pPr>
            <w:r w:rsidRPr="00F70CAF">
              <w:rPr>
                <w:rFonts w:cstheme="minorHAnsi"/>
              </w:rPr>
              <w:t>Part 2: April 29, 2022</w:t>
            </w:r>
          </w:p>
        </w:tc>
      </w:tr>
      <w:tr w:rsidR="00B900B0" w:rsidRPr="00F70CAF" w14:paraId="5D9F4B70" w14:textId="5AA98C76" w:rsidTr="00E77ECF">
        <w:tc>
          <w:tcPr>
            <w:tcW w:w="1890" w:type="dxa"/>
          </w:tcPr>
          <w:p w14:paraId="55D95E2D" w14:textId="41D67AE9" w:rsidR="00B900B0" w:rsidRPr="00F70CAF" w:rsidRDefault="00B900B0" w:rsidP="00B900B0">
            <w:pPr>
              <w:ind w:firstLine="250"/>
              <w:rPr>
                <w:rFonts w:cstheme="minorHAnsi"/>
              </w:rPr>
            </w:pPr>
            <w:r w:rsidRPr="00F70CAF">
              <w:rPr>
                <w:rFonts w:cstheme="minorHAnsi"/>
                <w:b/>
              </w:rPr>
              <w:t xml:space="preserve">Objective </w:t>
            </w:r>
          </w:p>
        </w:tc>
        <w:tc>
          <w:tcPr>
            <w:tcW w:w="7560" w:type="dxa"/>
          </w:tcPr>
          <w:p w14:paraId="448F0B81" w14:textId="77777777" w:rsidR="00E77ECF" w:rsidRPr="00F70CAF" w:rsidRDefault="00E77ECF" w:rsidP="00E77ECF">
            <w:pPr>
              <w:rPr>
                <w:rFonts w:cstheme="minorHAnsi"/>
              </w:rPr>
            </w:pPr>
            <w:r w:rsidRPr="00F70CAF">
              <w:rPr>
                <w:rFonts w:cstheme="minorHAnsi"/>
              </w:rPr>
              <w:t xml:space="preserve">This module will enable participants to understand challenges that drive for changes in service delivery models and introduce organizational strategies used by countries to make the structural shifts happen. </w:t>
            </w:r>
          </w:p>
          <w:p w14:paraId="5F212367" w14:textId="67FA91D6" w:rsidR="00B900B0" w:rsidRPr="00F70CAF" w:rsidRDefault="00B900B0" w:rsidP="00B900B0">
            <w:pPr>
              <w:rPr>
                <w:rFonts w:cstheme="minorHAnsi"/>
              </w:rPr>
            </w:pPr>
          </w:p>
        </w:tc>
      </w:tr>
      <w:tr w:rsidR="00B900B0" w:rsidRPr="00F70CAF" w14:paraId="42AA28ED" w14:textId="2B5313DB" w:rsidTr="00E77ECF">
        <w:tc>
          <w:tcPr>
            <w:tcW w:w="1890" w:type="dxa"/>
          </w:tcPr>
          <w:p w14:paraId="20B2D89F" w14:textId="76C1FB3E" w:rsidR="00B900B0" w:rsidRPr="00F70CAF" w:rsidRDefault="00FC6F5F" w:rsidP="00B900B0">
            <w:pPr>
              <w:pStyle w:val="TableParagraph"/>
              <w:spacing w:before="15"/>
              <w:ind w:left="0" w:right="97" w:firstLine="250"/>
              <w:rPr>
                <w:rFonts w:asciiTheme="minorHAnsi" w:hAnsiTheme="minorHAnsi" w:cstheme="minorHAnsi"/>
                <w:b/>
              </w:rPr>
            </w:pPr>
            <w:r>
              <w:rPr>
                <w:rFonts w:asciiTheme="minorHAnsi" w:hAnsiTheme="minorHAnsi" w:cstheme="minorHAnsi"/>
                <w:b/>
              </w:rPr>
              <w:t>L</w:t>
            </w:r>
            <w:r w:rsidR="00B900B0" w:rsidRPr="00F70CAF">
              <w:rPr>
                <w:rFonts w:asciiTheme="minorHAnsi" w:hAnsiTheme="minorHAnsi" w:cstheme="minorHAnsi"/>
                <w:b/>
              </w:rPr>
              <w:t xml:space="preserve">eads </w:t>
            </w:r>
          </w:p>
        </w:tc>
        <w:tc>
          <w:tcPr>
            <w:tcW w:w="7560" w:type="dxa"/>
          </w:tcPr>
          <w:p w14:paraId="2BD792A5" w14:textId="3348A540" w:rsidR="00B900B0" w:rsidRPr="00F70CAF" w:rsidRDefault="00B900B0" w:rsidP="00B900B0">
            <w:pPr>
              <w:rPr>
                <w:rFonts w:cstheme="minorHAnsi"/>
              </w:rPr>
            </w:pPr>
            <w:r w:rsidRPr="00F70CAF">
              <w:rPr>
                <w:rFonts w:cstheme="minorHAnsi"/>
              </w:rPr>
              <w:t>Mickey Chopra</w:t>
            </w:r>
          </w:p>
        </w:tc>
      </w:tr>
      <w:tr w:rsidR="00B900B0" w:rsidRPr="00F70CAF" w14:paraId="1EA954B3" w14:textId="2CE1A06E" w:rsidTr="00E77ECF">
        <w:tc>
          <w:tcPr>
            <w:tcW w:w="1890" w:type="dxa"/>
          </w:tcPr>
          <w:p w14:paraId="75F3A678" w14:textId="6593C0E2" w:rsidR="00B900B0" w:rsidRPr="00356DB4" w:rsidRDefault="00356DB4" w:rsidP="00B900B0">
            <w:pPr>
              <w:ind w:firstLine="250"/>
              <w:rPr>
                <w:rFonts w:cstheme="minorHAnsi"/>
                <w:b/>
                <w:bCs/>
              </w:rPr>
            </w:pPr>
            <w:r w:rsidRPr="00356DB4">
              <w:rPr>
                <w:rFonts w:cstheme="minorHAnsi"/>
                <w:b/>
                <w:bCs/>
              </w:rPr>
              <w:t>Resources</w:t>
            </w:r>
          </w:p>
        </w:tc>
        <w:tc>
          <w:tcPr>
            <w:tcW w:w="7560" w:type="dxa"/>
          </w:tcPr>
          <w:p w14:paraId="06FAA1B1" w14:textId="7E4DDE96" w:rsidR="005E5408" w:rsidRDefault="00805C21" w:rsidP="005E5408">
            <w:pPr>
              <w:pStyle w:val="paragraph"/>
              <w:shd w:val="clear" w:color="auto" w:fill="FFFFFF"/>
              <w:spacing w:before="0" w:beforeAutospacing="0" w:after="0" w:afterAutospacing="0"/>
              <w:textAlignment w:val="baseline"/>
              <w:rPr>
                <w:rStyle w:val="eop"/>
                <w:rFonts w:eastAsia="Times New Roman"/>
                <w:color w:val="201F1E"/>
              </w:rPr>
            </w:pPr>
            <w:hyperlink r:id="rId14" w:history="1">
              <w:r w:rsidRPr="008E0791">
                <w:rPr>
                  <w:rStyle w:val="Hyperlink"/>
                  <w:rFonts w:eastAsia="Times New Roman"/>
                  <w:lang w:val="en"/>
                </w:rPr>
                <w:t>Walking the Talk: Re</w:t>
              </w:r>
              <w:r w:rsidRPr="008E0791">
                <w:rPr>
                  <w:rStyle w:val="Hyperlink"/>
                  <w:rFonts w:eastAsia="Times New Roman"/>
                </w:rPr>
                <w:t>imagining Primary Health Care after COVID 19</w:t>
              </w:r>
            </w:hyperlink>
            <w:r>
              <w:rPr>
                <w:rStyle w:val="normaltextrun"/>
                <w:rFonts w:eastAsia="Times New Roman"/>
                <w:color w:val="0000FF"/>
                <w:u w:val="single"/>
              </w:rPr>
              <w:t xml:space="preserve"> </w:t>
            </w:r>
            <w:r w:rsidR="005E5408">
              <w:rPr>
                <w:rStyle w:val="normaltextrun"/>
                <w:rFonts w:eastAsia="Times New Roman"/>
                <w:color w:val="201F1E"/>
              </w:rPr>
              <w:t xml:space="preserve"> -</w:t>
            </w:r>
            <w:r>
              <w:rPr>
                <w:rStyle w:val="normaltextrun"/>
                <w:rFonts w:eastAsia="Times New Roman"/>
                <w:color w:val="201F1E"/>
              </w:rPr>
              <w:t xml:space="preserve"> </w:t>
            </w:r>
            <w:r w:rsidR="005E5408">
              <w:rPr>
                <w:rStyle w:val="normaltextrun"/>
                <w:rFonts w:eastAsia="Times New Roman"/>
                <w:color w:val="201F1E"/>
                <w:lang w:val="en"/>
              </w:rPr>
              <w:t>Chapter 4, pages 81-103 and Chapter 5,</w:t>
            </w:r>
            <w:r w:rsidR="005E5408">
              <w:rPr>
                <w:rStyle w:val="normaltextrun"/>
                <w:rFonts w:eastAsia="Times New Roman"/>
                <w:color w:val="000000"/>
              </w:rPr>
              <w:t> pages 189-190.</w:t>
            </w:r>
            <w:r w:rsidR="005E5408">
              <w:rPr>
                <w:rStyle w:val="eop"/>
                <w:rFonts w:eastAsia="Times New Roman"/>
                <w:color w:val="201F1E"/>
              </w:rPr>
              <w:t> </w:t>
            </w:r>
          </w:p>
          <w:p w14:paraId="44C9A639" w14:textId="77777777" w:rsidR="005E5408" w:rsidRDefault="005E5408" w:rsidP="00B17D0F">
            <w:pPr>
              <w:pStyle w:val="paragraph"/>
              <w:shd w:val="clear" w:color="auto" w:fill="FFFFFF"/>
              <w:spacing w:before="0" w:beforeAutospacing="0" w:after="0" w:afterAutospacing="0"/>
              <w:textAlignment w:val="baseline"/>
              <w:rPr>
                <w:rStyle w:val="normaltextrun"/>
                <w:b/>
                <w:bCs/>
                <w:color w:val="201F1E"/>
                <w:lang w:val="en"/>
              </w:rPr>
            </w:pPr>
          </w:p>
          <w:p w14:paraId="52EF9A21" w14:textId="67410780" w:rsidR="00B17D0F" w:rsidRDefault="00B17D0F" w:rsidP="00B17D0F">
            <w:pPr>
              <w:pStyle w:val="paragraph"/>
              <w:shd w:val="clear" w:color="auto" w:fill="FFFFFF"/>
              <w:spacing w:before="0" w:beforeAutospacing="0" w:after="0" w:afterAutospacing="0"/>
              <w:textAlignment w:val="baseline"/>
              <w:rPr>
                <w:b/>
                <w:bCs/>
              </w:rPr>
            </w:pPr>
            <w:r>
              <w:rPr>
                <w:rStyle w:val="normaltextrun"/>
                <w:b/>
                <w:bCs/>
                <w:color w:val="201F1E"/>
                <w:lang w:val="en"/>
              </w:rPr>
              <w:t>Required prior to the session</w:t>
            </w:r>
            <w:r w:rsidR="00DC515F">
              <w:rPr>
                <w:rStyle w:val="normaltextrun"/>
                <w:b/>
                <w:bCs/>
                <w:color w:val="201F1E"/>
                <w:lang w:val="en"/>
              </w:rPr>
              <w:t>s</w:t>
            </w:r>
            <w:r>
              <w:rPr>
                <w:rStyle w:val="normaltextrun"/>
                <w:b/>
                <w:bCs/>
                <w:color w:val="201F1E"/>
                <w:lang w:val="en"/>
              </w:rPr>
              <w:t xml:space="preserve">: </w:t>
            </w:r>
          </w:p>
          <w:p w14:paraId="4226AF92" w14:textId="223825EC" w:rsidR="00B17D0F" w:rsidRPr="00B17D0F" w:rsidRDefault="00B17D0F" w:rsidP="00B17D0F">
            <w:pPr>
              <w:pStyle w:val="paragraph"/>
              <w:numPr>
                <w:ilvl w:val="0"/>
                <w:numId w:val="5"/>
              </w:numPr>
              <w:shd w:val="clear" w:color="auto" w:fill="FFFFFF"/>
              <w:spacing w:before="0" w:beforeAutospacing="0" w:after="0" w:afterAutospacing="0"/>
              <w:textAlignment w:val="baseline"/>
              <w:rPr>
                <w:rFonts w:eastAsia="Times New Roman"/>
                <w:b/>
                <w:bCs/>
                <w:color w:val="000000"/>
              </w:rPr>
            </w:pPr>
            <w:r w:rsidRPr="00B17D0F">
              <w:rPr>
                <w:rFonts w:eastAsia="Times New Roman"/>
                <w:b/>
                <w:bCs/>
                <w:color w:val="000000"/>
              </w:rPr>
              <w:t>Watch:</w:t>
            </w:r>
            <w:r w:rsidR="00A16B2D">
              <w:rPr>
                <w:rFonts w:eastAsia="Times New Roman"/>
                <w:b/>
                <w:bCs/>
                <w:color w:val="000000"/>
              </w:rPr>
              <w:t xml:space="preserve"> </w:t>
            </w:r>
            <w:hyperlink r:id="rId15" w:history="1">
              <w:r w:rsidRPr="00B17D0F">
                <w:rPr>
                  <w:rStyle w:val="Hyperlink"/>
                  <w:rFonts w:eastAsia="Times New Roman"/>
                  <w:b/>
                  <w:bCs/>
                </w:rPr>
                <w:t>Service Delivery M</w:t>
              </w:r>
              <w:r w:rsidRPr="00B17D0F">
                <w:rPr>
                  <w:rStyle w:val="Hyperlink"/>
                  <w:rFonts w:eastAsia="Times New Roman"/>
                  <w:b/>
                  <w:bCs/>
                </w:rPr>
                <w:t>o</w:t>
              </w:r>
              <w:r w:rsidRPr="00B17D0F">
                <w:rPr>
                  <w:rStyle w:val="Hyperlink"/>
                  <w:rFonts w:eastAsia="Times New Roman"/>
                  <w:b/>
                  <w:bCs/>
                </w:rPr>
                <w:t>dels</w:t>
              </w:r>
            </w:hyperlink>
            <w:r w:rsidRPr="00B17D0F">
              <w:rPr>
                <w:rFonts w:eastAsia="Times New Roman"/>
                <w:b/>
                <w:bCs/>
                <w:color w:val="000000"/>
              </w:rPr>
              <w:t xml:space="preserve"> 12:19 minutes </w:t>
            </w:r>
            <w:r w:rsidRPr="00B17D0F">
              <w:rPr>
                <w:rFonts w:eastAsia="Times New Roman"/>
                <w:color w:val="000000"/>
              </w:rPr>
              <w:t>(prior to part 1)</w:t>
            </w:r>
          </w:p>
          <w:p w14:paraId="68B8F791" w14:textId="3BD053AC" w:rsidR="00B17D0F" w:rsidRPr="00B17D0F" w:rsidRDefault="00B17D0F" w:rsidP="00B17D0F">
            <w:pPr>
              <w:pStyle w:val="paragraph"/>
              <w:numPr>
                <w:ilvl w:val="0"/>
                <w:numId w:val="5"/>
              </w:numPr>
              <w:shd w:val="clear" w:color="auto" w:fill="FFFFFF"/>
              <w:spacing w:before="0" w:beforeAutospacing="0" w:after="0" w:afterAutospacing="0"/>
              <w:textAlignment w:val="baseline"/>
              <w:rPr>
                <w:rFonts w:eastAsia="Times New Roman"/>
                <w:b/>
                <w:bCs/>
                <w:color w:val="000000"/>
              </w:rPr>
            </w:pPr>
            <w:r w:rsidRPr="00B17D0F">
              <w:rPr>
                <w:rFonts w:eastAsia="Times New Roman"/>
                <w:b/>
                <w:bCs/>
                <w:color w:val="000000"/>
              </w:rPr>
              <w:t xml:space="preserve">Watch: </w:t>
            </w:r>
            <w:hyperlink r:id="rId16" w:history="1">
              <w:r w:rsidRPr="00B17D0F">
                <w:rPr>
                  <w:rStyle w:val="Hyperlink"/>
                  <w:rFonts w:cstheme="minorHAnsi"/>
                  <w:b/>
                  <w:bCs/>
                  <w:color w:val="1155CC"/>
                </w:rPr>
                <w:t>Strategies for Org</w:t>
              </w:r>
              <w:r w:rsidRPr="00B17D0F">
                <w:rPr>
                  <w:rStyle w:val="Hyperlink"/>
                  <w:rFonts w:cstheme="minorHAnsi"/>
                  <w:b/>
                  <w:bCs/>
                  <w:color w:val="1155CC"/>
                </w:rPr>
                <w:t>a</w:t>
              </w:r>
              <w:r w:rsidRPr="00B17D0F">
                <w:rPr>
                  <w:rStyle w:val="Hyperlink"/>
                  <w:rFonts w:cstheme="minorHAnsi"/>
                  <w:b/>
                  <w:bCs/>
                  <w:color w:val="1155CC"/>
                </w:rPr>
                <w:t>nizational Change Final.mp4</w:t>
              </w:r>
            </w:hyperlink>
            <w:r w:rsidRPr="00B17D0F">
              <w:rPr>
                <w:rFonts w:ascii="Arial" w:hAnsi="Arial" w:cs="Arial"/>
                <w:color w:val="222222"/>
              </w:rPr>
              <w:t> </w:t>
            </w:r>
            <w:r w:rsidRPr="00B17D0F">
              <w:rPr>
                <w:rFonts w:eastAsia="Times New Roman"/>
                <w:color w:val="000000"/>
              </w:rPr>
              <w:t>(prior to part 2)</w:t>
            </w:r>
          </w:p>
          <w:p w14:paraId="75C400C0" w14:textId="77777777" w:rsidR="00B900B0" w:rsidRDefault="00B900B0" w:rsidP="00B900B0">
            <w:pPr>
              <w:rPr>
                <w:rFonts w:cstheme="minorHAnsi"/>
              </w:rPr>
            </w:pPr>
          </w:p>
          <w:p w14:paraId="58F14761" w14:textId="75812060" w:rsidR="00F16B59" w:rsidRPr="00F70CAF" w:rsidRDefault="00F16B59" w:rsidP="005E5408">
            <w:pPr>
              <w:pStyle w:val="paragraph"/>
              <w:shd w:val="clear" w:color="auto" w:fill="FFFFFF"/>
              <w:spacing w:before="0" w:beforeAutospacing="0" w:after="0" w:afterAutospacing="0"/>
              <w:textAlignment w:val="baseline"/>
              <w:rPr>
                <w:rFonts w:cstheme="minorHAnsi"/>
              </w:rPr>
            </w:pPr>
          </w:p>
        </w:tc>
      </w:tr>
      <w:tr w:rsidR="00E77ECF" w:rsidRPr="00F70CAF" w14:paraId="0270907A" w14:textId="77777777" w:rsidTr="00BB467A">
        <w:tc>
          <w:tcPr>
            <w:tcW w:w="9450" w:type="dxa"/>
            <w:gridSpan w:val="2"/>
          </w:tcPr>
          <w:p w14:paraId="31A7839B" w14:textId="09C95157" w:rsidR="00E77ECF" w:rsidRPr="00F70CAF" w:rsidRDefault="00E77ECF" w:rsidP="00E02C23">
            <w:pPr>
              <w:rPr>
                <w:rFonts w:cstheme="minorHAnsi"/>
                <w:b/>
                <w:color w:val="385623" w:themeColor="accent6" w:themeShade="80"/>
                <w:highlight w:val="lightGray"/>
              </w:rPr>
            </w:pPr>
            <w:r w:rsidRPr="00F70CAF">
              <w:rPr>
                <w:rFonts w:cstheme="minorHAnsi"/>
                <w:b/>
                <w:color w:val="385623" w:themeColor="accent6" w:themeShade="80"/>
                <w:highlight w:val="lightGray"/>
              </w:rPr>
              <w:lastRenderedPageBreak/>
              <w:t xml:space="preserve">Module 4: Financing reimagining PHC </w:t>
            </w:r>
          </w:p>
        </w:tc>
      </w:tr>
      <w:tr w:rsidR="00B900B0" w:rsidRPr="00F70CAF" w14:paraId="2A48D22A" w14:textId="77777777" w:rsidTr="00E77ECF">
        <w:tc>
          <w:tcPr>
            <w:tcW w:w="1890" w:type="dxa"/>
          </w:tcPr>
          <w:p w14:paraId="33635085" w14:textId="77777777" w:rsidR="00B900B0" w:rsidRPr="00F70CAF" w:rsidRDefault="00B900B0" w:rsidP="00E02C23">
            <w:pPr>
              <w:pStyle w:val="TableParagraph"/>
              <w:spacing w:before="15"/>
              <w:ind w:left="0" w:right="157" w:firstLine="250"/>
              <w:rPr>
                <w:rFonts w:asciiTheme="minorHAnsi" w:hAnsiTheme="minorHAnsi" w:cstheme="minorHAnsi"/>
                <w:b/>
              </w:rPr>
            </w:pPr>
            <w:r w:rsidRPr="00F70CAF">
              <w:rPr>
                <w:rFonts w:asciiTheme="minorHAnsi" w:hAnsiTheme="minorHAnsi" w:cstheme="minorHAnsi"/>
                <w:b/>
              </w:rPr>
              <w:t>Date</w:t>
            </w:r>
          </w:p>
        </w:tc>
        <w:tc>
          <w:tcPr>
            <w:tcW w:w="7560" w:type="dxa"/>
          </w:tcPr>
          <w:p w14:paraId="15FF5640" w14:textId="57069991" w:rsidR="00B900B0" w:rsidRPr="00F70CAF" w:rsidRDefault="00B900B0" w:rsidP="00B900B0">
            <w:pPr>
              <w:rPr>
                <w:rFonts w:cstheme="minorHAnsi"/>
              </w:rPr>
            </w:pPr>
            <w:r w:rsidRPr="00F70CAF">
              <w:rPr>
                <w:rFonts w:cstheme="minorHAnsi"/>
              </w:rPr>
              <w:t>Part 1: April 29, 2022</w:t>
            </w:r>
          </w:p>
          <w:p w14:paraId="0414BAA4" w14:textId="7539B831" w:rsidR="00B900B0" w:rsidRPr="00F70CAF" w:rsidRDefault="00B900B0" w:rsidP="00B900B0">
            <w:pPr>
              <w:rPr>
                <w:rFonts w:cstheme="minorHAnsi"/>
              </w:rPr>
            </w:pPr>
            <w:r w:rsidRPr="00F70CAF">
              <w:rPr>
                <w:rFonts w:cstheme="minorHAnsi"/>
              </w:rPr>
              <w:t>Part 2: May 2, 2022</w:t>
            </w:r>
          </w:p>
        </w:tc>
      </w:tr>
      <w:tr w:rsidR="00B900B0" w:rsidRPr="00F70CAF" w14:paraId="72499637" w14:textId="77777777" w:rsidTr="00E77ECF">
        <w:tc>
          <w:tcPr>
            <w:tcW w:w="1890" w:type="dxa"/>
          </w:tcPr>
          <w:p w14:paraId="46B34BA8" w14:textId="77777777" w:rsidR="00B900B0" w:rsidRPr="00F70CAF" w:rsidRDefault="00B900B0" w:rsidP="00E02C23">
            <w:pPr>
              <w:ind w:firstLine="250"/>
              <w:rPr>
                <w:rFonts w:cstheme="minorHAnsi"/>
              </w:rPr>
            </w:pPr>
            <w:r w:rsidRPr="00F70CAF">
              <w:rPr>
                <w:rFonts w:cstheme="minorHAnsi"/>
                <w:b/>
              </w:rPr>
              <w:t xml:space="preserve">Objective </w:t>
            </w:r>
          </w:p>
        </w:tc>
        <w:tc>
          <w:tcPr>
            <w:tcW w:w="7560" w:type="dxa"/>
          </w:tcPr>
          <w:p w14:paraId="74AAACFF" w14:textId="77777777" w:rsidR="00E77ECF" w:rsidRPr="00F70CAF" w:rsidRDefault="00E77ECF" w:rsidP="00E77ECF">
            <w:pPr>
              <w:pStyle w:val="paragraph"/>
              <w:spacing w:before="0" w:beforeAutospacing="0" w:after="0" w:afterAutospacing="0"/>
              <w:textAlignment w:val="baseline"/>
              <w:rPr>
                <w:rFonts w:asciiTheme="minorHAnsi" w:eastAsiaTheme="minorHAnsi" w:hAnsiTheme="minorHAnsi" w:cstheme="minorHAnsi"/>
                <w:lang w:val="pt-PT" w:eastAsia="en-US"/>
              </w:rPr>
            </w:pPr>
            <w:r w:rsidRPr="00F70CAF">
              <w:rPr>
                <w:rFonts w:asciiTheme="minorHAnsi" w:eastAsiaTheme="minorHAnsi" w:hAnsiTheme="minorHAnsi" w:cstheme="minorHAnsi"/>
                <w:lang w:val="pt-PT" w:eastAsia="en-US"/>
              </w:rPr>
              <w:t xml:space="preserve">This module will enable participants to understand the key principles of health financing for PHC, introduce global experiences in health financing reforms for PHC reimagination, and identify resources for participants to further strengthen their understanding of health financing for PHC. </w:t>
            </w:r>
          </w:p>
          <w:p w14:paraId="676A40EC" w14:textId="77777777" w:rsidR="00B900B0" w:rsidRPr="00F70CAF" w:rsidRDefault="00B900B0" w:rsidP="00E02C23">
            <w:pPr>
              <w:rPr>
                <w:rFonts w:cstheme="minorHAnsi"/>
              </w:rPr>
            </w:pPr>
          </w:p>
        </w:tc>
      </w:tr>
      <w:tr w:rsidR="00E77ECF" w:rsidRPr="00F70CAF" w14:paraId="2E1F6C46" w14:textId="77777777" w:rsidTr="00E77ECF">
        <w:tc>
          <w:tcPr>
            <w:tcW w:w="1890" w:type="dxa"/>
          </w:tcPr>
          <w:p w14:paraId="0C14BF2F" w14:textId="1664637F" w:rsidR="00E77ECF" w:rsidRPr="00F70CAF" w:rsidRDefault="00FC6F5F" w:rsidP="00E77ECF">
            <w:pPr>
              <w:pStyle w:val="TableParagraph"/>
              <w:spacing w:before="15"/>
              <w:ind w:left="0" w:right="97" w:firstLine="250"/>
              <w:rPr>
                <w:rFonts w:asciiTheme="minorHAnsi" w:hAnsiTheme="minorHAnsi" w:cstheme="minorHAnsi"/>
                <w:b/>
              </w:rPr>
            </w:pPr>
            <w:r>
              <w:rPr>
                <w:rFonts w:asciiTheme="minorHAnsi" w:hAnsiTheme="minorHAnsi" w:cstheme="minorHAnsi"/>
                <w:b/>
              </w:rPr>
              <w:t>L</w:t>
            </w:r>
            <w:r w:rsidR="00E77ECF" w:rsidRPr="00F70CAF">
              <w:rPr>
                <w:rFonts w:asciiTheme="minorHAnsi" w:hAnsiTheme="minorHAnsi" w:cstheme="minorHAnsi"/>
                <w:b/>
              </w:rPr>
              <w:t xml:space="preserve">eads </w:t>
            </w:r>
          </w:p>
        </w:tc>
        <w:tc>
          <w:tcPr>
            <w:tcW w:w="7560" w:type="dxa"/>
          </w:tcPr>
          <w:p w14:paraId="12F723A7" w14:textId="70CE2293" w:rsidR="00E77ECF" w:rsidRPr="00F70CAF" w:rsidRDefault="00E77ECF" w:rsidP="00E77ECF">
            <w:pPr>
              <w:rPr>
                <w:rFonts w:cstheme="minorHAnsi"/>
              </w:rPr>
            </w:pPr>
            <w:r w:rsidRPr="00F70CAF">
              <w:rPr>
                <w:rFonts w:cstheme="minorHAnsi"/>
              </w:rPr>
              <w:t>Adanna Chukwuma &amp; Sarah Alkenbrack</w:t>
            </w:r>
          </w:p>
        </w:tc>
      </w:tr>
      <w:tr w:rsidR="00E77ECF" w:rsidRPr="00F70CAF" w14:paraId="744DFC24" w14:textId="77777777" w:rsidTr="00E77ECF">
        <w:tc>
          <w:tcPr>
            <w:tcW w:w="1890" w:type="dxa"/>
          </w:tcPr>
          <w:p w14:paraId="06899286" w14:textId="3EEC9E1F" w:rsidR="00E77ECF" w:rsidRPr="00356DB4" w:rsidRDefault="00356DB4" w:rsidP="00E77ECF">
            <w:pPr>
              <w:ind w:firstLine="250"/>
              <w:rPr>
                <w:rFonts w:cstheme="minorHAnsi"/>
                <w:b/>
                <w:bCs/>
              </w:rPr>
            </w:pPr>
            <w:r w:rsidRPr="00356DB4">
              <w:rPr>
                <w:rFonts w:cstheme="minorHAnsi"/>
                <w:b/>
                <w:bCs/>
              </w:rPr>
              <w:t>Resources</w:t>
            </w:r>
          </w:p>
        </w:tc>
        <w:tc>
          <w:tcPr>
            <w:tcW w:w="7560" w:type="dxa"/>
          </w:tcPr>
          <w:p w14:paraId="30AD007E" w14:textId="61D3CE4E" w:rsidR="00D12E9E" w:rsidRDefault="00805C21" w:rsidP="00A5310C">
            <w:pPr>
              <w:pStyle w:val="paragraph"/>
              <w:shd w:val="clear" w:color="auto" w:fill="FFFFFF"/>
              <w:spacing w:before="0" w:beforeAutospacing="0" w:after="0" w:afterAutospacing="0"/>
              <w:textAlignment w:val="baseline"/>
              <w:rPr>
                <w:rStyle w:val="eop"/>
                <w:rFonts w:eastAsia="Times New Roman"/>
                <w:color w:val="201F1E"/>
              </w:rPr>
            </w:pPr>
            <w:hyperlink r:id="rId17" w:history="1">
              <w:r w:rsidRPr="008E0791">
                <w:rPr>
                  <w:rStyle w:val="Hyperlink"/>
                  <w:rFonts w:eastAsia="Times New Roman"/>
                  <w:lang w:val="en"/>
                </w:rPr>
                <w:t>Walking the Talk: Re</w:t>
              </w:r>
              <w:r w:rsidRPr="008E0791">
                <w:rPr>
                  <w:rStyle w:val="Hyperlink"/>
                  <w:rFonts w:eastAsia="Times New Roman"/>
                </w:rPr>
                <w:t>imagining Primary Health Care after COVID 19</w:t>
              </w:r>
            </w:hyperlink>
            <w:r>
              <w:rPr>
                <w:rStyle w:val="normaltextrun"/>
                <w:rFonts w:eastAsia="Times New Roman"/>
                <w:color w:val="0000FF"/>
                <w:u w:val="single"/>
              </w:rPr>
              <w:t xml:space="preserve"> </w:t>
            </w:r>
            <w:r w:rsidR="00D12E9E">
              <w:rPr>
                <w:rStyle w:val="normaltextrun"/>
                <w:rFonts w:eastAsia="Times New Roman"/>
                <w:color w:val="201F1E"/>
              </w:rPr>
              <w:t xml:space="preserve"> -</w:t>
            </w:r>
            <w:r>
              <w:rPr>
                <w:rStyle w:val="normaltextrun"/>
                <w:rFonts w:eastAsia="Times New Roman"/>
                <w:color w:val="201F1E"/>
              </w:rPr>
              <w:t xml:space="preserve"> </w:t>
            </w:r>
            <w:r w:rsidR="00D12E9E">
              <w:rPr>
                <w:rStyle w:val="normaltextrun"/>
                <w:rFonts w:eastAsia="Times New Roman"/>
                <w:color w:val="201F1E"/>
                <w:lang w:val="en"/>
              </w:rPr>
              <w:t xml:space="preserve">Chapter 4, pages </w:t>
            </w:r>
            <w:r w:rsidR="003E6703">
              <w:rPr>
                <w:rStyle w:val="normaltextrun"/>
                <w:rFonts w:eastAsia="Times New Roman"/>
                <w:color w:val="201F1E"/>
                <w:lang w:val="en"/>
              </w:rPr>
              <w:t>125</w:t>
            </w:r>
            <w:r w:rsidR="00D12E9E">
              <w:rPr>
                <w:rStyle w:val="normaltextrun"/>
                <w:rFonts w:eastAsia="Times New Roman"/>
                <w:color w:val="201F1E"/>
                <w:lang w:val="en"/>
              </w:rPr>
              <w:t>-1</w:t>
            </w:r>
            <w:r w:rsidR="00D6088D">
              <w:rPr>
                <w:rStyle w:val="normaltextrun"/>
                <w:rFonts w:eastAsia="Times New Roman"/>
                <w:color w:val="201F1E"/>
                <w:lang w:val="en"/>
              </w:rPr>
              <w:t xml:space="preserve">57 </w:t>
            </w:r>
            <w:r w:rsidR="00D12E9E">
              <w:rPr>
                <w:rStyle w:val="normaltextrun"/>
                <w:rFonts w:eastAsia="Times New Roman"/>
                <w:color w:val="201F1E"/>
                <w:lang w:val="en"/>
              </w:rPr>
              <w:t>and Chapter 5,</w:t>
            </w:r>
            <w:r w:rsidR="00D12E9E">
              <w:rPr>
                <w:rStyle w:val="normaltextrun"/>
                <w:rFonts w:eastAsia="Times New Roman"/>
                <w:color w:val="000000"/>
              </w:rPr>
              <w:t> pages 1</w:t>
            </w:r>
            <w:r w:rsidR="006B6DE1">
              <w:rPr>
                <w:rStyle w:val="normaltextrun"/>
                <w:rFonts w:eastAsia="Times New Roman"/>
                <w:color w:val="000000"/>
              </w:rPr>
              <w:t>92</w:t>
            </w:r>
            <w:r w:rsidR="00D12E9E">
              <w:rPr>
                <w:rStyle w:val="normaltextrun"/>
                <w:rFonts w:eastAsia="Times New Roman"/>
                <w:color w:val="000000"/>
              </w:rPr>
              <w:t>-1</w:t>
            </w:r>
            <w:r w:rsidR="006B6DE1">
              <w:rPr>
                <w:rStyle w:val="normaltextrun"/>
                <w:rFonts w:eastAsia="Times New Roman"/>
                <w:color w:val="000000"/>
              </w:rPr>
              <w:t>94</w:t>
            </w:r>
            <w:r w:rsidR="00D12E9E">
              <w:rPr>
                <w:rStyle w:val="normaltextrun"/>
                <w:rFonts w:eastAsia="Times New Roman"/>
                <w:color w:val="000000"/>
              </w:rPr>
              <w:t>.</w:t>
            </w:r>
            <w:r w:rsidR="00D12E9E">
              <w:rPr>
                <w:rStyle w:val="eop"/>
                <w:rFonts w:eastAsia="Times New Roman"/>
                <w:color w:val="201F1E"/>
              </w:rPr>
              <w:t> </w:t>
            </w:r>
          </w:p>
          <w:p w14:paraId="7B60CA1F" w14:textId="1AF4FD15" w:rsidR="00D12E9E" w:rsidRDefault="00D12E9E" w:rsidP="00A5310C">
            <w:pPr>
              <w:pStyle w:val="paragraph"/>
              <w:shd w:val="clear" w:color="auto" w:fill="FFFFFF"/>
              <w:spacing w:before="0" w:beforeAutospacing="0" w:after="0" w:afterAutospacing="0"/>
              <w:textAlignment w:val="baseline"/>
            </w:pPr>
          </w:p>
          <w:p w14:paraId="439DDCB4" w14:textId="49AE586B" w:rsidR="00D12E9E" w:rsidRPr="00D12E9E" w:rsidRDefault="00D12E9E" w:rsidP="00A5310C">
            <w:pPr>
              <w:pStyle w:val="paragraph"/>
              <w:shd w:val="clear" w:color="auto" w:fill="FFFFFF"/>
              <w:spacing w:before="0" w:beforeAutospacing="0" w:after="0" w:afterAutospacing="0"/>
              <w:textAlignment w:val="baseline"/>
              <w:rPr>
                <w:b/>
                <w:bCs/>
              </w:rPr>
            </w:pPr>
            <w:r w:rsidRPr="00D12E9E">
              <w:rPr>
                <w:b/>
                <w:bCs/>
              </w:rPr>
              <w:t>Required prior to the sessions</w:t>
            </w:r>
          </w:p>
          <w:p w14:paraId="21C2AE95" w14:textId="226BA725" w:rsidR="005B0A98" w:rsidRPr="005B0A98" w:rsidRDefault="00D12E9E" w:rsidP="00D12E9E">
            <w:pPr>
              <w:pStyle w:val="paragraph"/>
              <w:numPr>
                <w:ilvl w:val="0"/>
                <w:numId w:val="14"/>
              </w:numPr>
              <w:shd w:val="clear" w:color="auto" w:fill="FFFFFF"/>
              <w:spacing w:before="0" w:beforeAutospacing="0" w:after="0" w:afterAutospacing="0"/>
              <w:textAlignment w:val="baseline"/>
            </w:pPr>
            <w:r>
              <w:t xml:space="preserve">Read: </w:t>
            </w:r>
            <w:r w:rsidR="005B0A98" w:rsidRPr="005B0A98">
              <w:t xml:space="preserve">Mobilizing and pooling funds for primary health care </w:t>
            </w:r>
            <w:hyperlink r:id="rId18" w:tooltip="https://www.lshtm.ac.uk/media/59971" w:history="1">
              <w:r w:rsidR="005B0A98" w:rsidRPr="005B0A98">
                <w:rPr>
                  <w:rStyle w:val="Hyperlink"/>
                  <w:rFonts w:eastAsia="Times New Roman"/>
                </w:rPr>
                <w:t>here</w:t>
              </w:r>
            </w:hyperlink>
            <w:r w:rsidR="005B0A98" w:rsidRPr="005B0A98">
              <w:rPr>
                <w:rFonts w:eastAsia="Times New Roman"/>
                <w:color w:val="000000"/>
              </w:rPr>
              <w:t xml:space="preserve"> (2 pages)</w:t>
            </w:r>
          </w:p>
          <w:p w14:paraId="1FC64A8E" w14:textId="3AB8A1C7" w:rsidR="005B0A98" w:rsidRPr="005B0A98" w:rsidRDefault="00D12E9E" w:rsidP="00D12E9E">
            <w:pPr>
              <w:pStyle w:val="paragraph"/>
              <w:numPr>
                <w:ilvl w:val="0"/>
                <w:numId w:val="14"/>
              </w:numPr>
              <w:shd w:val="clear" w:color="auto" w:fill="FFFFFF"/>
              <w:spacing w:before="0" w:beforeAutospacing="0" w:after="0" w:afterAutospacing="0"/>
              <w:textAlignment w:val="baseline"/>
            </w:pPr>
            <w:r>
              <w:rPr>
                <w:rFonts w:eastAsia="Times New Roman"/>
                <w:color w:val="000000"/>
              </w:rPr>
              <w:t>R</w:t>
            </w:r>
            <w:r>
              <w:t xml:space="preserve">ead: </w:t>
            </w:r>
            <w:r w:rsidR="005B0A98" w:rsidRPr="005B0A98">
              <w:rPr>
                <w:rFonts w:eastAsia="Times New Roman"/>
                <w:color w:val="000000"/>
              </w:rPr>
              <w:t xml:space="preserve">Allocating resources to Primary Health Care </w:t>
            </w:r>
            <w:hyperlink r:id="rId19" w:tooltip="https://www.lshtm.ac.uk/media/59976" w:history="1">
              <w:r w:rsidR="005B0A98" w:rsidRPr="005B0A98">
                <w:rPr>
                  <w:rStyle w:val="Hyperlink"/>
                  <w:rFonts w:eastAsia="Times New Roman"/>
                </w:rPr>
                <w:t>here</w:t>
              </w:r>
            </w:hyperlink>
            <w:r w:rsidR="005B0A98" w:rsidRPr="005B0A98">
              <w:rPr>
                <w:rFonts w:eastAsia="Times New Roman"/>
                <w:color w:val="000000"/>
              </w:rPr>
              <w:t xml:space="preserve"> and (2 pages)</w:t>
            </w:r>
          </w:p>
          <w:p w14:paraId="597DB6C1" w14:textId="22D1B925" w:rsidR="00CF7E3E" w:rsidRPr="00805C21" w:rsidRDefault="00D12E9E" w:rsidP="00E77ECF">
            <w:pPr>
              <w:pStyle w:val="paragraph"/>
              <w:numPr>
                <w:ilvl w:val="0"/>
                <w:numId w:val="14"/>
              </w:numPr>
              <w:shd w:val="clear" w:color="auto" w:fill="FFFFFF"/>
              <w:spacing w:before="0" w:beforeAutospacing="0" w:after="0" w:afterAutospacing="0"/>
              <w:textAlignment w:val="baseline"/>
            </w:pPr>
            <w:r>
              <w:rPr>
                <w:rFonts w:eastAsia="Times New Roman"/>
                <w:color w:val="000000"/>
              </w:rPr>
              <w:t>R</w:t>
            </w:r>
            <w:r>
              <w:t xml:space="preserve">ead: </w:t>
            </w:r>
            <w:r w:rsidR="005B0A98" w:rsidRPr="005B0A98">
              <w:rPr>
                <w:rFonts w:eastAsia="Times New Roman"/>
                <w:color w:val="000000"/>
              </w:rPr>
              <w:t xml:space="preserve">Getting incentives right for primary health care </w:t>
            </w:r>
            <w:hyperlink r:id="rId20" w:tooltip="https://www.lshtm.ac.uk/media/59981" w:history="1">
              <w:r w:rsidR="005B0A98" w:rsidRPr="005B0A98">
                <w:rPr>
                  <w:rStyle w:val="Hyperlink"/>
                  <w:rFonts w:eastAsia="Times New Roman"/>
                </w:rPr>
                <w:t>here</w:t>
              </w:r>
            </w:hyperlink>
            <w:r w:rsidR="005B0A98" w:rsidRPr="005B0A98">
              <w:rPr>
                <w:rFonts w:eastAsia="Times New Roman"/>
                <w:color w:val="000000"/>
              </w:rPr>
              <w:t>. (2 pages)</w:t>
            </w:r>
          </w:p>
          <w:p w14:paraId="66C6D108" w14:textId="094642B1" w:rsidR="00D12E9E" w:rsidRPr="00F70CAF" w:rsidRDefault="00D12E9E" w:rsidP="00E77ECF">
            <w:pPr>
              <w:rPr>
                <w:rFonts w:cstheme="minorHAnsi"/>
              </w:rPr>
            </w:pPr>
          </w:p>
        </w:tc>
      </w:tr>
      <w:tr w:rsidR="00E77ECF" w:rsidRPr="00F70CAF" w14:paraId="1C617A4B" w14:textId="77777777" w:rsidTr="00B06E6F">
        <w:tc>
          <w:tcPr>
            <w:tcW w:w="9450" w:type="dxa"/>
            <w:gridSpan w:val="2"/>
          </w:tcPr>
          <w:p w14:paraId="644A95CB" w14:textId="77DE890F" w:rsidR="00E77ECF" w:rsidRPr="00F70CAF" w:rsidRDefault="00E77ECF" w:rsidP="00E77ECF">
            <w:pPr>
              <w:rPr>
                <w:rFonts w:cstheme="minorHAnsi"/>
                <w:b/>
                <w:color w:val="385623" w:themeColor="accent6" w:themeShade="80"/>
                <w:highlight w:val="lightGray"/>
              </w:rPr>
            </w:pPr>
            <w:r w:rsidRPr="00F70CAF">
              <w:rPr>
                <w:rFonts w:cstheme="minorHAnsi"/>
                <w:b/>
                <w:color w:val="385623" w:themeColor="accent6" w:themeShade="80"/>
                <w:highlight w:val="lightGray"/>
              </w:rPr>
              <w:t>Module 5: Reimagining health human resource for fit-for-purpose PHC</w:t>
            </w:r>
          </w:p>
        </w:tc>
      </w:tr>
      <w:tr w:rsidR="00E77ECF" w:rsidRPr="00F70CAF" w14:paraId="05971D1B" w14:textId="77777777" w:rsidTr="00E77ECF">
        <w:tc>
          <w:tcPr>
            <w:tcW w:w="1890" w:type="dxa"/>
          </w:tcPr>
          <w:p w14:paraId="5BEC538A" w14:textId="77777777" w:rsidR="00E77ECF" w:rsidRPr="00F70CAF" w:rsidRDefault="00E77ECF" w:rsidP="00E77ECF">
            <w:pPr>
              <w:pStyle w:val="TableParagraph"/>
              <w:spacing w:before="15"/>
              <w:ind w:left="0" w:right="157" w:firstLine="250"/>
              <w:rPr>
                <w:rFonts w:asciiTheme="minorHAnsi" w:hAnsiTheme="minorHAnsi" w:cstheme="minorHAnsi"/>
                <w:b/>
              </w:rPr>
            </w:pPr>
            <w:r w:rsidRPr="00F70CAF">
              <w:rPr>
                <w:rFonts w:asciiTheme="minorHAnsi" w:hAnsiTheme="minorHAnsi" w:cstheme="minorHAnsi"/>
                <w:b/>
              </w:rPr>
              <w:t>Date</w:t>
            </w:r>
          </w:p>
        </w:tc>
        <w:tc>
          <w:tcPr>
            <w:tcW w:w="7560" w:type="dxa"/>
          </w:tcPr>
          <w:p w14:paraId="3356BBC3" w14:textId="77777777" w:rsidR="00E77ECF" w:rsidRPr="00F70CAF" w:rsidRDefault="00E77ECF" w:rsidP="00E77ECF">
            <w:pPr>
              <w:rPr>
                <w:rFonts w:cstheme="minorHAnsi"/>
              </w:rPr>
            </w:pPr>
            <w:r w:rsidRPr="00F70CAF">
              <w:rPr>
                <w:rFonts w:cstheme="minorHAnsi"/>
              </w:rPr>
              <w:t>Part 1: May 2, 2022</w:t>
            </w:r>
          </w:p>
          <w:p w14:paraId="144DBEA3" w14:textId="216DF5EB" w:rsidR="00E77ECF" w:rsidRPr="00F70CAF" w:rsidRDefault="00E77ECF" w:rsidP="00E77ECF">
            <w:pPr>
              <w:rPr>
                <w:rFonts w:cstheme="minorHAnsi"/>
              </w:rPr>
            </w:pPr>
            <w:r w:rsidRPr="00F70CAF">
              <w:rPr>
                <w:rFonts w:cstheme="minorHAnsi"/>
              </w:rPr>
              <w:t>Part 2: May 4, 2022</w:t>
            </w:r>
          </w:p>
        </w:tc>
      </w:tr>
      <w:tr w:rsidR="00E77ECF" w:rsidRPr="00F70CAF" w14:paraId="12162B1B" w14:textId="77777777" w:rsidTr="00E77ECF">
        <w:tc>
          <w:tcPr>
            <w:tcW w:w="1890" w:type="dxa"/>
          </w:tcPr>
          <w:p w14:paraId="11443688" w14:textId="77777777" w:rsidR="00E77ECF" w:rsidRPr="00F70CAF" w:rsidRDefault="00E77ECF" w:rsidP="00E77ECF">
            <w:pPr>
              <w:ind w:firstLine="250"/>
              <w:rPr>
                <w:rFonts w:cstheme="minorHAnsi"/>
              </w:rPr>
            </w:pPr>
            <w:r w:rsidRPr="00F70CAF">
              <w:rPr>
                <w:rFonts w:cstheme="minorHAnsi"/>
                <w:b/>
              </w:rPr>
              <w:t xml:space="preserve">Objective </w:t>
            </w:r>
          </w:p>
        </w:tc>
        <w:tc>
          <w:tcPr>
            <w:tcW w:w="7560" w:type="dxa"/>
          </w:tcPr>
          <w:p w14:paraId="6120E3CD" w14:textId="77777777" w:rsidR="00E77ECF" w:rsidRPr="00F70CAF" w:rsidRDefault="00E77ECF" w:rsidP="00E77ECF">
            <w:pPr>
              <w:rPr>
                <w:rFonts w:cstheme="minorHAnsi"/>
              </w:rPr>
            </w:pPr>
            <w:r w:rsidRPr="00F70CAF">
              <w:rPr>
                <w:rFonts w:cstheme="minorHAnsi"/>
              </w:rPr>
              <w:t xml:space="preserve">This module will enable participants to understand why HRH reform is vital for reimagining PHC, introduce global experiences in HRH reform experiences for  PHC reimagination, and idenfity resources and tools for HRH policy analysis. </w:t>
            </w:r>
          </w:p>
          <w:p w14:paraId="00ECA8D9" w14:textId="77777777" w:rsidR="00E77ECF" w:rsidRPr="00F70CAF" w:rsidRDefault="00E77ECF" w:rsidP="00E77ECF">
            <w:pPr>
              <w:pStyle w:val="paragraph"/>
              <w:spacing w:before="0" w:beforeAutospacing="0" w:after="0" w:afterAutospacing="0"/>
              <w:textAlignment w:val="baseline"/>
              <w:rPr>
                <w:rFonts w:asciiTheme="minorHAnsi" w:hAnsiTheme="minorHAnsi" w:cstheme="minorHAnsi"/>
              </w:rPr>
            </w:pPr>
          </w:p>
        </w:tc>
      </w:tr>
      <w:tr w:rsidR="00E77ECF" w:rsidRPr="00F70CAF" w14:paraId="2453C7F3" w14:textId="77777777" w:rsidTr="00E77ECF">
        <w:tc>
          <w:tcPr>
            <w:tcW w:w="1890" w:type="dxa"/>
          </w:tcPr>
          <w:p w14:paraId="77806CF8" w14:textId="123E9675" w:rsidR="00E77ECF" w:rsidRPr="00F70CAF" w:rsidRDefault="00FC6F5F" w:rsidP="00E77ECF">
            <w:pPr>
              <w:pStyle w:val="TableParagraph"/>
              <w:spacing w:before="15"/>
              <w:ind w:left="0" w:right="97" w:firstLine="250"/>
              <w:rPr>
                <w:rFonts w:asciiTheme="minorHAnsi" w:hAnsiTheme="minorHAnsi" w:cstheme="minorHAnsi"/>
                <w:b/>
              </w:rPr>
            </w:pPr>
            <w:r>
              <w:rPr>
                <w:rFonts w:asciiTheme="minorHAnsi" w:hAnsiTheme="minorHAnsi" w:cstheme="minorHAnsi"/>
                <w:b/>
              </w:rPr>
              <w:t>L</w:t>
            </w:r>
            <w:r w:rsidR="00E77ECF" w:rsidRPr="00F70CAF">
              <w:rPr>
                <w:rFonts w:asciiTheme="minorHAnsi" w:hAnsiTheme="minorHAnsi" w:cstheme="minorHAnsi"/>
                <w:b/>
              </w:rPr>
              <w:t xml:space="preserve">eads </w:t>
            </w:r>
          </w:p>
        </w:tc>
        <w:tc>
          <w:tcPr>
            <w:tcW w:w="7560" w:type="dxa"/>
          </w:tcPr>
          <w:p w14:paraId="14E15A59" w14:textId="6D82F518" w:rsidR="00E77ECF" w:rsidRPr="00F70CAF" w:rsidRDefault="00E77ECF" w:rsidP="00E77ECF">
            <w:pPr>
              <w:rPr>
                <w:rFonts w:cstheme="minorHAnsi"/>
              </w:rPr>
            </w:pPr>
            <w:r w:rsidRPr="00F70CAF">
              <w:rPr>
                <w:rFonts w:cstheme="minorHAnsi"/>
              </w:rPr>
              <w:t>Kate Tulenko</w:t>
            </w:r>
          </w:p>
        </w:tc>
      </w:tr>
      <w:tr w:rsidR="00E77ECF" w:rsidRPr="00F70CAF" w14:paraId="0C715F7F" w14:textId="77777777" w:rsidTr="00E77ECF">
        <w:tc>
          <w:tcPr>
            <w:tcW w:w="1890" w:type="dxa"/>
          </w:tcPr>
          <w:p w14:paraId="3D2A70EC" w14:textId="38AA4345" w:rsidR="00E77ECF" w:rsidRPr="00356DB4" w:rsidRDefault="00356DB4" w:rsidP="00E77ECF">
            <w:pPr>
              <w:ind w:firstLine="250"/>
              <w:rPr>
                <w:rFonts w:cstheme="minorHAnsi"/>
                <w:b/>
                <w:bCs/>
              </w:rPr>
            </w:pPr>
            <w:r w:rsidRPr="00356DB4">
              <w:rPr>
                <w:rFonts w:cstheme="minorHAnsi"/>
                <w:b/>
                <w:bCs/>
              </w:rPr>
              <w:t>Resources</w:t>
            </w:r>
          </w:p>
        </w:tc>
        <w:tc>
          <w:tcPr>
            <w:tcW w:w="7560" w:type="dxa"/>
          </w:tcPr>
          <w:p w14:paraId="7230E764" w14:textId="3BDF09FC" w:rsidR="00AC0043" w:rsidRDefault="00AC0043" w:rsidP="00A5310C">
            <w:pPr>
              <w:pStyle w:val="paragraph"/>
              <w:shd w:val="clear" w:color="auto" w:fill="FFFFFF"/>
              <w:spacing w:before="0" w:beforeAutospacing="0" w:after="0" w:afterAutospacing="0"/>
              <w:textAlignment w:val="baseline"/>
              <w:rPr>
                <w:b/>
                <w:bCs/>
              </w:rPr>
            </w:pPr>
            <w:r>
              <w:rPr>
                <w:rStyle w:val="normaltextrun"/>
                <w:b/>
                <w:bCs/>
                <w:color w:val="201F1E"/>
                <w:lang w:val="en"/>
              </w:rPr>
              <w:t>Required</w:t>
            </w:r>
            <w:r w:rsidR="00FC6F5F">
              <w:rPr>
                <w:rStyle w:val="normaltextrun"/>
                <w:b/>
                <w:bCs/>
                <w:color w:val="201F1E"/>
                <w:lang w:val="en"/>
              </w:rPr>
              <w:t xml:space="preserve"> </w:t>
            </w:r>
            <w:r w:rsidR="00101656">
              <w:rPr>
                <w:rStyle w:val="normaltextrun"/>
                <w:b/>
                <w:bCs/>
                <w:color w:val="201F1E"/>
                <w:lang w:val="en"/>
              </w:rPr>
              <w:t>prior to the session</w:t>
            </w:r>
            <w:r>
              <w:rPr>
                <w:rStyle w:val="normaltextrun"/>
                <w:b/>
                <w:bCs/>
                <w:color w:val="201F1E"/>
                <w:lang w:val="en"/>
              </w:rPr>
              <w:t xml:space="preserve">: </w:t>
            </w:r>
          </w:p>
          <w:p w14:paraId="5929E3C8" w14:textId="0BFA0DE5" w:rsidR="00AC0043" w:rsidRDefault="00AC0043" w:rsidP="00A5310C">
            <w:pPr>
              <w:pStyle w:val="paragraph"/>
              <w:numPr>
                <w:ilvl w:val="0"/>
                <w:numId w:val="5"/>
              </w:numPr>
              <w:shd w:val="clear" w:color="auto" w:fill="FFFFFF"/>
              <w:spacing w:before="0" w:beforeAutospacing="0" w:after="0" w:afterAutospacing="0"/>
              <w:textAlignment w:val="baseline"/>
              <w:rPr>
                <w:rFonts w:eastAsia="Times New Roman"/>
              </w:rPr>
            </w:pPr>
            <w:r>
              <w:rPr>
                <w:rStyle w:val="normaltextrun"/>
                <w:rFonts w:eastAsia="Times New Roman"/>
                <w:color w:val="201F1E"/>
                <w:lang w:val="en"/>
              </w:rPr>
              <w:t>Review: </w:t>
            </w:r>
            <w:hyperlink r:id="rId21" w:tgtFrame="_blank" w:history="1">
              <w:r>
                <w:rPr>
                  <w:rStyle w:val="normaltextrun"/>
                  <w:rFonts w:eastAsia="Times New Roman"/>
                  <w:color w:val="0000FF"/>
                  <w:lang w:val="en"/>
                </w:rPr>
                <w:t>Health Workforce Labor Market Model</w:t>
              </w:r>
            </w:hyperlink>
            <w:r>
              <w:rPr>
                <w:rStyle w:val="eop"/>
                <w:rFonts w:eastAsia="Times New Roman"/>
                <w:color w:val="201F1E"/>
              </w:rPr>
              <w:t> </w:t>
            </w:r>
          </w:p>
          <w:p w14:paraId="3714649F" w14:textId="77777777" w:rsidR="00AC0043" w:rsidRDefault="00AC0043" w:rsidP="00A5310C">
            <w:pPr>
              <w:pStyle w:val="paragraph"/>
              <w:numPr>
                <w:ilvl w:val="0"/>
                <w:numId w:val="5"/>
              </w:numPr>
              <w:shd w:val="clear" w:color="auto" w:fill="FFFFFF"/>
              <w:spacing w:before="0" w:beforeAutospacing="0" w:after="0" w:afterAutospacing="0"/>
              <w:textAlignment w:val="baseline"/>
              <w:rPr>
                <w:rFonts w:eastAsia="Times New Roman"/>
              </w:rPr>
            </w:pPr>
            <w:r>
              <w:rPr>
                <w:rStyle w:val="normaltextrun"/>
                <w:rFonts w:eastAsia="Times New Roman"/>
                <w:color w:val="201F1E"/>
                <w:lang w:val="en"/>
              </w:rPr>
              <w:t>Review: </w:t>
            </w:r>
            <w:r>
              <w:rPr>
                <w:rStyle w:val="normaltextrun"/>
                <w:rFonts w:eastAsia="Times New Roman"/>
                <w:color w:val="000000"/>
                <w:lang w:val="en"/>
              </w:rPr>
              <w:t xml:space="preserve"> </w:t>
            </w:r>
            <w:hyperlink r:id="rId22" w:tgtFrame="_blank" w:history="1">
              <w:r>
                <w:rPr>
                  <w:rStyle w:val="normaltextrun"/>
                  <w:rFonts w:eastAsia="Times New Roman"/>
                  <w:color w:val="0000FF"/>
                  <w:lang w:val="en"/>
                </w:rPr>
                <w:t>HRH - Three Depictions of the HRH Labor Market Model</w:t>
              </w:r>
            </w:hyperlink>
            <w:r>
              <w:rPr>
                <w:rStyle w:val="eop"/>
                <w:rFonts w:eastAsia="Times New Roman"/>
                <w:color w:val="201F1E"/>
              </w:rPr>
              <w:t> </w:t>
            </w:r>
          </w:p>
          <w:p w14:paraId="2464EFFF" w14:textId="62B89482" w:rsidR="00AC0043" w:rsidRPr="00417414" w:rsidRDefault="00AC0043" w:rsidP="00A5310C">
            <w:pPr>
              <w:pStyle w:val="paragraph"/>
              <w:numPr>
                <w:ilvl w:val="0"/>
                <w:numId w:val="5"/>
              </w:numPr>
              <w:shd w:val="clear" w:color="auto" w:fill="FFFFFF"/>
              <w:spacing w:before="0" w:beforeAutospacing="0" w:after="0" w:afterAutospacing="0"/>
              <w:textAlignment w:val="baseline"/>
              <w:rPr>
                <w:rStyle w:val="eop"/>
                <w:rFonts w:eastAsia="Times New Roman"/>
              </w:rPr>
            </w:pPr>
            <w:r>
              <w:rPr>
                <w:rStyle w:val="normaltextrun"/>
                <w:rFonts w:eastAsia="Times New Roman"/>
                <w:color w:val="201F1E"/>
                <w:lang w:val="en"/>
              </w:rPr>
              <w:t>Read:</w:t>
            </w:r>
            <w:r>
              <w:rPr>
                <w:rStyle w:val="normaltextrun"/>
                <w:rFonts w:eastAsia="Times New Roman"/>
                <w:color w:val="000000"/>
              </w:rPr>
              <w:t> </w:t>
            </w:r>
            <w:hyperlink r:id="rId23" w:tgtFrame="_blank" w:history="1">
              <w:r>
                <w:rPr>
                  <w:rStyle w:val="normaltextrun"/>
                  <w:rFonts w:eastAsia="Times New Roman"/>
                  <w:color w:val="0000FF"/>
                  <w:lang w:val="en"/>
                </w:rPr>
                <w:t>Walking the Talk: Re</w:t>
              </w:r>
              <w:r>
                <w:rPr>
                  <w:rStyle w:val="normaltextrun"/>
                  <w:rFonts w:eastAsia="Times New Roman"/>
                  <w:color w:val="0000FF"/>
                </w:rPr>
                <w:t xml:space="preserve">imagining Primary Health Care after </w:t>
              </w:r>
              <w:r>
                <w:rPr>
                  <w:rStyle w:val="normaltextrun"/>
                  <w:rFonts w:eastAsia="Times New Roman"/>
                  <w:color w:val="0000FF"/>
                  <w:u w:val="single"/>
                </w:rPr>
                <w:t>COVID 19</w:t>
              </w:r>
            </w:hyperlink>
            <w:r>
              <w:rPr>
                <w:rStyle w:val="normaltextrun"/>
                <w:rFonts w:eastAsia="Times New Roman"/>
                <w:color w:val="201F1E"/>
              </w:rPr>
              <w:t xml:space="preserve"> -</w:t>
            </w:r>
            <w:r w:rsidR="00805C21">
              <w:rPr>
                <w:rStyle w:val="normaltextrun"/>
                <w:rFonts w:eastAsia="Times New Roman"/>
                <w:color w:val="201F1E"/>
              </w:rPr>
              <w:t xml:space="preserve"> </w:t>
            </w:r>
            <w:r>
              <w:rPr>
                <w:rStyle w:val="normaltextrun"/>
                <w:rFonts w:eastAsia="Times New Roman"/>
                <w:color w:val="201F1E"/>
                <w:lang w:val="en"/>
              </w:rPr>
              <w:t xml:space="preserve">Chapter 4, pages </w:t>
            </w:r>
            <w:r w:rsidR="008D0097">
              <w:rPr>
                <w:rStyle w:val="normaltextrun"/>
                <w:rFonts w:eastAsia="Times New Roman"/>
                <w:color w:val="201F1E"/>
                <w:lang w:val="en"/>
              </w:rPr>
              <w:t>103</w:t>
            </w:r>
            <w:r>
              <w:rPr>
                <w:rStyle w:val="normaltextrun"/>
                <w:rFonts w:eastAsia="Times New Roman"/>
                <w:color w:val="201F1E"/>
                <w:lang w:val="en"/>
              </w:rPr>
              <w:t>-1</w:t>
            </w:r>
            <w:r w:rsidR="008D0097">
              <w:rPr>
                <w:rStyle w:val="normaltextrun"/>
                <w:rFonts w:eastAsia="Times New Roman"/>
                <w:color w:val="201F1E"/>
                <w:lang w:val="en"/>
              </w:rPr>
              <w:t>25</w:t>
            </w:r>
            <w:r>
              <w:rPr>
                <w:rStyle w:val="normaltextrun"/>
                <w:rFonts w:eastAsia="Times New Roman"/>
                <w:color w:val="201F1E"/>
                <w:lang w:val="en"/>
              </w:rPr>
              <w:t xml:space="preserve"> and Chapter 5,</w:t>
            </w:r>
            <w:r>
              <w:rPr>
                <w:rStyle w:val="normaltextrun"/>
                <w:rFonts w:eastAsia="Times New Roman"/>
                <w:color w:val="000000"/>
              </w:rPr>
              <w:t xml:space="preserve">  pages </w:t>
            </w:r>
            <w:r w:rsidR="00726231">
              <w:rPr>
                <w:rStyle w:val="normaltextrun"/>
                <w:rFonts w:eastAsia="Times New Roman"/>
                <w:color w:val="000000"/>
              </w:rPr>
              <w:t>190</w:t>
            </w:r>
            <w:r>
              <w:rPr>
                <w:rStyle w:val="normaltextrun"/>
                <w:rFonts w:eastAsia="Times New Roman"/>
                <w:color w:val="000000"/>
              </w:rPr>
              <w:t>-1</w:t>
            </w:r>
            <w:r w:rsidR="00726231">
              <w:rPr>
                <w:rStyle w:val="normaltextrun"/>
                <w:rFonts w:eastAsia="Times New Roman"/>
                <w:color w:val="000000"/>
              </w:rPr>
              <w:t>92</w:t>
            </w:r>
            <w:r>
              <w:rPr>
                <w:rStyle w:val="normaltextrun"/>
                <w:rFonts w:eastAsia="Times New Roman"/>
                <w:color w:val="000000"/>
              </w:rPr>
              <w:t>.</w:t>
            </w:r>
            <w:r>
              <w:rPr>
                <w:rStyle w:val="eop"/>
                <w:rFonts w:eastAsia="Times New Roman"/>
                <w:color w:val="201F1E"/>
              </w:rPr>
              <w:t> </w:t>
            </w:r>
          </w:p>
          <w:p w14:paraId="1CA0D13E" w14:textId="7C832963" w:rsidR="00417414" w:rsidRDefault="00417414" w:rsidP="00417414">
            <w:pPr>
              <w:pStyle w:val="paragraph"/>
              <w:shd w:val="clear" w:color="auto" w:fill="FFFFFF"/>
              <w:spacing w:before="0" w:beforeAutospacing="0" w:after="0" w:afterAutospacing="0"/>
              <w:textAlignment w:val="baseline"/>
              <w:rPr>
                <w:rStyle w:val="normaltextrun"/>
                <w:color w:val="201F1E"/>
                <w:lang w:val="en"/>
              </w:rPr>
            </w:pPr>
          </w:p>
          <w:p w14:paraId="44F8C7EE" w14:textId="34ED3D8A" w:rsidR="0030170C" w:rsidRPr="0030170C" w:rsidRDefault="0030170C" w:rsidP="0030170C">
            <w:pPr>
              <w:pStyle w:val="paragraph"/>
              <w:shd w:val="clear" w:color="auto" w:fill="FFFFFF"/>
              <w:spacing w:before="0" w:beforeAutospacing="0" w:after="0" w:afterAutospacing="0"/>
              <w:textAlignment w:val="baseline"/>
              <w:rPr>
                <w:rStyle w:val="normaltextrun"/>
                <w:rFonts w:eastAsia="Times New Roman"/>
                <w:b/>
                <w:bCs/>
                <w:color w:val="201F1E"/>
                <w:lang w:val="en"/>
              </w:rPr>
            </w:pPr>
            <w:r w:rsidRPr="0030170C">
              <w:rPr>
                <w:rStyle w:val="normaltextrun"/>
                <w:rFonts w:eastAsia="Times New Roman"/>
                <w:b/>
                <w:bCs/>
                <w:color w:val="201F1E"/>
                <w:lang w:val="en"/>
              </w:rPr>
              <w:t>Other resources:</w:t>
            </w:r>
          </w:p>
          <w:p w14:paraId="5F1F82D2" w14:textId="3644D8AF" w:rsidR="0030170C" w:rsidRDefault="0030170C" w:rsidP="0030170C">
            <w:pPr>
              <w:pStyle w:val="paragraph"/>
              <w:numPr>
                <w:ilvl w:val="0"/>
                <w:numId w:val="16"/>
              </w:numPr>
              <w:shd w:val="clear" w:color="auto" w:fill="FFFFFF"/>
              <w:spacing w:before="0" w:beforeAutospacing="0" w:after="0" w:afterAutospacing="0"/>
              <w:textAlignment w:val="baseline"/>
              <w:rPr>
                <w:rStyle w:val="eop"/>
              </w:rPr>
            </w:pPr>
            <w:r>
              <w:rPr>
                <w:rStyle w:val="normaltextrun"/>
                <w:rFonts w:eastAsia="Times New Roman"/>
                <w:color w:val="201F1E"/>
                <w:lang w:val="en"/>
              </w:rPr>
              <w:t>Watch: </w:t>
            </w:r>
            <w:hyperlink r:id="rId24" w:history="1">
              <w:r w:rsidRPr="00805C21">
                <w:rPr>
                  <w:rStyle w:val="Hyperlink"/>
                  <w:rFonts w:eastAsia="Times New Roman"/>
                  <w:b/>
                  <w:bCs/>
                </w:rPr>
                <w:t xml:space="preserve">World Bank </w:t>
              </w:r>
              <w:r w:rsidRPr="00805C21">
                <w:rPr>
                  <w:rStyle w:val="Hyperlink"/>
                  <w:rFonts w:eastAsia="Times New Roman"/>
                  <w:b/>
                  <w:bCs/>
                </w:rPr>
                <w:t>H</w:t>
              </w:r>
              <w:r w:rsidRPr="00805C21">
                <w:rPr>
                  <w:rStyle w:val="Hyperlink"/>
                  <w:rFonts w:eastAsia="Times New Roman"/>
                  <w:b/>
                  <w:bCs/>
                </w:rPr>
                <w:t>ealth Systems Flagship - HRH Self-Paced Course</w:t>
              </w:r>
              <w:r w:rsidRPr="00805C21">
                <w:rPr>
                  <w:rStyle w:val="Hyperlink"/>
                  <w:rFonts w:eastAsia="Times New Roman"/>
                </w:rPr>
                <w:t> </w:t>
              </w:r>
            </w:hyperlink>
            <w:r>
              <w:rPr>
                <w:rFonts w:eastAsia="Times New Roman"/>
                <w:color w:val="000000"/>
              </w:rPr>
              <w:t>(70 minutes) </w:t>
            </w:r>
            <w:r w:rsidR="00805C21">
              <w:rPr>
                <w:rStyle w:val="eop"/>
              </w:rPr>
              <w:t xml:space="preserve"> </w:t>
            </w:r>
          </w:p>
          <w:p w14:paraId="56EA8C5A" w14:textId="77777777" w:rsidR="0030170C" w:rsidRPr="0030170C" w:rsidRDefault="0030170C" w:rsidP="0030170C">
            <w:pPr>
              <w:pStyle w:val="ListParagraph"/>
              <w:numPr>
                <w:ilvl w:val="0"/>
                <w:numId w:val="16"/>
              </w:numPr>
              <w:spacing w:line="253" w:lineRule="atLeast"/>
              <w:rPr>
                <w:rFonts w:eastAsiaTheme="minorEastAsia"/>
                <w:color w:val="201F1E"/>
                <w:lang w:val="en"/>
              </w:rPr>
            </w:pPr>
            <w:r w:rsidRPr="0030170C">
              <w:rPr>
                <w:rFonts w:ascii="Calibri" w:eastAsia="Calibri" w:hAnsi="Calibri" w:cs="Calibri"/>
                <w:color w:val="201F1E"/>
                <w:lang w:val="en"/>
              </w:rPr>
              <w:t>Read: </w:t>
            </w:r>
            <w:hyperlink r:id="rId25">
              <w:r w:rsidRPr="0030170C">
                <w:rPr>
                  <w:rStyle w:val="Hyperlink"/>
                  <w:rFonts w:ascii="Calibri" w:eastAsia="Calibri" w:hAnsi="Calibri" w:cs="Calibri"/>
                  <w:b/>
                  <w:bCs/>
                  <w:lang w:val="en"/>
                </w:rPr>
                <w:t>WHO Global Strategy o</w:t>
              </w:r>
              <w:r w:rsidRPr="0030170C">
                <w:rPr>
                  <w:rStyle w:val="Hyperlink"/>
                  <w:rFonts w:ascii="Calibri" w:eastAsia="Calibri" w:hAnsi="Calibri" w:cs="Calibri"/>
                  <w:b/>
                  <w:bCs/>
                  <w:lang w:val="en"/>
                </w:rPr>
                <w:t>n</w:t>
              </w:r>
              <w:r w:rsidRPr="0030170C">
                <w:rPr>
                  <w:rStyle w:val="Hyperlink"/>
                  <w:rFonts w:ascii="Calibri" w:eastAsia="Calibri" w:hAnsi="Calibri" w:cs="Calibri"/>
                  <w:b/>
                  <w:bCs/>
                  <w:lang w:val="en"/>
                </w:rPr>
                <w:t xml:space="preserve"> Human Resources for Health: Workforce 2030</w:t>
              </w:r>
            </w:hyperlink>
            <w:r w:rsidRPr="0030170C">
              <w:rPr>
                <w:rFonts w:ascii="Calibri" w:eastAsia="Calibri" w:hAnsi="Calibri" w:cs="Calibri"/>
                <w:color w:val="201F1E"/>
                <w:lang w:val="en"/>
              </w:rPr>
              <w:t>. Summary on pages 8-9. </w:t>
            </w:r>
          </w:p>
          <w:p w14:paraId="7F173F45" w14:textId="77777777" w:rsidR="0030170C" w:rsidRPr="0030170C" w:rsidRDefault="0030170C" w:rsidP="0030170C">
            <w:pPr>
              <w:pStyle w:val="ListParagraph"/>
              <w:numPr>
                <w:ilvl w:val="0"/>
                <w:numId w:val="16"/>
              </w:numPr>
              <w:spacing w:line="253" w:lineRule="atLeast"/>
              <w:rPr>
                <w:rFonts w:eastAsiaTheme="minorEastAsia"/>
                <w:color w:val="201F1E"/>
                <w:lang w:val="en"/>
              </w:rPr>
            </w:pPr>
            <w:r w:rsidRPr="0030170C">
              <w:rPr>
                <w:rFonts w:ascii="Calibri" w:eastAsia="Calibri" w:hAnsi="Calibri" w:cs="Calibri"/>
                <w:color w:val="201F1E"/>
                <w:lang w:val="en"/>
              </w:rPr>
              <w:t>Review: WHO Thematic paper series “</w:t>
            </w:r>
            <w:hyperlink r:id="rId26">
              <w:r w:rsidRPr="0030170C">
                <w:rPr>
                  <w:rStyle w:val="Hyperlink"/>
                  <w:rFonts w:ascii="Calibri" w:eastAsia="Calibri" w:hAnsi="Calibri" w:cs="Calibri"/>
                  <w:b/>
                  <w:bCs/>
                  <w:lang w:val="en"/>
                </w:rPr>
                <w:t>Invest</w:t>
              </w:r>
              <w:r w:rsidRPr="0030170C">
                <w:rPr>
                  <w:rStyle w:val="Hyperlink"/>
                  <w:rFonts w:ascii="Calibri" w:eastAsia="Calibri" w:hAnsi="Calibri" w:cs="Calibri"/>
                  <w:b/>
                  <w:bCs/>
                  <w:lang w:val="en"/>
                </w:rPr>
                <w:t>m</w:t>
              </w:r>
              <w:r w:rsidRPr="0030170C">
                <w:rPr>
                  <w:rStyle w:val="Hyperlink"/>
                  <w:rFonts w:ascii="Calibri" w:eastAsia="Calibri" w:hAnsi="Calibri" w:cs="Calibri"/>
                  <w:b/>
                  <w:bCs/>
                  <w:lang w:val="en"/>
                </w:rPr>
                <w:t>ent in human resources for health: impact on health outcomes and beyond</w:t>
              </w:r>
            </w:hyperlink>
            <w:r w:rsidRPr="0030170C">
              <w:rPr>
                <w:rFonts w:ascii="Calibri" w:eastAsia="Calibri" w:hAnsi="Calibri" w:cs="Calibri"/>
                <w:color w:val="201F1E"/>
                <w:lang w:val="en"/>
              </w:rPr>
              <w:t>”</w:t>
            </w:r>
            <w:r w:rsidRPr="0030170C">
              <w:rPr>
                <w:rFonts w:ascii="Calibri" w:eastAsia="Calibri" w:hAnsi="Calibri" w:cs="Calibri"/>
                <w:b/>
                <w:bCs/>
                <w:color w:val="201F1E"/>
                <w:lang w:val="en"/>
              </w:rPr>
              <w:t> </w:t>
            </w:r>
          </w:p>
          <w:p w14:paraId="39E32D75" w14:textId="77777777" w:rsidR="0030170C" w:rsidRPr="0030170C" w:rsidRDefault="0030170C" w:rsidP="0030170C">
            <w:pPr>
              <w:pStyle w:val="ListParagraph"/>
              <w:numPr>
                <w:ilvl w:val="0"/>
                <w:numId w:val="16"/>
              </w:numPr>
              <w:spacing w:line="253" w:lineRule="atLeast"/>
              <w:rPr>
                <w:rFonts w:eastAsiaTheme="minorEastAsia"/>
                <w:color w:val="201F1E"/>
                <w:lang w:val="en"/>
              </w:rPr>
            </w:pPr>
            <w:r w:rsidRPr="0030170C">
              <w:rPr>
                <w:rFonts w:ascii="Calibri" w:eastAsia="Calibri" w:hAnsi="Calibri" w:cs="Calibri"/>
                <w:color w:val="201F1E"/>
                <w:lang w:val="en"/>
              </w:rPr>
              <w:t>Read: </w:t>
            </w:r>
            <w:hyperlink r:id="rId27">
              <w:r w:rsidRPr="0030170C">
                <w:rPr>
                  <w:rStyle w:val="Hyperlink"/>
                  <w:rFonts w:ascii="Calibri" w:eastAsia="Calibri" w:hAnsi="Calibri" w:cs="Calibri"/>
                  <w:b/>
                  <w:bCs/>
                  <w:lang w:val="en"/>
                </w:rPr>
                <w:t>Addressing the Challenges of</w:t>
              </w:r>
              <w:r w:rsidRPr="0030170C">
                <w:rPr>
                  <w:rStyle w:val="Hyperlink"/>
                  <w:rFonts w:ascii="Calibri" w:eastAsia="Calibri" w:hAnsi="Calibri" w:cs="Calibri"/>
                  <w:b/>
                  <w:bCs/>
                  <w:lang w:val="en"/>
                </w:rPr>
                <w:t xml:space="preserve"> </w:t>
              </w:r>
              <w:r w:rsidRPr="0030170C">
                <w:rPr>
                  <w:rStyle w:val="Hyperlink"/>
                  <w:rFonts w:ascii="Calibri" w:eastAsia="Calibri" w:hAnsi="Calibri" w:cs="Calibri"/>
                  <w:b/>
                  <w:bCs/>
                  <w:lang w:val="en"/>
                </w:rPr>
                <w:t>Health Professional Education: Opportunities to Progress Towards Universal Health Coverage</w:t>
              </w:r>
            </w:hyperlink>
            <w:r w:rsidRPr="0030170C">
              <w:rPr>
                <w:rFonts w:ascii="Calibri" w:eastAsia="Calibri" w:hAnsi="Calibri" w:cs="Calibri"/>
                <w:color w:val="201F1E"/>
                <w:lang w:val="en"/>
              </w:rPr>
              <w:t>. </w:t>
            </w:r>
          </w:p>
          <w:p w14:paraId="09B0CFC6" w14:textId="77777777" w:rsidR="0030170C" w:rsidRDefault="0030170C" w:rsidP="00417414">
            <w:pPr>
              <w:pStyle w:val="paragraph"/>
              <w:shd w:val="clear" w:color="auto" w:fill="FFFFFF"/>
              <w:spacing w:before="0" w:beforeAutospacing="0" w:after="0" w:afterAutospacing="0"/>
              <w:textAlignment w:val="baseline"/>
              <w:rPr>
                <w:rFonts w:eastAsia="Times New Roman"/>
              </w:rPr>
            </w:pPr>
          </w:p>
          <w:p w14:paraId="203AD7B1" w14:textId="77777777" w:rsidR="00E77ECF" w:rsidRPr="00F70CAF" w:rsidRDefault="00E77ECF" w:rsidP="00E77ECF">
            <w:pPr>
              <w:rPr>
                <w:rFonts w:cstheme="minorHAnsi"/>
              </w:rPr>
            </w:pPr>
          </w:p>
        </w:tc>
      </w:tr>
      <w:tr w:rsidR="00F70CAF" w:rsidRPr="00F70CAF" w14:paraId="464FF7E3" w14:textId="77777777" w:rsidTr="006F537F">
        <w:tc>
          <w:tcPr>
            <w:tcW w:w="9450" w:type="dxa"/>
            <w:gridSpan w:val="2"/>
          </w:tcPr>
          <w:p w14:paraId="07403C24" w14:textId="026AC491" w:rsidR="00F70CAF" w:rsidRPr="00F70CAF" w:rsidRDefault="00F70CAF" w:rsidP="00E77ECF">
            <w:pPr>
              <w:rPr>
                <w:rFonts w:cstheme="minorHAnsi"/>
                <w:b/>
                <w:color w:val="385623" w:themeColor="accent6" w:themeShade="80"/>
                <w:highlight w:val="lightGray"/>
              </w:rPr>
            </w:pPr>
            <w:r w:rsidRPr="00F70CAF">
              <w:rPr>
                <w:rFonts w:cstheme="minorHAnsi"/>
                <w:b/>
                <w:color w:val="385623" w:themeColor="accent6" w:themeShade="80"/>
                <w:highlight w:val="lightGray"/>
              </w:rPr>
              <w:lastRenderedPageBreak/>
              <w:t>Module 6: Learning from thought and reform leaders/the role of governance</w:t>
            </w:r>
          </w:p>
        </w:tc>
      </w:tr>
      <w:tr w:rsidR="00E77ECF" w:rsidRPr="00F70CAF" w14:paraId="33EB0BDC" w14:textId="77777777" w:rsidTr="00E77ECF">
        <w:tc>
          <w:tcPr>
            <w:tcW w:w="1890" w:type="dxa"/>
          </w:tcPr>
          <w:p w14:paraId="2A45287C" w14:textId="77777777" w:rsidR="00E77ECF" w:rsidRPr="00F70CAF" w:rsidRDefault="00E77ECF" w:rsidP="00E77ECF">
            <w:pPr>
              <w:pStyle w:val="TableParagraph"/>
              <w:spacing w:before="15"/>
              <w:ind w:left="0" w:right="157" w:firstLine="250"/>
              <w:rPr>
                <w:rFonts w:asciiTheme="minorHAnsi" w:hAnsiTheme="minorHAnsi" w:cstheme="minorHAnsi"/>
                <w:b/>
              </w:rPr>
            </w:pPr>
            <w:r w:rsidRPr="00F70CAF">
              <w:rPr>
                <w:rFonts w:asciiTheme="minorHAnsi" w:hAnsiTheme="minorHAnsi" w:cstheme="minorHAnsi"/>
                <w:b/>
              </w:rPr>
              <w:t>Date</w:t>
            </w:r>
          </w:p>
        </w:tc>
        <w:tc>
          <w:tcPr>
            <w:tcW w:w="7560" w:type="dxa"/>
          </w:tcPr>
          <w:p w14:paraId="3A2EE3EF" w14:textId="0AD1DB68" w:rsidR="00E77ECF" w:rsidRPr="00F70CAF" w:rsidRDefault="00E77ECF" w:rsidP="00E77ECF">
            <w:pPr>
              <w:rPr>
                <w:rFonts w:cstheme="minorHAnsi"/>
              </w:rPr>
            </w:pPr>
            <w:r w:rsidRPr="00F70CAF">
              <w:rPr>
                <w:rFonts w:cstheme="minorHAnsi"/>
              </w:rPr>
              <w:t>May 4, 2022</w:t>
            </w:r>
          </w:p>
        </w:tc>
      </w:tr>
      <w:tr w:rsidR="00E77ECF" w:rsidRPr="00F70CAF" w14:paraId="037088EB" w14:textId="77777777" w:rsidTr="00E77ECF">
        <w:tc>
          <w:tcPr>
            <w:tcW w:w="1890" w:type="dxa"/>
          </w:tcPr>
          <w:p w14:paraId="5B32CE10" w14:textId="77777777" w:rsidR="00E77ECF" w:rsidRPr="00F70CAF" w:rsidRDefault="00E77ECF" w:rsidP="00E77ECF">
            <w:pPr>
              <w:ind w:firstLine="250"/>
              <w:rPr>
                <w:rFonts w:cstheme="minorHAnsi"/>
                <w:b/>
                <w:bCs/>
              </w:rPr>
            </w:pPr>
            <w:r w:rsidRPr="00F70CAF">
              <w:rPr>
                <w:rFonts w:cstheme="minorHAnsi"/>
                <w:b/>
                <w:bCs/>
              </w:rPr>
              <w:t xml:space="preserve">Objective </w:t>
            </w:r>
          </w:p>
        </w:tc>
        <w:tc>
          <w:tcPr>
            <w:tcW w:w="7560" w:type="dxa"/>
          </w:tcPr>
          <w:p w14:paraId="085DDD47" w14:textId="247D9B1A" w:rsidR="00093DD3" w:rsidRPr="00F70CAF" w:rsidRDefault="00093DD3" w:rsidP="00093DD3">
            <w:pPr>
              <w:rPr>
                <w:rFonts w:cstheme="minorHAnsi"/>
              </w:rPr>
            </w:pPr>
            <w:r w:rsidRPr="00F70CAF">
              <w:rPr>
                <w:rFonts w:cstheme="minorHAnsi"/>
              </w:rPr>
              <w:t>This module will enable participants to gain opportunity to interact with scholars and practitioners who have deep knowledge and experience in country PHC reforms, and Understand the role of governance in reimagining fit-for-purpose PHC</w:t>
            </w:r>
            <w:r>
              <w:rPr>
                <w:rFonts w:cstheme="minorHAnsi"/>
              </w:rPr>
              <w:t>.</w:t>
            </w:r>
            <w:r w:rsidRPr="00F70CAF">
              <w:rPr>
                <w:rFonts w:cstheme="minorHAnsi"/>
              </w:rPr>
              <w:t xml:space="preserve"> </w:t>
            </w:r>
          </w:p>
          <w:p w14:paraId="47181F2B" w14:textId="13FE9F4C" w:rsidR="00E77ECF" w:rsidRPr="00F70CAF" w:rsidRDefault="00E77ECF" w:rsidP="00E77ECF">
            <w:pPr>
              <w:rPr>
                <w:rFonts w:cstheme="minorHAnsi"/>
              </w:rPr>
            </w:pPr>
          </w:p>
        </w:tc>
      </w:tr>
      <w:tr w:rsidR="00E77ECF" w:rsidRPr="00F70CAF" w14:paraId="55DF04E6" w14:textId="77777777" w:rsidTr="00E77ECF">
        <w:tc>
          <w:tcPr>
            <w:tcW w:w="1890" w:type="dxa"/>
          </w:tcPr>
          <w:p w14:paraId="0F41601D" w14:textId="39DE0209" w:rsidR="00E77ECF" w:rsidRPr="00F70CAF" w:rsidRDefault="00093DD3" w:rsidP="00E77ECF">
            <w:pPr>
              <w:pStyle w:val="TableParagraph"/>
              <w:spacing w:before="15"/>
              <w:ind w:left="0" w:right="97" w:firstLine="250"/>
              <w:rPr>
                <w:rFonts w:asciiTheme="minorHAnsi" w:hAnsiTheme="minorHAnsi" w:cstheme="minorHAnsi"/>
                <w:b/>
              </w:rPr>
            </w:pPr>
            <w:r>
              <w:rPr>
                <w:rFonts w:asciiTheme="minorHAnsi" w:hAnsiTheme="minorHAnsi" w:cstheme="minorHAnsi"/>
                <w:b/>
              </w:rPr>
              <w:t>L</w:t>
            </w:r>
            <w:r w:rsidR="00E77ECF" w:rsidRPr="00F70CAF">
              <w:rPr>
                <w:rFonts w:asciiTheme="minorHAnsi" w:hAnsiTheme="minorHAnsi" w:cstheme="minorHAnsi"/>
                <w:b/>
              </w:rPr>
              <w:t xml:space="preserve">eads </w:t>
            </w:r>
          </w:p>
        </w:tc>
        <w:tc>
          <w:tcPr>
            <w:tcW w:w="7560" w:type="dxa"/>
          </w:tcPr>
          <w:p w14:paraId="5A10E99D" w14:textId="32A5FA3C" w:rsidR="00E77ECF" w:rsidRPr="00F70CAF" w:rsidRDefault="00093DD3" w:rsidP="00093DD3">
            <w:pPr>
              <w:rPr>
                <w:rFonts w:cstheme="minorHAnsi"/>
              </w:rPr>
            </w:pPr>
            <w:r w:rsidRPr="00F70CAF">
              <w:rPr>
                <w:rFonts w:cstheme="minorHAnsi"/>
              </w:rPr>
              <w:t>Enis Barış &amp; Robeto F. lunes</w:t>
            </w:r>
          </w:p>
        </w:tc>
      </w:tr>
      <w:tr w:rsidR="00356DB4" w:rsidRPr="00F70CAF" w14:paraId="7BBE6E6F" w14:textId="77777777" w:rsidTr="00E77ECF">
        <w:tc>
          <w:tcPr>
            <w:tcW w:w="1890" w:type="dxa"/>
          </w:tcPr>
          <w:p w14:paraId="43549DE6" w14:textId="4192E93F" w:rsidR="00356DB4" w:rsidRPr="00F70CAF" w:rsidRDefault="00356DB4" w:rsidP="00E77ECF">
            <w:pPr>
              <w:pStyle w:val="TableParagraph"/>
              <w:spacing w:before="15"/>
              <w:ind w:left="0" w:right="97" w:firstLine="250"/>
              <w:rPr>
                <w:rFonts w:asciiTheme="minorHAnsi" w:hAnsiTheme="minorHAnsi" w:cstheme="minorHAnsi"/>
                <w:b/>
              </w:rPr>
            </w:pPr>
            <w:r>
              <w:rPr>
                <w:rFonts w:asciiTheme="minorHAnsi" w:hAnsiTheme="minorHAnsi" w:cstheme="minorHAnsi"/>
                <w:b/>
              </w:rPr>
              <w:t>Resources</w:t>
            </w:r>
          </w:p>
        </w:tc>
        <w:tc>
          <w:tcPr>
            <w:tcW w:w="7560" w:type="dxa"/>
          </w:tcPr>
          <w:p w14:paraId="78891F67" w14:textId="68D8D2DD" w:rsidR="00356DB4" w:rsidRPr="00093DD3" w:rsidRDefault="009038BA" w:rsidP="00E77ECF">
            <w:pPr>
              <w:rPr>
                <w:rFonts w:cstheme="minorHAnsi"/>
              </w:rPr>
            </w:pPr>
            <w:hyperlink r:id="rId28" w:history="1">
              <w:r w:rsidR="00B64FA0" w:rsidRPr="009038BA">
                <w:rPr>
                  <w:rStyle w:val="Hyperlink"/>
                  <w:rFonts w:cstheme="minorHAnsi"/>
                </w:rPr>
                <w:t>Brazil’s Primary He</w:t>
              </w:r>
              <w:r w:rsidR="00B64FA0" w:rsidRPr="009038BA">
                <w:rPr>
                  <w:rStyle w:val="Hyperlink"/>
                  <w:rFonts w:cstheme="minorHAnsi"/>
                </w:rPr>
                <w:t>a</w:t>
              </w:r>
              <w:r w:rsidR="00B64FA0" w:rsidRPr="009038BA">
                <w:rPr>
                  <w:rStyle w:val="Hyperlink"/>
                  <w:rFonts w:cstheme="minorHAnsi"/>
                </w:rPr>
                <w:t>lth Care Financing: Case Study</w:t>
              </w:r>
            </w:hyperlink>
          </w:p>
          <w:p w14:paraId="03C99B93" w14:textId="1BD83B90" w:rsidR="00E33562" w:rsidRPr="00093DD3" w:rsidRDefault="009038BA" w:rsidP="00E33562">
            <w:pPr>
              <w:autoSpaceDE w:val="0"/>
              <w:autoSpaceDN w:val="0"/>
              <w:adjustRightInd w:val="0"/>
              <w:rPr>
                <w:rFonts w:cstheme="minorHAnsi"/>
              </w:rPr>
            </w:pPr>
            <w:hyperlink r:id="rId29" w:history="1">
              <w:r w:rsidR="00E33562" w:rsidRPr="009038BA">
                <w:rPr>
                  <w:rStyle w:val="Hyperlink"/>
                  <w:rFonts w:cstheme="minorHAnsi"/>
                </w:rPr>
                <w:t>Brazil’s Primar</w:t>
              </w:r>
              <w:r w:rsidR="00E33562" w:rsidRPr="009038BA">
                <w:rPr>
                  <w:rStyle w:val="Hyperlink"/>
                  <w:rFonts w:cstheme="minorHAnsi"/>
                </w:rPr>
                <w:t>y</w:t>
              </w:r>
              <w:r w:rsidR="00E33562" w:rsidRPr="009038BA">
                <w:rPr>
                  <w:rStyle w:val="Hyperlink"/>
                  <w:rFonts w:cstheme="minorHAnsi"/>
                </w:rPr>
                <w:t xml:space="preserve"> Health Care</w:t>
              </w:r>
              <w:r w:rsidR="009D572D" w:rsidRPr="009038BA">
                <w:rPr>
                  <w:rStyle w:val="Hyperlink"/>
                  <w:rFonts w:cstheme="minorHAnsi"/>
                </w:rPr>
                <w:t xml:space="preserve"> Financing: Case Study Synopsis</w:t>
              </w:r>
            </w:hyperlink>
            <w:r w:rsidR="009D572D" w:rsidRPr="00093DD3">
              <w:rPr>
                <w:rFonts w:cstheme="minorHAnsi"/>
              </w:rPr>
              <w:t xml:space="preserve"> </w:t>
            </w:r>
          </w:p>
          <w:p w14:paraId="203A6842" w14:textId="69750F27" w:rsidR="00B64FA0" w:rsidRPr="00F70CAF" w:rsidRDefault="00B64FA0" w:rsidP="00E33562">
            <w:pPr>
              <w:rPr>
                <w:rFonts w:cstheme="minorHAnsi"/>
              </w:rPr>
            </w:pPr>
          </w:p>
        </w:tc>
      </w:tr>
      <w:tr w:rsidR="00F70CAF" w:rsidRPr="00F70CAF" w14:paraId="57FE73D3" w14:textId="77777777" w:rsidTr="008E24E3">
        <w:tc>
          <w:tcPr>
            <w:tcW w:w="9450" w:type="dxa"/>
            <w:gridSpan w:val="2"/>
          </w:tcPr>
          <w:p w14:paraId="1B1D8EDD" w14:textId="582A91D4" w:rsidR="00F70CAF" w:rsidRPr="00F70CAF" w:rsidRDefault="00F70CAF" w:rsidP="00E77ECF">
            <w:pPr>
              <w:rPr>
                <w:rFonts w:cstheme="minorHAnsi"/>
                <w:b/>
                <w:color w:val="385623" w:themeColor="accent6" w:themeShade="80"/>
                <w:highlight w:val="lightGray"/>
              </w:rPr>
            </w:pPr>
            <w:r w:rsidRPr="00F70CAF">
              <w:rPr>
                <w:rFonts w:cstheme="minorHAnsi"/>
                <w:b/>
                <w:color w:val="385623" w:themeColor="accent6" w:themeShade="80"/>
                <w:highlight w:val="lightGray"/>
              </w:rPr>
              <w:t>Module 7: Group work presentation and discussion</w:t>
            </w:r>
          </w:p>
        </w:tc>
      </w:tr>
      <w:tr w:rsidR="00E77ECF" w:rsidRPr="00F70CAF" w14:paraId="10B898DB" w14:textId="77777777" w:rsidTr="00E77ECF">
        <w:tc>
          <w:tcPr>
            <w:tcW w:w="1890" w:type="dxa"/>
          </w:tcPr>
          <w:p w14:paraId="4C9A4AC7" w14:textId="77777777" w:rsidR="00E77ECF" w:rsidRPr="00F70CAF" w:rsidRDefault="00E77ECF" w:rsidP="00E77ECF">
            <w:pPr>
              <w:pStyle w:val="TableParagraph"/>
              <w:spacing w:before="15"/>
              <w:ind w:left="0" w:right="157" w:firstLine="250"/>
              <w:rPr>
                <w:rFonts w:asciiTheme="minorHAnsi" w:hAnsiTheme="minorHAnsi" w:cstheme="minorHAnsi"/>
                <w:b/>
              </w:rPr>
            </w:pPr>
            <w:r w:rsidRPr="00F70CAF">
              <w:rPr>
                <w:rFonts w:asciiTheme="minorHAnsi" w:hAnsiTheme="minorHAnsi" w:cstheme="minorHAnsi"/>
                <w:b/>
              </w:rPr>
              <w:t>Date</w:t>
            </w:r>
          </w:p>
        </w:tc>
        <w:tc>
          <w:tcPr>
            <w:tcW w:w="7560" w:type="dxa"/>
          </w:tcPr>
          <w:p w14:paraId="56337FBF" w14:textId="56826EBC" w:rsidR="00E77ECF" w:rsidRPr="00F70CAF" w:rsidRDefault="00E77ECF" w:rsidP="00E77ECF">
            <w:pPr>
              <w:rPr>
                <w:rFonts w:cstheme="minorHAnsi"/>
              </w:rPr>
            </w:pPr>
            <w:r w:rsidRPr="00F70CAF">
              <w:rPr>
                <w:rFonts w:cstheme="minorHAnsi"/>
              </w:rPr>
              <w:t>May 6, 2022</w:t>
            </w:r>
          </w:p>
        </w:tc>
      </w:tr>
      <w:tr w:rsidR="00E77ECF" w:rsidRPr="00F70CAF" w14:paraId="4B397F9C" w14:textId="77777777" w:rsidTr="00E77ECF">
        <w:tc>
          <w:tcPr>
            <w:tcW w:w="1890" w:type="dxa"/>
          </w:tcPr>
          <w:p w14:paraId="14CCD491" w14:textId="77777777" w:rsidR="00E77ECF" w:rsidRPr="00F70CAF" w:rsidRDefault="00E77ECF" w:rsidP="00E77ECF">
            <w:pPr>
              <w:ind w:firstLine="250"/>
              <w:rPr>
                <w:rFonts w:cstheme="minorHAnsi"/>
              </w:rPr>
            </w:pPr>
            <w:r w:rsidRPr="00F70CAF">
              <w:rPr>
                <w:rFonts w:cstheme="minorHAnsi"/>
                <w:b/>
              </w:rPr>
              <w:t xml:space="preserve">Objective </w:t>
            </w:r>
          </w:p>
        </w:tc>
        <w:tc>
          <w:tcPr>
            <w:tcW w:w="7560" w:type="dxa"/>
          </w:tcPr>
          <w:p w14:paraId="11036B56" w14:textId="29A316F5" w:rsidR="00E77ECF" w:rsidRPr="00F70CAF" w:rsidRDefault="00E77ECF" w:rsidP="00E77ECF">
            <w:pPr>
              <w:rPr>
                <w:rFonts w:cstheme="minorHAnsi"/>
              </w:rPr>
            </w:pPr>
            <w:r w:rsidRPr="00F70CAF">
              <w:rPr>
                <w:rFonts w:cstheme="minorHAnsi"/>
              </w:rPr>
              <w:t>In this module country teams will present their group work and receive feedback from subject experts and others in the class.</w:t>
            </w:r>
          </w:p>
        </w:tc>
      </w:tr>
      <w:tr w:rsidR="00E77ECF" w:rsidRPr="00F70CAF" w14:paraId="0C45A30A" w14:textId="77777777" w:rsidTr="00E77ECF">
        <w:tc>
          <w:tcPr>
            <w:tcW w:w="1890" w:type="dxa"/>
          </w:tcPr>
          <w:p w14:paraId="77E15471" w14:textId="2EAD1C73" w:rsidR="00E77ECF" w:rsidRPr="00F70CAF" w:rsidRDefault="00093DD3" w:rsidP="00E77ECF">
            <w:pPr>
              <w:pStyle w:val="TableParagraph"/>
              <w:spacing w:before="15"/>
              <w:ind w:left="0" w:right="97" w:firstLine="250"/>
              <w:rPr>
                <w:rFonts w:asciiTheme="minorHAnsi" w:hAnsiTheme="minorHAnsi" w:cstheme="minorHAnsi"/>
                <w:b/>
              </w:rPr>
            </w:pPr>
            <w:r>
              <w:rPr>
                <w:rFonts w:asciiTheme="minorHAnsi" w:hAnsiTheme="minorHAnsi" w:cstheme="minorHAnsi"/>
                <w:b/>
              </w:rPr>
              <w:t>L</w:t>
            </w:r>
            <w:r w:rsidR="00E77ECF" w:rsidRPr="00F70CAF">
              <w:rPr>
                <w:rFonts w:asciiTheme="minorHAnsi" w:hAnsiTheme="minorHAnsi" w:cstheme="minorHAnsi"/>
                <w:b/>
              </w:rPr>
              <w:t xml:space="preserve">eads </w:t>
            </w:r>
          </w:p>
        </w:tc>
        <w:tc>
          <w:tcPr>
            <w:tcW w:w="7560" w:type="dxa"/>
          </w:tcPr>
          <w:p w14:paraId="1A716BEA" w14:textId="0AA84459" w:rsidR="00E77ECF" w:rsidRPr="00F70CAF" w:rsidRDefault="00D12E9E" w:rsidP="00D12E9E">
            <w:pPr>
              <w:pStyle w:val="NormalWeb"/>
              <w:rPr>
                <w:rFonts w:cstheme="minorHAnsi"/>
              </w:rPr>
            </w:pPr>
            <w:r w:rsidRPr="00D12E9E">
              <w:rPr>
                <w:rFonts w:asciiTheme="minorHAnsi" w:eastAsiaTheme="minorHAnsi" w:hAnsiTheme="minorHAnsi" w:cstheme="minorHAnsi"/>
                <w:sz w:val="22"/>
                <w:szCs w:val="22"/>
                <w:lang w:val="pt-PT"/>
              </w:rPr>
              <w:t>Nedim Jaganjac</w:t>
            </w:r>
            <w:r w:rsidRPr="00D12E9E">
              <w:rPr>
                <w:rFonts w:asciiTheme="minorHAnsi" w:eastAsiaTheme="minorHAnsi" w:hAnsiTheme="minorHAnsi" w:cstheme="minorHAnsi"/>
                <w:b/>
                <w:bCs/>
                <w:sz w:val="22"/>
                <w:szCs w:val="22"/>
                <w:lang w:val="pt-PT"/>
              </w:rPr>
              <w:t xml:space="preserve">, </w:t>
            </w:r>
            <w:r w:rsidR="00E77ECF" w:rsidRPr="00D12E9E">
              <w:rPr>
                <w:rFonts w:asciiTheme="minorHAnsi" w:eastAsiaTheme="minorHAnsi" w:hAnsiTheme="minorHAnsi" w:cstheme="minorHAnsi"/>
                <w:sz w:val="22"/>
                <w:szCs w:val="22"/>
                <w:lang w:val="pt-PT"/>
              </w:rPr>
              <w:t>Huihui Wang</w:t>
            </w:r>
            <w:r w:rsidRPr="00D12E9E">
              <w:rPr>
                <w:rFonts w:asciiTheme="minorHAnsi" w:eastAsiaTheme="minorHAnsi" w:hAnsiTheme="minorHAnsi" w:cstheme="minorHAnsi"/>
                <w:sz w:val="22"/>
                <w:szCs w:val="22"/>
                <w:lang w:val="pt-PT"/>
              </w:rPr>
              <w:t xml:space="preserve"> &amp;</w:t>
            </w:r>
            <w:r w:rsidR="00E77ECF" w:rsidRPr="00D12E9E">
              <w:rPr>
                <w:rFonts w:asciiTheme="minorHAnsi" w:eastAsiaTheme="minorHAnsi" w:hAnsiTheme="minorHAnsi" w:cstheme="minorHAnsi"/>
                <w:sz w:val="22"/>
                <w:szCs w:val="22"/>
                <w:lang w:val="pt-PT"/>
              </w:rPr>
              <w:t xml:space="preserve"> Mickey Chopra</w:t>
            </w:r>
          </w:p>
        </w:tc>
      </w:tr>
    </w:tbl>
    <w:p w14:paraId="3C252B08" w14:textId="77777777" w:rsidR="00420FD4" w:rsidRPr="00F70CAF" w:rsidRDefault="00420FD4">
      <w:pPr>
        <w:rPr>
          <w:rFonts w:cstheme="minorHAnsi"/>
        </w:rPr>
      </w:pPr>
    </w:p>
    <w:sectPr w:rsidR="00420FD4" w:rsidRPr="00F70CAF">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0A8C" w14:textId="77777777" w:rsidR="00F70CAF" w:rsidRDefault="00F70CAF" w:rsidP="00F70CAF">
      <w:pPr>
        <w:spacing w:after="0" w:line="240" w:lineRule="auto"/>
      </w:pPr>
      <w:r>
        <w:separator/>
      </w:r>
    </w:p>
  </w:endnote>
  <w:endnote w:type="continuationSeparator" w:id="0">
    <w:p w14:paraId="7FEE0B15" w14:textId="77777777" w:rsidR="00F70CAF" w:rsidRDefault="00F70CAF" w:rsidP="00F7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0320"/>
      <w:docPartObj>
        <w:docPartGallery w:val="Page Numbers (Bottom of Page)"/>
        <w:docPartUnique/>
      </w:docPartObj>
    </w:sdtPr>
    <w:sdtEndPr>
      <w:rPr>
        <w:noProof/>
      </w:rPr>
    </w:sdtEndPr>
    <w:sdtContent>
      <w:p w14:paraId="4398771C" w14:textId="64C2024F" w:rsidR="00E37995" w:rsidRDefault="00E379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D0B2B" w14:textId="77777777" w:rsidR="00E37995" w:rsidRDefault="00E37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92689" w14:textId="77777777" w:rsidR="00F70CAF" w:rsidRDefault="00F70CAF" w:rsidP="00F70CAF">
      <w:pPr>
        <w:spacing w:after="0" w:line="240" w:lineRule="auto"/>
      </w:pPr>
      <w:r>
        <w:separator/>
      </w:r>
    </w:p>
  </w:footnote>
  <w:footnote w:type="continuationSeparator" w:id="0">
    <w:p w14:paraId="506FC4A5" w14:textId="77777777" w:rsidR="00F70CAF" w:rsidRDefault="00F70CAF" w:rsidP="00F7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75C"/>
    <w:multiLevelType w:val="hybridMultilevel"/>
    <w:tmpl w:val="7C6CB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095F"/>
    <w:multiLevelType w:val="hybridMultilevel"/>
    <w:tmpl w:val="5E98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5E2628"/>
    <w:multiLevelType w:val="hybridMultilevel"/>
    <w:tmpl w:val="F6BE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409AF"/>
    <w:multiLevelType w:val="hybridMultilevel"/>
    <w:tmpl w:val="57DAD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018A1"/>
    <w:multiLevelType w:val="hybridMultilevel"/>
    <w:tmpl w:val="B3A8CD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CD24E4"/>
    <w:multiLevelType w:val="hybridMultilevel"/>
    <w:tmpl w:val="C492AB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81338"/>
    <w:multiLevelType w:val="hybridMultilevel"/>
    <w:tmpl w:val="F506A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24042"/>
    <w:multiLevelType w:val="hybridMultilevel"/>
    <w:tmpl w:val="9986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67991"/>
    <w:multiLevelType w:val="hybridMultilevel"/>
    <w:tmpl w:val="06B0F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08274C1"/>
    <w:multiLevelType w:val="hybridMultilevel"/>
    <w:tmpl w:val="E76E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D686D"/>
    <w:multiLevelType w:val="hybridMultilevel"/>
    <w:tmpl w:val="E37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C5F49"/>
    <w:multiLevelType w:val="hybridMultilevel"/>
    <w:tmpl w:val="5AF84E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7A51AC"/>
    <w:multiLevelType w:val="hybridMultilevel"/>
    <w:tmpl w:val="DA80E4E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588A63DA"/>
    <w:multiLevelType w:val="multilevel"/>
    <w:tmpl w:val="CFA2F23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726AA0"/>
    <w:multiLevelType w:val="hybridMultilevel"/>
    <w:tmpl w:val="8CFC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10"/>
  </w:num>
  <w:num w:numId="6">
    <w:abstractNumId w:val="5"/>
  </w:num>
  <w:num w:numId="7">
    <w:abstractNumId w:val="3"/>
  </w:num>
  <w:num w:numId="8">
    <w:abstractNumId w:val="14"/>
  </w:num>
  <w:num w:numId="9">
    <w:abstractNumId w:val="11"/>
  </w:num>
  <w:num w:numId="10">
    <w:abstractNumId w:val="4"/>
  </w:num>
  <w:num w:numId="11">
    <w:abstractNumId w:val="0"/>
  </w:num>
  <w:num w:numId="12">
    <w:abstractNumId w:val="1"/>
  </w:num>
  <w:num w:numId="13">
    <w:abstractNumId w:val="6"/>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D4"/>
    <w:rsid w:val="00093DD3"/>
    <w:rsid w:val="000B6CAA"/>
    <w:rsid w:val="00101656"/>
    <w:rsid w:val="00181B2F"/>
    <w:rsid w:val="0030170C"/>
    <w:rsid w:val="00356DB4"/>
    <w:rsid w:val="003E6703"/>
    <w:rsid w:val="00417414"/>
    <w:rsid w:val="00420FD4"/>
    <w:rsid w:val="004372EE"/>
    <w:rsid w:val="00563293"/>
    <w:rsid w:val="00590F91"/>
    <w:rsid w:val="005B0A98"/>
    <w:rsid w:val="005E5408"/>
    <w:rsid w:val="006B6DE1"/>
    <w:rsid w:val="00712E77"/>
    <w:rsid w:val="00726231"/>
    <w:rsid w:val="00805C21"/>
    <w:rsid w:val="008B548F"/>
    <w:rsid w:val="008D0097"/>
    <w:rsid w:val="008E0791"/>
    <w:rsid w:val="009038BA"/>
    <w:rsid w:val="009D572D"/>
    <w:rsid w:val="00A16B2D"/>
    <w:rsid w:val="00A5310C"/>
    <w:rsid w:val="00AC0043"/>
    <w:rsid w:val="00B17D0F"/>
    <w:rsid w:val="00B64FA0"/>
    <w:rsid w:val="00B900B0"/>
    <w:rsid w:val="00CF7E3E"/>
    <w:rsid w:val="00D12E9E"/>
    <w:rsid w:val="00D45025"/>
    <w:rsid w:val="00D6088D"/>
    <w:rsid w:val="00DC515F"/>
    <w:rsid w:val="00E33562"/>
    <w:rsid w:val="00E37995"/>
    <w:rsid w:val="00E77ECF"/>
    <w:rsid w:val="00E83D9D"/>
    <w:rsid w:val="00EA1757"/>
    <w:rsid w:val="00ED68A6"/>
    <w:rsid w:val="00F16B59"/>
    <w:rsid w:val="00F1766A"/>
    <w:rsid w:val="00F70CAF"/>
    <w:rsid w:val="00F72E03"/>
    <w:rsid w:val="00FC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1BC76"/>
  <w15:chartTrackingRefBased/>
  <w15:docId w15:val="{00274C63-E3CD-4706-8D49-53F1E77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D4"/>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D9D"/>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83D9D"/>
    <w:pPr>
      <w:widowControl w:val="0"/>
      <w:autoSpaceDE w:val="0"/>
      <w:autoSpaceDN w:val="0"/>
      <w:spacing w:after="0" w:line="240" w:lineRule="auto"/>
      <w:ind w:left="105"/>
    </w:pPr>
    <w:rPr>
      <w:rFonts w:ascii="Calibri" w:eastAsia="Calibri" w:hAnsi="Calibri" w:cs="Calibri"/>
      <w:lang w:val="en-US"/>
    </w:rPr>
  </w:style>
  <w:style w:type="paragraph" w:customStyle="1" w:styleId="paragraph">
    <w:name w:val="paragraph"/>
    <w:basedOn w:val="Normal"/>
    <w:rsid w:val="00E77ECF"/>
    <w:pPr>
      <w:spacing w:before="100" w:beforeAutospacing="1" w:after="100" w:afterAutospacing="1" w:line="240" w:lineRule="auto"/>
    </w:pPr>
    <w:rPr>
      <w:rFonts w:ascii="Calibri" w:eastAsiaTheme="minorEastAsia" w:hAnsi="Calibri" w:cs="Calibri"/>
      <w:lang w:val="en-US" w:eastAsia="zh-CN"/>
    </w:rPr>
  </w:style>
  <w:style w:type="paragraph" w:styleId="Header">
    <w:name w:val="header"/>
    <w:basedOn w:val="Normal"/>
    <w:link w:val="HeaderChar"/>
    <w:uiPriority w:val="99"/>
    <w:unhideWhenUsed/>
    <w:rsid w:val="00E3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995"/>
    <w:rPr>
      <w:lang w:val="pt-PT"/>
    </w:rPr>
  </w:style>
  <w:style w:type="paragraph" w:styleId="Footer">
    <w:name w:val="footer"/>
    <w:basedOn w:val="Normal"/>
    <w:link w:val="FooterChar"/>
    <w:uiPriority w:val="99"/>
    <w:unhideWhenUsed/>
    <w:rsid w:val="00E3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995"/>
    <w:rPr>
      <w:lang w:val="pt-PT"/>
    </w:rPr>
  </w:style>
  <w:style w:type="character" w:customStyle="1" w:styleId="normaltextrun">
    <w:name w:val="normaltextrun"/>
    <w:basedOn w:val="DefaultParagraphFont"/>
    <w:rsid w:val="00AC0043"/>
  </w:style>
  <w:style w:type="character" w:customStyle="1" w:styleId="eop">
    <w:name w:val="eop"/>
    <w:basedOn w:val="DefaultParagraphFont"/>
    <w:rsid w:val="00AC0043"/>
  </w:style>
  <w:style w:type="character" w:styleId="Hyperlink">
    <w:name w:val="Hyperlink"/>
    <w:basedOn w:val="DefaultParagraphFont"/>
    <w:uiPriority w:val="99"/>
    <w:unhideWhenUsed/>
    <w:rsid w:val="005B0A98"/>
    <w:rPr>
      <w:color w:val="0000FF"/>
      <w:u w:val="single"/>
    </w:rPr>
  </w:style>
  <w:style w:type="paragraph" w:styleId="ListParagraph">
    <w:name w:val="List Paragraph"/>
    <w:basedOn w:val="Normal"/>
    <w:uiPriority w:val="34"/>
    <w:qFormat/>
    <w:rsid w:val="005B0A98"/>
    <w:pPr>
      <w:ind w:left="720"/>
      <w:contextualSpacing/>
    </w:pPr>
    <w:rPr>
      <w:lang w:val="en-US"/>
    </w:rPr>
  </w:style>
  <w:style w:type="paragraph" w:styleId="NormalWeb">
    <w:name w:val="Normal (Web)"/>
    <w:basedOn w:val="Normal"/>
    <w:uiPriority w:val="99"/>
    <w:unhideWhenUsed/>
    <w:rsid w:val="00D12E9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D12E9E"/>
    <w:rPr>
      <w:rFonts w:ascii="Segoe UI" w:hAnsi="Segoe UI" w:cs="Segoe UI" w:hint="default"/>
      <w:b/>
      <w:bCs/>
      <w:color w:val="262626"/>
      <w:sz w:val="28"/>
      <w:szCs w:val="28"/>
    </w:rPr>
  </w:style>
  <w:style w:type="character" w:styleId="UnresolvedMention">
    <w:name w:val="Unresolved Mention"/>
    <w:basedOn w:val="DefaultParagraphFont"/>
    <w:uiPriority w:val="99"/>
    <w:semiHidden/>
    <w:unhideWhenUsed/>
    <w:rsid w:val="008E0791"/>
    <w:rPr>
      <w:color w:val="605E5C"/>
      <w:shd w:val="clear" w:color="auto" w:fill="E1DFDD"/>
    </w:rPr>
  </w:style>
  <w:style w:type="character" w:styleId="FollowedHyperlink">
    <w:name w:val="FollowedHyperlink"/>
    <w:basedOn w:val="DefaultParagraphFont"/>
    <w:uiPriority w:val="99"/>
    <w:semiHidden/>
    <w:unhideWhenUsed/>
    <w:rsid w:val="008E0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6533">
      <w:bodyDiv w:val="1"/>
      <w:marLeft w:val="0"/>
      <w:marRight w:val="0"/>
      <w:marTop w:val="0"/>
      <w:marBottom w:val="0"/>
      <w:divBdr>
        <w:top w:val="none" w:sz="0" w:space="0" w:color="auto"/>
        <w:left w:val="none" w:sz="0" w:space="0" w:color="auto"/>
        <w:bottom w:val="none" w:sz="0" w:space="0" w:color="auto"/>
        <w:right w:val="none" w:sz="0" w:space="0" w:color="auto"/>
      </w:divBdr>
    </w:div>
    <w:div w:id="206425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09UZpBEe3jMTehdYiS2RuhmifoRGPkl/view?usp=sharing" TargetMode="External"/><Relationship Id="rId13" Type="http://schemas.openxmlformats.org/officeDocument/2006/relationships/hyperlink" Target="https://drive.google.com/file/d/17JaFz3Yeby6otdVtLIPAXN4rd1or7-I8/view?usp=sharing" TargetMode="External"/><Relationship Id="rId18" Type="http://schemas.openxmlformats.org/officeDocument/2006/relationships/hyperlink" Target="https://nam11.safelinks.protection.outlook.com/?url=https%3A%2F%2Fwww.lshtm.ac.uk%2Fmedia%2F59971&amp;data=04%7C01%7Cbsummers%40worldbankgroup.org%7Ce6131df6c1c4456f94f008da1ed8aeba%7C31a2fec0266b4c67b56e2796d8f59c36%7C0%7C0%7C637856213256607819%7CUnknown%7CTWFpbGZsb3d8eyJWIjoiMC4wLjAwMDAiLCJQIjoiV2luMzIiLCJBTiI6Ik1haWwiLCJXVCI6Mn0%3D%7C3000&amp;sdata=DPSeOMzkOCErkqB9Td6woqBtENdRY5JrF8qpknxl4VE%3D&amp;reserved=0" TargetMode="External"/><Relationship Id="rId26" Type="http://schemas.openxmlformats.org/officeDocument/2006/relationships/hyperlink" Target="https://www.biomedcentral.com/collections/investment" TargetMode="External"/><Relationship Id="rId3" Type="http://schemas.openxmlformats.org/officeDocument/2006/relationships/settings" Target="settings.xml"/><Relationship Id="rId21" Type="http://schemas.openxmlformats.org/officeDocument/2006/relationships/hyperlink" Target="https://drive.google.com/file/d/1piKHCQRn2XOsoh_B-Ow7O7vUUBrmv628/view?usp=sharing" TargetMode="External"/><Relationship Id="rId7" Type="http://schemas.openxmlformats.org/officeDocument/2006/relationships/hyperlink" Target="https://openknowledge.worldbank.org/bitstream/handle/10986/35842/9781464817687.pdf?sequence=7&amp;isAllowed=y" TargetMode="External"/><Relationship Id="rId12" Type="http://schemas.openxmlformats.org/officeDocument/2006/relationships/hyperlink" Target="https://drive.google.com/file/d/1kyoxiArVJWiBHq6WWRFUG9DIqxFNbVYc/view?usp=sharing" TargetMode="External"/><Relationship Id="rId17" Type="http://schemas.openxmlformats.org/officeDocument/2006/relationships/hyperlink" Target="https://openknowledge.worldbank.org/bitstream/handle/10986/35842/9781464817687.pdf?sequence=7&amp;isAllowed=y" TargetMode="External"/><Relationship Id="rId25" Type="http://schemas.openxmlformats.org/officeDocument/2006/relationships/hyperlink" Target="https://apps.who.int/iris/bitstream/handle/10665/250368/9789241511131-eng.pdf" TargetMode="External"/><Relationship Id="rId2" Type="http://schemas.openxmlformats.org/officeDocument/2006/relationships/styles" Target="styles.xml"/><Relationship Id="rId16" Type="http://schemas.openxmlformats.org/officeDocument/2006/relationships/hyperlink" Target="https://drive.google.com/open?id=1HG5y6yWa9NBxpIFTWvtd-15xs_RAv9gQ&amp;authuser=0" TargetMode="External"/><Relationship Id="rId20" Type="http://schemas.openxmlformats.org/officeDocument/2006/relationships/hyperlink" Target="https://nam11.safelinks.protection.outlook.com/?url=https%3A%2F%2Fwww.lshtm.ac.uk%2Fmedia%2F59981&amp;data=04%7C01%7Cbsummers%40worldbankgroup.org%7Ce6131df6c1c4456f94f008da1ed8aeba%7C31a2fec0266b4c67b56e2796d8f59c36%7C0%7C0%7C637856213256607819%7CUnknown%7CTWFpbGZsb3d8eyJWIjoiMC4wLjAwMDAiLCJQIjoiV2luMzIiLCJBTiI6Ik1haWwiLCJXVCI6Mn0%3D%7C3000&amp;sdata=I7gRhOfJqdBy1LcYBfNWm8GzBozIcW6unG9Ko7KbTDc%3D&amp;reserved=0" TargetMode="External"/><Relationship Id="rId29" Type="http://schemas.openxmlformats.org/officeDocument/2006/relationships/hyperlink" Target="https://drive.google.com/file/d/1OjEttNCtoD-GApgNVLzcnv83Q6FxJenU/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_lA6XL8mh1m-d8LND1rcX9K2O7wuXONQ/view?usp=sharing" TargetMode="External"/><Relationship Id="rId24" Type="http://schemas.openxmlformats.org/officeDocument/2006/relationships/hyperlink" Target="https://drive.google.com/file/d/17wGnsODuMNA4iCjfA3H4RCUnr6BAL568/vie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rive.google.com/file/d/19mZSWCH8OBxDbhh1V7XV4HAVNEqxvK5k/view" TargetMode="External"/><Relationship Id="rId23" Type="http://schemas.openxmlformats.org/officeDocument/2006/relationships/hyperlink" Target="https://docs.google.com/document/d/1FmetOh_0PudCWqPUTSXJgd6Pmd79OTjU/edit?usp=sharing&amp;ouid=100162350313395886216&amp;rtpof=true&amp;sd=true" TargetMode="External"/><Relationship Id="rId28" Type="http://schemas.openxmlformats.org/officeDocument/2006/relationships/hyperlink" Target="https://drive.google.com/file/d/19bwXc6mwQMF4nvFr6oM2hECHiGU3ex-f/view?usp=sharing" TargetMode="External"/><Relationship Id="rId10" Type="http://schemas.openxmlformats.org/officeDocument/2006/relationships/hyperlink" Target="https://drive.google.com/file/d/1q7oy9ByhntfyTePZCZ1ON2XBZUrLSfmI/view?usp=sharing" TargetMode="External"/><Relationship Id="rId19" Type="http://schemas.openxmlformats.org/officeDocument/2006/relationships/hyperlink" Target="https://nam11.safelinks.protection.outlook.com/?url=https%3A%2F%2Fwww.lshtm.ac.uk%2Fmedia%2F59976&amp;data=04%7C01%7Cbsummers%40worldbankgroup.org%7Ce6131df6c1c4456f94f008da1ed8aeba%7C31a2fec0266b4c67b56e2796d8f59c36%7C0%7C0%7C637856213256607819%7CUnknown%7CTWFpbGZsb3d8eyJWIjoiMC4wLjAwMDAiLCJQIjoiV2luMzIiLCJBTiI6Ik1haWwiLCJXVCI6Mn0%3D%7C3000&amp;sdata=TxGogPHjPeCyPd42MBsUH1Y3%2BaYgb1UqHdZQR3iPeZc%3D&amp;reserved=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DzAPY_MrV45T-rmZYTIZjiWvKTNqsEZJ/view?usp=sharing" TargetMode="External"/><Relationship Id="rId14" Type="http://schemas.openxmlformats.org/officeDocument/2006/relationships/hyperlink" Target="https://openknowledge.worldbank.org/bitstream/handle/10986/35842/9781464817687.pdf?sequence=7&amp;isAllowed=y" TargetMode="External"/><Relationship Id="rId22" Type="http://schemas.openxmlformats.org/officeDocument/2006/relationships/hyperlink" Target="https://drive.google.com/file/d/1piKHCQRn2XOsoh_B-Ow7O7vUUBrmv628/view?usp=sharing" TargetMode="External"/><Relationship Id="rId27" Type="http://schemas.openxmlformats.org/officeDocument/2006/relationships/hyperlink" Target="https://interprofessional.global/wp-content/uploads/2019/11/WISH-2016-Health-Professional-Education-Report-ADDRESSING-THE-CHALLENGES-OF-HEALTH-PROFESSIONAL-EDUCATION-OPPORTUNITIES-TO-ACCELERATE-PROGRESS-TOWARDS-UNIVERSAL-HEALTH-COVERAG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1085</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Huihui Wang</dc:creator>
  <cp:keywords/>
  <dc:description/>
  <cp:lastModifiedBy>Bruce Summers</cp:lastModifiedBy>
  <cp:revision>3</cp:revision>
  <dcterms:created xsi:type="dcterms:W3CDTF">2022-04-21T20:46:00Z</dcterms:created>
  <dcterms:modified xsi:type="dcterms:W3CDTF">2022-04-24T13:12:00Z</dcterms:modified>
</cp:coreProperties>
</file>